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jc w:val="center"/>
        <w:rPr>
          <w:rFonts w:hint="eastAsia"/>
          <w:sz w:val="56"/>
          <w:szCs w:val="56"/>
        </w:rPr>
      </w:pPr>
    </w:p>
    <w:p>
      <w:pPr>
        <w:pStyle w:val="11"/>
        <w:jc w:val="center"/>
        <w:rPr>
          <w:sz w:val="56"/>
          <w:szCs w:val="56"/>
        </w:rPr>
      </w:pPr>
    </w:p>
    <w:p>
      <w:pPr>
        <w:pStyle w:val="11"/>
        <w:jc w:val="center"/>
        <w:rPr>
          <w:sz w:val="84"/>
          <w:szCs w:val="84"/>
        </w:rPr>
      </w:pPr>
    </w:p>
    <w:p>
      <w:pPr>
        <w:pStyle w:val="11"/>
        <w:jc w:val="center"/>
        <w:rPr>
          <w:sz w:val="84"/>
          <w:szCs w:val="84"/>
        </w:rPr>
      </w:pPr>
    </w:p>
    <w:p>
      <w:pPr>
        <w:pStyle w:val="11"/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2021年度</w:t>
      </w:r>
    </w:p>
    <w:p>
      <w:pPr>
        <w:pStyle w:val="11"/>
        <w:jc w:val="center"/>
        <w:rPr>
          <w:sz w:val="84"/>
          <w:szCs w:val="84"/>
        </w:rPr>
      </w:pPr>
      <w:r>
        <w:rPr>
          <w:rFonts w:hint="eastAsia"/>
          <w:sz w:val="84"/>
          <w:szCs w:val="84"/>
          <w:lang w:val="en-US" w:eastAsia="zh-CN"/>
        </w:rPr>
        <w:t>岳阳市教育建设投资资产管理中心</w:t>
      </w:r>
      <w:r>
        <w:rPr>
          <w:rFonts w:hint="eastAsia"/>
          <w:sz w:val="84"/>
          <w:szCs w:val="84"/>
        </w:rPr>
        <w:t>部门决算</w:t>
      </w:r>
    </w:p>
    <w:p>
      <w:pPr>
        <w:pStyle w:val="11"/>
        <w:jc w:val="center"/>
        <w:rPr>
          <w:sz w:val="56"/>
          <w:szCs w:val="56"/>
        </w:rPr>
      </w:pPr>
    </w:p>
    <w:p>
      <w:pPr>
        <w:pStyle w:val="11"/>
        <w:jc w:val="center"/>
        <w:rPr>
          <w:sz w:val="56"/>
          <w:szCs w:val="56"/>
        </w:rPr>
      </w:pPr>
    </w:p>
    <w:p>
      <w:pPr>
        <w:pStyle w:val="11"/>
        <w:jc w:val="center"/>
        <w:rPr>
          <w:sz w:val="56"/>
          <w:szCs w:val="56"/>
        </w:rPr>
      </w:pPr>
    </w:p>
    <w:p>
      <w:pPr>
        <w:pStyle w:val="11"/>
        <w:jc w:val="center"/>
        <w:rPr>
          <w:sz w:val="56"/>
          <w:szCs w:val="56"/>
        </w:rPr>
      </w:pPr>
    </w:p>
    <w:p>
      <w:pPr>
        <w:pStyle w:val="11"/>
        <w:jc w:val="center"/>
        <w:rPr>
          <w:sz w:val="32"/>
          <w:szCs w:val="32"/>
        </w:rPr>
      </w:pPr>
    </w:p>
    <w:p>
      <w:pPr>
        <w:pStyle w:val="11"/>
        <w:jc w:val="center"/>
        <w:rPr>
          <w:sz w:val="32"/>
          <w:szCs w:val="32"/>
        </w:rPr>
      </w:pPr>
    </w:p>
    <w:p>
      <w:pPr>
        <w:pStyle w:val="11"/>
        <w:jc w:val="center"/>
        <w:rPr>
          <w:sz w:val="32"/>
          <w:szCs w:val="32"/>
        </w:rPr>
      </w:pPr>
    </w:p>
    <w:p>
      <w:pPr>
        <w:pStyle w:val="11"/>
        <w:jc w:val="center"/>
        <w:rPr>
          <w:sz w:val="32"/>
          <w:szCs w:val="32"/>
        </w:rPr>
      </w:pPr>
    </w:p>
    <w:p>
      <w:pPr>
        <w:pStyle w:val="11"/>
        <w:jc w:val="center"/>
        <w:rPr>
          <w:sz w:val="32"/>
          <w:szCs w:val="32"/>
        </w:rPr>
      </w:pPr>
    </w:p>
    <w:p>
      <w:pPr>
        <w:pStyle w:val="11"/>
        <w:spacing w:line="540" w:lineRule="exact"/>
        <w:jc w:val="center"/>
        <w:rPr>
          <w:sz w:val="56"/>
          <w:szCs w:val="56"/>
        </w:rPr>
      </w:pPr>
    </w:p>
    <w:p>
      <w:pPr>
        <w:pStyle w:val="11"/>
        <w:spacing w:line="500" w:lineRule="exact"/>
        <w:jc w:val="center"/>
        <w:rPr>
          <w:b/>
          <w:sz w:val="36"/>
          <w:szCs w:val="28"/>
        </w:rPr>
      </w:pPr>
    </w:p>
    <w:p>
      <w:pPr>
        <w:pStyle w:val="11"/>
        <w:spacing w:line="500" w:lineRule="exact"/>
        <w:jc w:val="center"/>
        <w:rPr>
          <w:b/>
          <w:sz w:val="36"/>
          <w:szCs w:val="28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jc w:val="center"/>
        <w:textAlignment w:val="auto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目录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ascii="仿宋_GB2312" w:hAnsi="仿宋_GB2312" w:cs="仿宋_GB2312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第一部分</w:t>
      </w:r>
      <w:r>
        <w:rPr>
          <w:rFonts w:hint="eastAsia"/>
          <w:b/>
          <w:sz w:val="28"/>
          <w:szCs w:val="28"/>
          <w:lang w:val="en-US" w:eastAsia="zh-CN"/>
        </w:rPr>
        <w:t xml:space="preserve">  岳阳市教育建设投资资产管理中心</w:t>
      </w:r>
      <w:r>
        <w:rPr>
          <w:rFonts w:hint="eastAsia"/>
          <w:b/>
          <w:sz w:val="28"/>
          <w:szCs w:val="28"/>
        </w:rPr>
        <w:t>单位概况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一、部门职责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二、机构设置</w:t>
      </w:r>
      <w:r>
        <w:rPr>
          <w:rFonts w:hint="eastAsia" w:ascii="宋体" w:hAnsi="Times New Roman" w:eastAsia="宋体"/>
          <w:color w:val="000000"/>
          <w:kern w:val="0"/>
          <w:sz w:val="28"/>
          <w:szCs w:val="24"/>
          <w:highlight w:val="white"/>
          <w:lang w:eastAsia="zh-CN"/>
        </w:rPr>
        <w:t>及决算单位构成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ascii="仿宋_GB2312" w:hAnsi="仿宋_GB2312" w:cs="仿宋_GB2312"/>
          <w:b/>
          <w:sz w:val="28"/>
          <w:szCs w:val="28"/>
        </w:rPr>
      </w:pPr>
      <w:r>
        <w:rPr>
          <w:rFonts w:hint="eastAsia" w:hAnsi="仿宋_GB2312"/>
          <w:b/>
          <w:sz w:val="28"/>
          <w:szCs w:val="28"/>
        </w:rPr>
        <w:t>第二部分</w:t>
      </w:r>
      <w:r>
        <w:rPr>
          <w:rFonts w:hint="eastAsia" w:hAnsi="仿宋_GB2312"/>
          <w:b/>
          <w:sz w:val="28"/>
          <w:szCs w:val="28"/>
          <w:lang w:val="en-US" w:eastAsia="zh-CN"/>
        </w:rPr>
        <w:t xml:space="preserve">  </w:t>
      </w:r>
      <w:r>
        <w:rPr>
          <w:rFonts w:hAnsi="仿宋_GB2312"/>
          <w:b/>
          <w:sz w:val="28"/>
          <w:szCs w:val="28"/>
        </w:rPr>
        <w:t>20</w:t>
      </w:r>
      <w:r>
        <w:rPr>
          <w:rFonts w:hint="eastAsia" w:hAnsi="仿宋_GB2312"/>
          <w:b/>
          <w:sz w:val="28"/>
          <w:szCs w:val="28"/>
        </w:rPr>
        <w:t>21年度部门决算表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一、收入支出决算总表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二、收入决算表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三、支出决算表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四、财政拨款收入支出决算总表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五、一般公共预算财政拨款支出决算表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六、一般公共预算财政拨款基本支出决算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明细</w:t>
      </w:r>
      <w:r>
        <w:rPr>
          <w:rFonts w:cs="仿宋_GB2312" w:asciiTheme="minorEastAsia" w:hAnsiTheme="minorEastAsia" w:eastAsiaTheme="minorEastAsia"/>
          <w:sz w:val="28"/>
          <w:szCs w:val="28"/>
        </w:rPr>
        <w:t>表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七、一般公共预算财政拨款“三公”经费支出决算表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八、政府性基金预算财政拨款收入支出决算表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>九、国有资本经营预算财政拨款支出决算表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ascii="仿宋_GB2312" w:hAnsi="仿宋_GB2312" w:cs="仿宋_GB2312"/>
          <w:b/>
          <w:sz w:val="28"/>
          <w:szCs w:val="28"/>
        </w:rPr>
      </w:pPr>
      <w:r>
        <w:rPr>
          <w:rFonts w:hint="eastAsia" w:hAnsi="仿宋_GB2312"/>
          <w:b/>
          <w:sz w:val="28"/>
          <w:szCs w:val="28"/>
        </w:rPr>
        <w:t>第三部分</w:t>
      </w:r>
      <w:r>
        <w:rPr>
          <w:rFonts w:hint="eastAsia" w:hAnsi="仿宋_GB2312"/>
          <w:b/>
          <w:sz w:val="28"/>
          <w:szCs w:val="28"/>
          <w:lang w:val="en-US" w:eastAsia="zh-CN"/>
        </w:rPr>
        <w:t xml:space="preserve">  </w:t>
      </w:r>
      <w:r>
        <w:rPr>
          <w:rFonts w:hAnsi="仿宋_GB2312"/>
          <w:b/>
          <w:sz w:val="28"/>
          <w:szCs w:val="28"/>
        </w:rPr>
        <w:t>20</w:t>
      </w:r>
      <w:r>
        <w:rPr>
          <w:rFonts w:hint="eastAsia" w:hAnsi="仿宋_GB2312"/>
          <w:b/>
          <w:sz w:val="28"/>
          <w:szCs w:val="28"/>
        </w:rPr>
        <w:t>21年度部门决算情况说明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一、收入支出决算总体情况说明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t>二、收入决算情况说明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三、支出决算情况说明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四、财政拨款收入支出决算总体情况说明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五、一般公共预算财政拨款支出决算情况说明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六、一般公共预算财政拨款基本支出决算情况说明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七、一般公共预算财政拨款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“</w:t>
      </w:r>
      <w:r>
        <w:rPr>
          <w:rFonts w:ascii="仿宋_GB2312" w:hAnsi="仿宋_GB2312" w:cs="仿宋_GB2312"/>
          <w:color w:val="000000"/>
          <w:kern w:val="0"/>
          <w:sz w:val="28"/>
          <w:szCs w:val="28"/>
        </w:rPr>
        <w:t>三公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”</w:t>
      </w:r>
      <w:r>
        <w:rPr>
          <w:rFonts w:ascii="仿宋_GB2312" w:hAnsi="仿宋_GB2312" w:cs="仿宋_GB2312"/>
          <w:color w:val="000000"/>
          <w:kern w:val="0"/>
          <w:sz w:val="28"/>
          <w:szCs w:val="28"/>
        </w:rPr>
        <w:t>经费支出决算情况说明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八</w:t>
      </w:r>
      <w:r>
        <w:rPr>
          <w:rFonts w:ascii="仿宋_GB2312" w:hAnsi="仿宋_GB2312" w:cs="仿宋_GB2312"/>
          <w:color w:val="000000"/>
          <w:kern w:val="0"/>
          <w:sz w:val="28"/>
          <w:szCs w:val="28"/>
        </w:rPr>
        <w:t>、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政府性基金预算收入支出决算情况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cs="仿宋_GB2312" w:eastAsiaTheme="minorEastAsia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九</w:t>
      </w:r>
      <w:r>
        <w:rPr>
          <w:rFonts w:ascii="仿宋_GB2312" w:hAnsi="仿宋_GB2312" w:cs="仿宋_GB2312"/>
          <w:color w:val="000000"/>
          <w:kern w:val="0"/>
          <w:sz w:val="28"/>
          <w:szCs w:val="28"/>
        </w:rPr>
        <w:t>、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国有资本经营预算财政拨款支出决算</w:t>
      </w:r>
      <w:r>
        <w:rPr>
          <w:rFonts w:hint="eastAsia" w:cs="仿宋_GB2312" w:asciiTheme="minorEastAsia" w:hAnsiTheme="minorEastAsia"/>
          <w:sz w:val="28"/>
          <w:szCs w:val="28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十、机关运行经费支出说明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十一、一般性支出情况说明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 w:eastAsiaTheme="minorEastAsia"/>
          <w:sz w:val="28"/>
          <w:szCs w:val="28"/>
        </w:rPr>
      </w:pPr>
      <w:r>
        <w:rPr>
          <w:rFonts w:hint="eastAsia" w:ascii="仿宋_GB2312" w:hAnsi="仿宋_GB2312" w:cs="仿宋_GB2312" w:eastAsiaTheme="minorEastAsia"/>
          <w:sz w:val="28"/>
          <w:szCs w:val="28"/>
        </w:rPr>
        <w:t>十二、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政府采购支出说明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cs="仿宋_GB2312" w:eastAsiaTheme="minorEastAsia"/>
          <w:sz w:val="28"/>
          <w:szCs w:val="28"/>
        </w:rPr>
      </w:pPr>
      <w:r>
        <w:rPr>
          <w:rFonts w:hint="eastAsia" w:ascii="仿宋_GB2312" w:hAnsi="仿宋_GB2312" w:cs="仿宋_GB2312" w:eastAsiaTheme="minorEastAsia"/>
          <w:sz w:val="28"/>
          <w:szCs w:val="28"/>
        </w:rPr>
        <w:t>十三、国有资产占用情况说明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cs="仿宋_GB2312" w:eastAsiaTheme="minorEastAsia"/>
          <w:sz w:val="28"/>
          <w:szCs w:val="28"/>
          <w:lang w:eastAsia="zh-CN"/>
        </w:rPr>
      </w:pPr>
      <w:r>
        <w:rPr>
          <w:rFonts w:hint="eastAsia" w:ascii="仿宋_GB2312" w:hAnsi="仿宋_GB2312" w:cs="仿宋_GB2312" w:eastAsiaTheme="minorEastAsia"/>
          <w:sz w:val="28"/>
          <w:szCs w:val="28"/>
          <w:lang w:eastAsia="zh-CN"/>
        </w:rPr>
        <w:t>十四、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2021年</w:t>
      </w:r>
      <w:r>
        <w:rPr>
          <w:rFonts w:hint="eastAsia" w:ascii="仿宋_GB2312" w:hAnsi="仿宋_GB2312" w:cs="仿宋_GB2312" w:eastAsiaTheme="minorEastAsia"/>
          <w:sz w:val="28"/>
          <w:szCs w:val="28"/>
        </w:rPr>
        <w:t>度预算绩效情况说明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jc w:val="left"/>
        <w:textAlignment w:val="auto"/>
        <w:rPr>
          <w:rFonts w:ascii="黑体" w:hAnsi="黑体" w:eastAsia="黑体" w:cs="黑体"/>
          <w:b/>
          <w:color w:val="000000"/>
          <w:kern w:val="0"/>
          <w:sz w:val="28"/>
          <w:szCs w:val="28"/>
        </w:rPr>
      </w:pPr>
      <w:r>
        <w:rPr>
          <w:rFonts w:ascii="黑体" w:hAnsi="黑体" w:eastAsia="黑体" w:cs="黑体"/>
          <w:b/>
          <w:color w:val="000000"/>
          <w:kern w:val="0"/>
          <w:sz w:val="28"/>
          <w:szCs w:val="28"/>
        </w:rPr>
        <w:t>第四部分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ascii="黑体" w:hAnsi="黑体" w:eastAsia="黑体" w:cs="黑体"/>
          <w:b/>
          <w:color w:val="000000"/>
          <w:kern w:val="0"/>
          <w:sz w:val="28"/>
          <w:szCs w:val="28"/>
        </w:rPr>
        <w:t>名词解释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jc w:val="left"/>
        <w:textAlignment w:val="auto"/>
        <w:rPr>
          <w:rFonts w:ascii="黑体" w:hAnsi="黑体" w:eastAsia="黑体" w:cs="仿宋_GB2312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</w:rPr>
        <w:t>第五部分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20" w:lineRule="exact"/>
        <w:jc w:val="center"/>
        <w:textAlignment w:val="auto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rPr>
          <w:sz w:val="72"/>
          <w:szCs w:val="72"/>
        </w:rPr>
      </w:pPr>
    </w:p>
    <w:p>
      <w:pPr>
        <w:pStyle w:val="11"/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第一部分</w:t>
      </w:r>
      <w:r>
        <w:rPr>
          <w:sz w:val="84"/>
          <w:szCs w:val="84"/>
        </w:rPr>
        <w:t xml:space="preserve"> </w:t>
      </w:r>
    </w:p>
    <w:p>
      <w:pPr>
        <w:pStyle w:val="11"/>
        <w:jc w:val="center"/>
        <w:rPr>
          <w:sz w:val="84"/>
          <w:szCs w:val="84"/>
        </w:rPr>
      </w:pPr>
    </w:p>
    <w:p>
      <w:pPr>
        <w:pStyle w:val="11"/>
        <w:jc w:val="center"/>
        <w:rPr>
          <w:sz w:val="84"/>
          <w:szCs w:val="84"/>
        </w:rPr>
      </w:pPr>
      <w:r>
        <w:rPr>
          <w:rFonts w:hint="eastAsia"/>
          <w:sz w:val="84"/>
          <w:szCs w:val="84"/>
          <w:lang w:val="en-US" w:eastAsia="zh-CN"/>
        </w:rPr>
        <w:t>岳阳市教育建设投资资产管理中心</w:t>
      </w:r>
      <w:r>
        <w:rPr>
          <w:rFonts w:hint="eastAsia"/>
          <w:sz w:val="84"/>
          <w:szCs w:val="84"/>
        </w:rPr>
        <w:t>单位概况</w:t>
      </w: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pStyle w:val="12"/>
        <w:ind w:left="720" w:firstLine="0" w:firstLineChars="0"/>
        <w:jc w:val="left"/>
        <w:rPr>
          <w:rFonts w:ascii="黑体" w:hAnsi="黑体" w:eastAsia="黑体"/>
          <w:sz w:val="32"/>
          <w:szCs w:val="32"/>
        </w:rPr>
      </w:pPr>
    </w:p>
    <w:p>
      <w:pPr>
        <w:pStyle w:val="12"/>
        <w:ind w:left="720" w:firstLine="0" w:firstLineChars="0"/>
        <w:jc w:val="left"/>
        <w:rPr>
          <w:rFonts w:ascii="黑体" w:hAnsi="黑体" w:eastAsia="黑体"/>
          <w:sz w:val="32"/>
          <w:szCs w:val="32"/>
        </w:rPr>
      </w:pPr>
    </w:p>
    <w:p>
      <w:pPr>
        <w:pStyle w:val="12"/>
        <w:ind w:left="720" w:firstLine="0" w:firstLineChars="0"/>
        <w:jc w:val="left"/>
        <w:rPr>
          <w:rFonts w:ascii="黑体" w:hAnsi="黑体" w:eastAsia="黑体"/>
          <w:sz w:val="32"/>
          <w:szCs w:val="32"/>
        </w:rPr>
      </w:pPr>
    </w:p>
    <w:p>
      <w:pPr>
        <w:pStyle w:val="12"/>
        <w:numPr>
          <w:ilvl w:val="0"/>
          <w:numId w:val="1"/>
        </w:numPr>
        <w:ind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部门职责</w:t>
      </w:r>
    </w:p>
    <w:p>
      <w:pPr>
        <w:ind w:firstLine="800" w:firstLineChars="25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为市直教育单位基本建设提供保障。</w:t>
      </w:r>
    </w:p>
    <w:p>
      <w:pPr>
        <w:ind w:firstLine="800" w:firstLineChars="250"/>
        <w:jc w:val="left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定市直教育单位教育投资管理的规章制度，编报基建及维修计划和项目管理，负责基建及维修项目的预、决算，负责市直教育单位投资、融资、债务管理和非经营性国有资产管理，监管市直教育单位经营性国有资产。</w:t>
      </w:r>
    </w:p>
    <w:p>
      <w:pPr>
        <w:widowControl/>
        <w:spacing w:line="600" w:lineRule="exact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二、机构设置及决算单位构成</w:t>
      </w:r>
    </w:p>
    <w:p>
      <w:pPr>
        <w:widowControl/>
        <w:spacing w:line="600" w:lineRule="exact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（一）内设机构设置。岳阳市教育建设投资资产管理中心单位内设机构包括：资产管理中心。</w:t>
      </w:r>
    </w:p>
    <w:p>
      <w:pPr>
        <w:widowControl/>
        <w:spacing w:line="600" w:lineRule="exact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（二）决算单位构成。岳阳市教育建设投资资产管理中心单位202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年部门决算汇总公开单位构成包括：岳阳市教育建设投资资产管理中心单位本级。</w:t>
      </w:r>
    </w:p>
    <w:p>
      <w:pPr>
        <w:jc w:val="left"/>
        <w:rPr>
          <w:rFonts w:ascii="仿宋_GB2312" w:eastAsia="仿宋_GB2312" w:hAnsiTheme="minorEastAsia"/>
          <w:sz w:val="28"/>
          <w:szCs w:val="32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第二部分</w:t>
      </w:r>
    </w:p>
    <w:p>
      <w:pPr>
        <w:jc w:val="center"/>
        <w:rPr>
          <w:sz w:val="72"/>
          <w:szCs w:val="72"/>
        </w:rPr>
      </w:pPr>
    </w:p>
    <w:p>
      <w:pPr>
        <w:jc w:val="center"/>
        <w:rPr>
          <w:rFonts w:hint="eastAsia"/>
          <w:sz w:val="72"/>
          <w:szCs w:val="72"/>
        </w:rPr>
      </w:pPr>
      <w:r>
        <w:rPr>
          <w:rFonts w:hint="eastAsia"/>
          <w:sz w:val="72"/>
          <w:szCs w:val="72"/>
        </w:rPr>
        <w:t>部门决算表</w:t>
      </w:r>
    </w:p>
    <w:p>
      <w:pPr>
        <w:jc w:val="center"/>
        <w:rPr>
          <w:rFonts w:hint="eastAsia" w:eastAsiaTheme="minorEastAsia"/>
          <w:sz w:val="72"/>
          <w:szCs w:val="72"/>
          <w:lang w:eastAsia="zh-CN"/>
        </w:rPr>
      </w:pPr>
      <w:r>
        <w:rPr>
          <w:rFonts w:hint="eastAsia"/>
          <w:sz w:val="72"/>
          <w:szCs w:val="72"/>
          <w:lang w:eastAsia="zh-CN"/>
        </w:rPr>
        <w:t>（见附件）</w:t>
      </w: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left"/>
        <w:rPr>
          <w:rFonts w:asciiTheme="minorEastAsia" w:hAnsiTheme="minorEastAsia"/>
          <w:sz w:val="32"/>
          <w:szCs w:val="32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pStyle w:val="11"/>
        <w:jc w:val="both"/>
        <w:rPr>
          <w:sz w:val="72"/>
          <w:szCs w:val="72"/>
        </w:rPr>
      </w:pPr>
    </w:p>
    <w:p>
      <w:pPr>
        <w:pStyle w:val="11"/>
        <w:jc w:val="center"/>
        <w:rPr>
          <w:sz w:val="72"/>
          <w:szCs w:val="72"/>
        </w:rPr>
      </w:pPr>
    </w:p>
    <w:p>
      <w:pPr>
        <w:pStyle w:val="11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第三部分</w:t>
      </w:r>
    </w:p>
    <w:p>
      <w:pPr>
        <w:pStyle w:val="11"/>
        <w:jc w:val="center"/>
        <w:rPr>
          <w:sz w:val="70"/>
          <w:szCs w:val="70"/>
        </w:rPr>
      </w:pPr>
    </w:p>
    <w:p>
      <w:pPr>
        <w:pStyle w:val="11"/>
        <w:jc w:val="center"/>
        <w:rPr>
          <w:sz w:val="70"/>
          <w:szCs w:val="70"/>
        </w:rPr>
      </w:pPr>
      <w:r>
        <w:rPr>
          <w:sz w:val="70"/>
          <w:szCs w:val="70"/>
        </w:rPr>
        <w:t>20</w:t>
      </w:r>
      <w:r>
        <w:rPr>
          <w:rFonts w:hint="eastAsia"/>
          <w:sz w:val="70"/>
          <w:szCs w:val="70"/>
        </w:rPr>
        <w:t>21年度部门决算情况说明</w:t>
      </w:r>
    </w:p>
    <w:p>
      <w:pPr>
        <w:widowControl/>
        <w:jc w:val="left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sz w:val="70"/>
          <w:szCs w:val="70"/>
        </w:rPr>
        <w:br w:type="page"/>
      </w:r>
    </w:p>
    <w:p>
      <w:pPr>
        <w:pStyle w:val="11"/>
        <w:rPr>
          <w:rFonts w:asciiTheme="minorEastAsia" w:hAnsiTheme="minorEastAsia" w:eastAsiaTheme="minorEastAsia"/>
          <w:sz w:val="32"/>
          <w:szCs w:val="32"/>
        </w:rPr>
      </w:pPr>
    </w:p>
    <w:p>
      <w:pPr>
        <w:pStyle w:val="11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一、收入支出决算总体情况说明</w:t>
      </w:r>
    </w:p>
    <w:p>
      <w:pPr>
        <w:pStyle w:val="11"/>
        <w:ind w:firstLine="640" w:firstLineChars="200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2021年度收、支总计13294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.</w:t>
      </w:r>
      <w:r>
        <w:rPr>
          <w:rFonts w:hint="eastAsia" w:asciiTheme="minorEastAsia" w:hAnsiTheme="minorEastAsia" w:eastAsiaTheme="minorEastAsia"/>
          <w:sz w:val="32"/>
          <w:szCs w:val="32"/>
        </w:rPr>
        <w:t>7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32"/>
          <w:szCs w:val="32"/>
        </w:rPr>
        <w:t>万元。与上年相比，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减少4511.83</w:t>
      </w:r>
      <w:r>
        <w:rPr>
          <w:rFonts w:hint="eastAsia" w:asciiTheme="minorEastAsia" w:hAnsiTheme="minorEastAsia" w:eastAsiaTheme="minorEastAsia"/>
          <w:sz w:val="32"/>
          <w:szCs w:val="32"/>
        </w:rPr>
        <w:t>万元，减少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25.34</w:t>
      </w:r>
      <w:r>
        <w:rPr>
          <w:rFonts w:hint="eastAsia" w:asciiTheme="minorEastAsia" w:hAnsiTheme="minorEastAsia" w:eastAsiaTheme="minorEastAsia"/>
          <w:sz w:val="32"/>
          <w:szCs w:val="32"/>
        </w:rPr>
        <w:t>%，主要是因为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市直学校归还银行贷款计息增加，国有土地使用权出让收入减少至0。</w:t>
      </w:r>
    </w:p>
    <w:p>
      <w:pPr>
        <w:pStyle w:val="11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二、收入决算情况说明</w:t>
      </w:r>
    </w:p>
    <w:p>
      <w:pPr>
        <w:pStyle w:val="11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2021年度收入合计12262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.</w:t>
      </w:r>
      <w:r>
        <w:rPr>
          <w:rFonts w:hint="eastAsia" w:asciiTheme="minorEastAsia" w:hAnsiTheme="minorEastAsia" w:eastAsiaTheme="minorEastAsia"/>
          <w:sz w:val="32"/>
          <w:szCs w:val="32"/>
        </w:rPr>
        <w:t>64万元，其中：财政拨款收入12262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.</w:t>
      </w:r>
      <w:r>
        <w:rPr>
          <w:rFonts w:hint="eastAsia" w:asciiTheme="minorEastAsia" w:hAnsiTheme="minorEastAsia" w:eastAsiaTheme="minorEastAsia"/>
          <w:sz w:val="32"/>
          <w:szCs w:val="32"/>
        </w:rPr>
        <w:t>64万元，占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sz w:val="32"/>
          <w:szCs w:val="32"/>
        </w:rPr>
        <w:t>%；上级补助收入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%；事业收入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%；经营收入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%；附属单位上缴收入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%；其他收入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%。</w:t>
      </w:r>
    </w:p>
    <w:p>
      <w:pPr>
        <w:pStyle w:val="11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三、支出决算情况说明</w:t>
      </w:r>
    </w:p>
    <w:p>
      <w:pPr>
        <w:pStyle w:val="11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2021年度支出合计13294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.</w:t>
      </w:r>
      <w:r>
        <w:rPr>
          <w:rFonts w:hint="eastAsia" w:asciiTheme="minorEastAsia" w:hAnsiTheme="minorEastAsia" w:eastAsiaTheme="minorEastAsia"/>
          <w:sz w:val="32"/>
          <w:szCs w:val="32"/>
        </w:rPr>
        <w:t>7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32"/>
          <w:szCs w:val="32"/>
        </w:rPr>
        <w:t>万元，其中：基本支出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%；项目支出13294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.</w:t>
      </w:r>
      <w:r>
        <w:rPr>
          <w:rFonts w:hint="eastAsia" w:asciiTheme="minorEastAsia" w:hAnsiTheme="minorEastAsia" w:eastAsiaTheme="minorEastAsia"/>
          <w:sz w:val="32"/>
          <w:szCs w:val="32"/>
        </w:rPr>
        <w:t>7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sz w:val="32"/>
          <w:szCs w:val="32"/>
        </w:rPr>
        <w:t>%；上缴上级支出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%；经营支出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%；对附属单位补助支出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%。</w:t>
      </w:r>
    </w:p>
    <w:p>
      <w:pPr>
        <w:pStyle w:val="11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四、财政拨款收入支出决算总体情况说明</w:t>
      </w:r>
    </w:p>
    <w:p>
      <w:pPr>
        <w:pStyle w:val="11"/>
        <w:ind w:firstLine="640" w:firstLineChars="200"/>
        <w:rPr>
          <w:rFonts w:asciiTheme="minorEastAsia" w:hAnsiTheme="minorEastAsia" w:eastAsiaTheme="minorEastAsia"/>
          <w:i/>
          <w:iCs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2021年度财政拨款收、支总计13294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.</w:t>
      </w:r>
      <w:r>
        <w:rPr>
          <w:rFonts w:hint="eastAsia" w:asciiTheme="minorEastAsia" w:hAnsiTheme="minorEastAsia" w:eastAsiaTheme="minorEastAsia"/>
          <w:sz w:val="32"/>
          <w:szCs w:val="32"/>
        </w:rPr>
        <w:t>7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32"/>
          <w:szCs w:val="32"/>
        </w:rPr>
        <w:t>万元，与上年相比，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减少4511.83</w:t>
      </w:r>
      <w:r>
        <w:rPr>
          <w:rFonts w:hint="eastAsia" w:asciiTheme="minorEastAsia" w:hAnsiTheme="minorEastAsia" w:eastAsiaTheme="minorEastAsia"/>
          <w:sz w:val="32"/>
          <w:szCs w:val="32"/>
        </w:rPr>
        <w:t>万元,减少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25.34</w:t>
      </w:r>
      <w:r>
        <w:rPr>
          <w:rFonts w:hint="eastAsia" w:asciiTheme="minorEastAsia" w:hAnsiTheme="minorEastAsia" w:eastAsiaTheme="minorEastAsia"/>
          <w:sz w:val="32"/>
          <w:szCs w:val="32"/>
        </w:rPr>
        <w:t>%，主要是因为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市直学校归还银行贷款计息增加，国有土地使用权出让收入减少至0。</w:t>
      </w:r>
    </w:p>
    <w:p>
      <w:pPr>
        <w:pStyle w:val="11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五、一般公共预算财政拨款支出决算情况说明</w:t>
      </w:r>
    </w:p>
    <w:p>
      <w:pPr>
        <w:pStyle w:val="11"/>
        <w:ind w:firstLine="640" w:firstLineChars="20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（一）财政拨款支出决算总体情况</w:t>
      </w:r>
    </w:p>
    <w:p>
      <w:pPr>
        <w:pStyle w:val="11"/>
        <w:ind w:firstLine="640" w:firstLineChars="200"/>
        <w:rPr>
          <w:rFonts w:asciiTheme="minorEastAsia" w:hAnsiTheme="minorEastAsia" w:eastAsiaTheme="minorEastAsia"/>
          <w:i/>
          <w:iCs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2021年度财政拨款支出13294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.</w:t>
      </w:r>
      <w:r>
        <w:rPr>
          <w:rFonts w:hint="eastAsia" w:asciiTheme="minorEastAsia" w:hAnsiTheme="minorEastAsia" w:eastAsiaTheme="minorEastAsia"/>
          <w:sz w:val="32"/>
          <w:szCs w:val="32"/>
        </w:rPr>
        <w:t>7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万元，占本年支出合计的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sz w:val="32"/>
          <w:szCs w:val="32"/>
        </w:rPr>
        <w:t>%，与上年相比，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减少4511.83</w:t>
      </w:r>
      <w:r>
        <w:rPr>
          <w:rFonts w:hint="eastAsia" w:asciiTheme="minorEastAsia" w:hAnsiTheme="minorEastAsia" w:eastAsiaTheme="minorEastAsia"/>
          <w:sz w:val="32"/>
          <w:szCs w:val="32"/>
        </w:rPr>
        <w:t>万元,减少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25.34</w:t>
      </w:r>
      <w:r>
        <w:rPr>
          <w:rFonts w:hint="eastAsia" w:asciiTheme="minorEastAsia" w:hAnsiTheme="minorEastAsia" w:eastAsiaTheme="minorEastAsia"/>
          <w:sz w:val="32"/>
          <w:szCs w:val="32"/>
        </w:rPr>
        <w:t>%，主要是因为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市直学校归还银行贷款计息增加，国有土地使用权出让收入减少至0。</w:t>
      </w:r>
    </w:p>
    <w:p>
      <w:pPr>
        <w:pStyle w:val="11"/>
        <w:ind w:firstLine="480" w:firstLineChars="15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（二）财政拨款支出决算结构情况</w:t>
      </w:r>
    </w:p>
    <w:p>
      <w:pPr>
        <w:pStyle w:val="11"/>
        <w:ind w:firstLine="640" w:firstLineChars="200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2021年度财政拨款支出13294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.</w:t>
      </w:r>
      <w:r>
        <w:rPr>
          <w:rFonts w:hint="eastAsia" w:asciiTheme="minorEastAsia" w:hAnsiTheme="minorEastAsia" w:eastAsiaTheme="minorEastAsia"/>
          <w:sz w:val="32"/>
          <w:szCs w:val="32"/>
        </w:rPr>
        <w:t>7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32"/>
          <w:szCs w:val="32"/>
        </w:rPr>
        <w:t>万元，主要用于以下方面：一般公共服务（类）支出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%；教育（类）支出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13158.74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98.98</w:t>
      </w:r>
      <w:r>
        <w:rPr>
          <w:rFonts w:hint="eastAsia" w:asciiTheme="minorEastAsia" w:hAnsiTheme="minorEastAsia" w:eastAsiaTheme="minorEastAsia"/>
          <w:sz w:val="32"/>
          <w:szCs w:val="32"/>
        </w:rPr>
        <w:t>%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;住房保障(类）支出136万元，占1.02%。</w:t>
      </w:r>
    </w:p>
    <w:p>
      <w:pPr>
        <w:pStyle w:val="11"/>
        <w:ind w:firstLine="800" w:firstLineChars="25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（三）财政拨款支出决算具体情况</w:t>
      </w:r>
    </w:p>
    <w:p>
      <w:pPr>
        <w:pStyle w:val="11"/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2021年度财政拨款支出年初预算数为13294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.</w:t>
      </w:r>
      <w:r>
        <w:rPr>
          <w:rFonts w:hint="eastAsia" w:asciiTheme="minorEastAsia" w:hAnsiTheme="minorEastAsia" w:eastAsiaTheme="minorEastAsia"/>
          <w:sz w:val="32"/>
          <w:szCs w:val="32"/>
        </w:rPr>
        <w:t>7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万元，支出决算数为13294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.</w:t>
      </w:r>
      <w:r>
        <w:rPr>
          <w:rFonts w:hint="eastAsia" w:asciiTheme="minorEastAsia" w:hAnsiTheme="minorEastAsia" w:eastAsiaTheme="minorEastAsia"/>
          <w:sz w:val="32"/>
          <w:szCs w:val="32"/>
        </w:rPr>
        <w:t>7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sz w:val="32"/>
          <w:szCs w:val="32"/>
        </w:rPr>
        <w:t>%，其中：</w:t>
      </w:r>
    </w:p>
    <w:p>
      <w:pPr>
        <w:pStyle w:val="11"/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1、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教育支出</w:t>
      </w:r>
      <w:r>
        <w:rPr>
          <w:rFonts w:hint="eastAsia" w:asciiTheme="minorEastAsia" w:hAnsiTheme="minorEastAsia" w:eastAsiaTheme="minorEastAsia"/>
          <w:sz w:val="32"/>
          <w:szCs w:val="32"/>
        </w:rPr>
        <w:t>（类）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教育费附加安排的支出</w:t>
      </w:r>
      <w:r>
        <w:rPr>
          <w:rFonts w:hint="eastAsia" w:asciiTheme="minorEastAsia" w:hAnsiTheme="minorEastAsia" w:eastAsiaTheme="minorEastAsia"/>
          <w:sz w:val="32"/>
          <w:szCs w:val="32"/>
        </w:rPr>
        <w:t>（款）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其他教育费附加安排的支出</w:t>
      </w:r>
      <w:r>
        <w:rPr>
          <w:rFonts w:hint="eastAsia" w:asciiTheme="minorEastAsia" w:hAnsiTheme="minorEastAsia" w:eastAsiaTheme="minorEastAsia"/>
          <w:sz w:val="32"/>
          <w:szCs w:val="32"/>
        </w:rPr>
        <w:t>（项）。</w:t>
      </w:r>
    </w:p>
    <w:p>
      <w:pPr>
        <w:pStyle w:val="11"/>
        <w:ind w:firstLine="800" w:firstLineChars="250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11783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万元，支出决算为10798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.</w:t>
      </w:r>
      <w:r>
        <w:rPr>
          <w:rFonts w:hint="eastAsia" w:asciiTheme="minorEastAsia" w:hAnsiTheme="minorEastAsia" w:eastAsiaTheme="minorEastAsia"/>
          <w:sz w:val="32"/>
          <w:szCs w:val="32"/>
        </w:rPr>
        <w:t>6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91.65</w:t>
      </w:r>
      <w:r>
        <w:rPr>
          <w:rFonts w:hint="eastAsia" w:asciiTheme="minorEastAsia" w:hAnsiTheme="minorEastAsia" w:eastAsiaTheme="minorEastAsia"/>
          <w:sz w:val="32"/>
          <w:szCs w:val="32"/>
        </w:rPr>
        <w:t>%，决算数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小</w:t>
      </w:r>
      <w:r>
        <w:rPr>
          <w:rFonts w:hint="eastAsia" w:asciiTheme="minorEastAsia" w:hAnsiTheme="minorEastAsia" w:eastAsiaTheme="minorEastAsia"/>
          <w:sz w:val="32"/>
          <w:szCs w:val="32"/>
        </w:rPr>
        <w:t>于年初预算数的主要原因是：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部分工程项目尚未达到工程进度，不能财务核算，支付相应的工程款。</w:t>
      </w:r>
    </w:p>
    <w:p>
      <w:pPr>
        <w:pStyle w:val="11"/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2、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教育支出</w:t>
      </w:r>
      <w:r>
        <w:rPr>
          <w:rFonts w:hint="eastAsia" w:asciiTheme="minorEastAsia" w:hAnsiTheme="minorEastAsia" w:eastAsiaTheme="minorEastAsia"/>
          <w:sz w:val="32"/>
          <w:szCs w:val="32"/>
        </w:rPr>
        <w:t>（类）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其他教育支出</w:t>
      </w:r>
      <w:r>
        <w:rPr>
          <w:rFonts w:hint="eastAsia" w:asciiTheme="minorEastAsia" w:hAnsiTheme="minorEastAsia" w:eastAsiaTheme="minorEastAsia"/>
          <w:sz w:val="32"/>
          <w:szCs w:val="32"/>
        </w:rPr>
        <w:t>（款）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其他教育支出</w:t>
      </w:r>
      <w:r>
        <w:rPr>
          <w:rFonts w:hint="eastAsia" w:asciiTheme="minorEastAsia" w:hAnsiTheme="minorEastAsia" w:eastAsiaTheme="minorEastAsia"/>
          <w:sz w:val="32"/>
          <w:szCs w:val="32"/>
        </w:rPr>
        <w:t>（项）。</w:t>
      </w:r>
    </w:p>
    <w:p>
      <w:pPr>
        <w:pStyle w:val="11"/>
        <w:ind w:firstLine="800" w:firstLineChars="250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2360.1</w:t>
      </w:r>
      <w:r>
        <w:rPr>
          <w:rFonts w:hint="eastAsia" w:asciiTheme="minorEastAsia" w:hAnsiTheme="minorEastAsia" w:eastAsiaTheme="minorEastAsia"/>
          <w:sz w:val="32"/>
          <w:szCs w:val="32"/>
        </w:rPr>
        <w:t>万元，由于预算数为0，无法计算百分比，决算数大于年初预算数的主要原因是：偿还债务及利息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本金2240万元，和市直幼儿园托育资金120.1万元的增加。</w:t>
      </w:r>
    </w:p>
    <w:p>
      <w:pPr>
        <w:pStyle w:val="11"/>
        <w:numPr>
          <w:ilvl w:val="0"/>
          <w:numId w:val="2"/>
        </w:numPr>
        <w:ind w:firstLine="800" w:firstLineChars="25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住房保障支出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类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保障性安居工程支出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款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棚户区改造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项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）。</w:t>
      </w:r>
    </w:p>
    <w:p>
      <w:pPr>
        <w:pStyle w:val="11"/>
        <w:numPr>
          <w:ilvl w:val="0"/>
          <w:numId w:val="0"/>
        </w:numPr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136</w:t>
      </w:r>
      <w:r>
        <w:rPr>
          <w:rFonts w:hint="eastAsia" w:asciiTheme="minorEastAsia" w:hAnsiTheme="minorEastAsia" w:eastAsiaTheme="minorEastAsia"/>
          <w:sz w:val="32"/>
          <w:szCs w:val="32"/>
        </w:rPr>
        <w:t>万元，由于预算数为0，无法计算百分比，决算数大于年初预算数的主要原因是：岳阳楼区九华山棚改项目一期（市一中校园整体提质改造）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的增加。</w:t>
      </w:r>
    </w:p>
    <w:p>
      <w:pPr>
        <w:pStyle w:val="11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六、一般公共预算财政拨款基本支出决算情况说明</w:t>
      </w:r>
    </w:p>
    <w:p>
      <w:pPr>
        <w:pStyle w:val="11"/>
        <w:ind w:firstLine="640" w:firstLineChars="200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2021年度财政拨款基本支出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无此类支出。</w:t>
      </w:r>
    </w:p>
    <w:p>
      <w:pPr>
        <w:pStyle w:val="11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七、一般公共预算财政拨款“三公”经费支出决算情况说明</w:t>
      </w:r>
    </w:p>
    <w:p>
      <w:pPr>
        <w:pStyle w:val="11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（一）“三公”经费财政拨款支出决算总体情况说明</w:t>
      </w:r>
    </w:p>
    <w:p>
      <w:pPr>
        <w:pStyle w:val="11"/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2021年度“三公”经费财政拨款支出预算为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万元，完成预算的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%，其中：</w:t>
      </w:r>
    </w:p>
    <w:p>
      <w:pPr>
        <w:pStyle w:val="11"/>
        <w:ind w:firstLine="960" w:firstLineChars="3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因公出国（境）费支出预算为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万元，决算数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与</w:t>
      </w:r>
      <w:r>
        <w:rPr>
          <w:rFonts w:hint="eastAsia" w:asciiTheme="minorEastAsia" w:hAnsiTheme="minorEastAsia" w:eastAsiaTheme="minorEastAsia"/>
          <w:sz w:val="32"/>
          <w:szCs w:val="32"/>
        </w:rPr>
        <w:t>预算数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一致无差异，</w:t>
      </w:r>
      <w:r>
        <w:rPr>
          <w:rFonts w:hint="eastAsia" w:ascii="宋体" w:hAnsi="宋体" w:eastAsia="宋体"/>
          <w:bCs/>
          <w:sz w:val="32"/>
          <w:szCs w:val="32"/>
          <w:lang w:val="en-US" w:eastAsia="zh-CN"/>
        </w:rPr>
        <w:t>主要原因是单位无</w:t>
      </w:r>
      <w:r>
        <w:rPr>
          <w:rFonts w:hint="eastAsia" w:ascii="宋体" w:hAnsi="宋体" w:eastAsia="宋体"/>
          <w:bCs/>
          <w:sz w:val="32"/>
          <w:szCs w:val="32"/>
        </w:rPr>
        <w:t>因公出国（境）</w:t>
      </w:r>
      <w:r>
        <w:rPr>
          <w:rFonts w:hint="eastAsia" w:ascii="宋体" w:hAnsi="宋体" w:eastAsia="宋体"/>
          <w:bCs/>
          <w:sz w:val="32"/>
          <w:szCs w:val="32"/>
          <w:lang w:val="en-US" w:eastAsia="zh-CN"/>
        </w:rPr>
        <w:t>预算安排和支出，</w:t>
      </w:r>
      <w:r>
        <w:rPr>
          <w:rFonts w:hint="eastAsia" w:ascii="宋体" w:hAnsi="宋体" w:eastAsia="宋体"/>
          <w:bCs/>
          <w:sz w:val="32"/>
          <w:szCs w:val="32"/>
        </w:rPr>
        <w:t>与上年相比无</w:t>
      </w:r>
      <w:r>
        <w:rPr>
          <w:rFonts w:hint="eastAsia" w:ascii="宋体" w:hAnsi="宋体" w:eastAsia="宋体"/>
          <w:bCs/>
          <w:sz w:val="32"/>
          <w:szCs w:val="32"/>
          <w:lang w:eastAsia="zh-CN"/>
        </w:rPr>
        <w:t>增减</w:t>
      </w:r>
      <w:r>
        <w:rPr>
          <w:rFonts w:hint="eastAsia" w:ascii="宋体" w:hAnsi="宋体" w:eastAsia="宋体"/>
          <w:bCs/>
          <w:sz w:val="32"/>
          <w:szCs w:val="32"/>
        </w:rPr>
        <w:t>变化</w:t>
      </w:r>
      <w:r>
        <w:rPr>
          <w:rFonts w:hint="eastAsia" w:ascii="宋体" w:hAnsi="宋体" w:eastAsia="宋体"/>
          <w:bCs/>
          <w:sz w:val="32"/>
          <w:szCs w:val="32"/>
          <w:lang w:eastAsia="zh-CN"/>
        </w:rPr>
        <w:t>，</w:t>
      </w:r>
      <w:r>
        <w:rPr>
          <w:rFonts w:hint="eastAsia" w:ascii="宋体" w:hAnsi="宋体" w:eastAsia="宋体"/>
          <w:bCs/>
          <w:sz w:val="32"/>
          <w:szCs w:val="32"/>
          <w:lang w:val="en-US" w:eastAsia="zh-CN"/>
        </w:rPr>
        <w:t>主要原因是单位近两年均无</w:t>
      </w:r>
      <w:r>
        <w:rPr>
          <w:rFonts w:hint="eastAsia" w:ascii="宋体" w:hAnsi="宋体" w:eastAsia="宋体"/>
          <w:bCs/>
          <w:sz w:val="32"/>
          <w:szCs w:val="32"/>
        </w:rPr>
        <w:t>因公出国（境）</w:t>
      </w:r>
      <w:r>
        <w:rPr>
          <w:rFonts w:hint="eastAsia" w:ascii="宋体" w:hAnsi="宋体" w:eastAsia="宋体"/>
          <w:bCs/>
          <w:sz w:val="32"/>
          <w:szCs w:val="32"/>
          <w:lang w:val="en-US" w:eastAsia="zh-CN"/>
        </w:rPr>
        <w:t>预算安排和支出</w:t>
      </w:r>
      <w:r>
        <w:rPr>
          <w:rFonts w:hint="eastAsia" w:ascii="宋体" w:hAnsi="宋体" w:eastAsia="宋体"/>
          <w:bCs/>
          <w:sz w:val="32"/>
          <w:szCs w:val="32"/>
        </w:rPr>
        <w:t>。</w:t>
      </w:r>
    </w:p>
    <w:p>
      <w:pPr>
        <w:pStyle w:val="11"/>
        <w:ind w:firstLine="960" w:firstLineChars="3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公务接待费支出预算为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万元，决算数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与</w:t>
      </w:r>
      <w:r>
        <w:rPr>
          <w:rFonts w:hint="eastAsia" w:asciiTheme="minorEastAsia" w:hAnsiTheme="minorEastAsia" w:eastAsiaTheme="minorEastAsia"/>
          <w:sz w:val="32"/>
          <w:szCs w:val="32"/>
        </w:rPr>
        <w:t>预算数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一致无差异，</w:t>
      </w:r>
      <w:r>
        <w:rPr>
          <w:rFonts w:hint="eastAsia" w:ascii="宋体" w:hAnsi="宋体" w:eastAsia="宋体"/>
          <w:bCs/>
          <w:sz w:val="32"/>
          <w:szCs w:val="32"/>
          <w:lang w:val="en-US" w:eastAsia="zh-CN"/>
        </w:rPr>
        <w:t>主要原因是单位厉行节约，严控公务接待，</w:t>
      </w:r>
      <w:r>
        <w:rPr>
          <w:rFonts w:hint="eastAsia" w:ascii="宋体" w:hAnsi="宋体" w:eastAsia="宋体"/>
          <w:bCs/>
          <w:sz w:val="32"/>
          <w:szCs w:val="32"/>
        </w:rPr>
        <w:t>与上年相比无</w:t>
      </w:r>
      <w:r>
        <w:rPr>
          <w:rFonts w:hint="eastAsia" w:ascii="宋体" w:hAnsi="宋体" w:eastAsia="宋体"/>
          <w:bCs/>
          <w:sz w:val="32"/>
          <w:szCs w:val="32"/>
          <w:lang w:eastAsia="zh-CN"/>
        </w:rPr>
        <w:t>增减</w:t>
      </w:r>
      <w:r>
        <w:rPr>
          <w:rFonts w:hint="eastAsia" w:ascii="宋体" w:hAnsi="宋体" w:eastAsia="宋体"/>
          <w:bCs/>
          <w:sz w:val="32"/>
          <w:szCs w:val="32"/>
        </w:rPr>
        <w:t>变化</w:t>
      </w:r>
      <w:r>
        <w:rPr>
          <w:rFonts w:hint="eastAsia" w:ascii="宋体" w:hAnsi="宋体" w:eastAsia="宋体"/>
          <w:bCs/>
          <w:sz w:val="32"/>
          <w:szCs w:val="32"/>
          <w:lang w:eastAsia="zh-CN"/>
        </w:rPr>
        <w:t>，</w:t>
      </w:r>
      <w:r>
        <w:rPr>
          <w:rFonts w:hint="eastAsia" w:ascii="宋体" w:hAnsi="宋体" w:eastAsia="宋体"/>
          <w:bCs/>
          <w:sz w:val="32"/>
          <w:szCs w:val="32"/>
          <w:lang w:val="en-US" w:eastAsia="zh-CN"/>
        </w:rPr>
        <w:t>主要原因是单位一直厉行节约，严控公务接待</w:t>
      </w:r>
      <w:r>
        <w:rPr>
          <w:rFonts w:hint="eastAsia" w:ascii="宋体" w:hAnsi="宋体" w:eastAsia="宋体"/>
          <w:bCs/>
          <w:sz w:val="32"/>
          <w:szCs w:val="32"/>
        </w:rPr>
        <w:t>。</w:t>
      </w:r>
    </w:p>
    <w:p>
      <w:pPr>
        <w:keepNext/>
        <w:keepLines/>
        <w:autoSpaceDE w:val="0"/>
        <w:autoSpaceDN w:val="0"/>
        <w:adjustRightInd w:val="0"/>
        <w:spacing w:beforeLines="0" w:afterLines="0" w:line="560" w:lineRule="exact"/>
        <w:ind w:firstLine="640"/>
        <w:rPr>
          <w:rFonts w:hint="eastAsia" w:ascii="宋体" w:hAnsi="Times New Roman" w:eastAsia="宋体"/>
          <w:sz w:val="32"/>
          <w:highlight w:val="white"/>
          <w:lang w:val="zh-CN"/>
        </w:rPr>
      </w:pPr>
      <w:r>
        <w:rPr>
          <w:rFonts w:hint="eastAsia" w:ascii="宋体" w:hAnsi="Times New Roman" w:eastAsia="宋体"/>
          <w:color w:val="000000"/>
          <w:sz w:val="32"/>
          <w:highlight w:val="white"/>
        </w:rPr>
        <w:t>公务用车购置费支出预算为0万元，支出决算为0万元，决算数与预算数一致</w:t>
      </w:r>
      <w:r>
        <w:rPr>
          <w:rFonts w:hint="eastAsia" w:ascii="宋体" w:hAnsi="Times New Roman" w:eastAsia="宋体"/>
          <w:color w:val="000000"/>
          <w:sz w:val="32"/>
          <w:highlight w:val="white"/>
          <w:lang w:eastAsia="zh-CN"/>
        </w:rPr>
        <w:t>无差异</w:t>
      </w:r>
      <w:r>
        <w:rPr>
          <w:rFonts w:hint="eastAsia" w:ascii="宋体" w:hAnsi="Times New Roman" w:eastAsia="宋体"/>
          <w:color w:val="000000"/>
          <w:sz w:val="32"/>
          <w:highlight w:val="white"/>
        </w:rPr>
        <w:t>，主要原因是</w:t>
      </w:r>
      <w:r>
        <w:rPr>
          <w:rFonts w:hint="eastAsia" w:ascii="宋体" w:hAnsi="Times New Roman" w:eastAsia="宋体"/>
          <w:color w:val="000000"/>
          <w:sz w:val="32"/>
          <w:highlight w:val="white"/>
          <w:lang w:eastAsia="zh-CN"/>
        </w:rPr>
        <w:t>单位无</w:t>
      </w:r>
      <w:r>
        <w:rPr>
          <w:rFonts w:hint="eastAsia" w:ascii="宋体" w:hAnsi="Times New Roman" w:eastAsia="宋体"/>
          <w:color w:val="000000"/>
          <w:sz w:val="32"/>
          <w:highlight w:val="white"/>
          <w:lang w:val="zh-CN"/>
        </w:rPr>
        <w:t>公务用车购置安排。</w:t>
      </w:r>
      <w:r>
        <w:rPr>
          <w:rFonts w:hint="eastAsia" w:ascii="宋体" w:hAnsi="Times New Roman" w:eastAsia="宋体"/>
          <w:sz w:val="32"/>
          <w:highlight w:val="white"/>
        </w:rPr>
        <w:t>与上年相比无增减变化，主要原因是</w:t>
      </w:r>
      <w:r>
        <w:rPr>
          <w:rFonts w:hint="eastAsia" w:ascii="宋体" w:hAnsi="Times New Roman" w:eastAsia="宋体"/>
          <w:sz w:val="32"/>
          <w:highlight w:val="white"/>
          <w:lang w:eastAsia="zh-CN"/>
        </w:rPr>
        <w:t>单位近两年均</w:t>
      </w:r>
      <w:r>
        <w:rPr>
          <w:rFonts w:hint="eastAsia" w:ascii="宋体" w:hAnsi="Times New Roman" w:eastAsia="宋体"/>
          <w:color w:val="000000"/>
          <w:sz w:val="32"/>
          <w:highlight w:val="white"/>
          <w:lang w:eastAsia="zh-CN"/>
        </w:rPr>
        <w:t>无</w:t>
      </w:r>
      <w:r>
        <w:rPr>
          <w:rFonts w:hint="eastAsia" w:ascii="宋体" w:hAnsi="Times New Roman" w:eastAsia="宋体"/>
          <w:color w:val="000000"/>
          <w:sz w:val="32"/>
          <w:highlight w:val="white"/>
          <w:lang w:val="zh-CN"/>
        </w:rPr>
        <w:t>公务用车购置安排。</w:t>
      </w:r>
    </w:p>
    <w:p>
      <w:pPr>
        <w:pStyle w:val="11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公务用车运行维护费支出预算为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</w:t>
      </w:r>
      <w:r>
        <w:rPr>
          <w:rFonts w:hint="eastAsia" w:ascii="宋体" w:hAnsi="Times New Roman" w:eastAsia="宋体"/>
          <w:color w:val="000000"/>
          <w:sz w:val="32"/>
          <w:highlight w:val="white"/>
        </w:rPr>
        <w:t>决算数与预算数一致</w:t>
      </w:r>
      <w:r>
        <w:rPr>
          <w:rFonts w:hint="eastAsia" w:ascii="宋体" w:hAnsi="Times New Roman" w:eastAsia="宋体"/>
          <w:color w:val="000000"/>
          <w:sz w:val="32"/>
          <w:highlight w:val="white"/>
          <w:lang w:eastAsia="zh-CN"/>
        </w:rPr>
        <w:t>无差异，</w:t>
      </w:r>
      <w:r>
        <w:rPr>
          <w:rFonts w:hint="eastAsia" w:asciiTheme="minorEastAsia" w:hAnsiTheme="minorEastAsia" w:eastAsiaTheme="minorEastAsia"/>
          <w:sz w:val="32"/>
          <w:szCs w:val="32"/>
        </w:rPr>
        <w:t>主要原因是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单位无公务用车</w:t>
      </w:r>
      <w:r>
        <w:rPr>
          <w:rFonts w:hint="eastAsia" w:asciiTheme="minorEastAsia" w:hAnsiTheme="minorEastAsia" w:eastAsiaTheme="minorEastAsia"/>
          <w:sz w:val="32"/>
          <w:szCs w:val="32"/>
        </w:rPr>
        <w:t>，与上年相比</w:t>
      </w:r>
      <w:r>
        <w:rPr>
          <w:rFonts w:hint="eastAsia" w:ascii="宋体" w:hAnsi="Times New Roman" w:eastAsia="宋体"/>
          <w:sz w:val="32"/>
          <w:highlight w:val="white"/>
        </w:rPr>
        <w:t>无增减变化</w:t>
      </w:r>
      <w:r>
        <w:rPr>
          <w:rFonts w:hint="eastAsia" w:ascii="宋体" w:hAnsi="Times New Roman" w:eastAsia="宋体"/>
          <w:sz w:val="32"/>
          <w:highlight w:val="white"/>
          <w:lang w:eastAsia="zh-CN"/>
        </w:rPr>
        <w:t>，</w:t>
      </w:r>
      <w:r>
        <w:rPr>
          <w:rFonts w:hint="eastAsia" w:asciiTheme="minorEastAsia" w:hAnsiTheme="minorEastAsia" w:eastAsiaTheme="minorEastAsia"/>
          <w:sz w:val="32"/>
          <w:szCs w:val="32"/>
        </w:rPr>
        <w:t>主要原因是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单位无公务用车</w:t>
      </w:r>
      <w:r>
        <w:rPr>
          <w:rFonts w:hint="eastAsia" w:asciiTheme="minorEastAsia" w:hAnsiTheme="minorEastAsia" w:eastAsiaTheme="minorEastAsia"/>
          <w:sz w:val="32"/>
          <w:szCs w:val="32"/>
        </w:rPr>
        <w:t>。</w:t>
      </w:r>
    </w:p>
    <w:p>
      <w:pPr>
        <w:pStyle w:val="11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（二）“三公”经费财政拨款支出决算具体情况说明</w:t>
      </w:r>
    </w:p>
    <w:p>
      <w:pPr>
        <w:pStyle w:val="11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2021年度“三公”经费财政拨款支出决算中，公务接待费支出决算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%,因公出国（境）费支出决算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%,公务用车购置费及运行维护费支出决算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%。其中：</w:t>
      </w:r>
    </w:p>
    <w:p>
      <w:pPr>
        <w:pStyle w:val="11"/>
        <w:ind w:firstLine="640" w:firstLineChars="200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1、因公出国（境）费支出决算为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万元，全年安排因公出国（境）团组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个，累计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人次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,</w:t>
      </w:r>
      <w:r>
        <w:rPr>
          <w:rFonts w:hint="eastAsia" w:asciiTheme="minorEastAsia" w:hAnsiTheme="minorEastAsia" w:eastAsiaTheme="minorEastAsia"/>
          <w:sz w:val="32"/>
          <w:szCs w:val="32"/>
        </w:rPr>
        <w:t>全年未作出因公出国（境）公务安排。</w:t>
      </w:r>
    </w:p>
    <w:p>
      <w:pPr>
        <w:pStyle w:val="11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2、公务接待费支出决算为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万元，全年共接待来访团组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个、来宾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人次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/>
          <w:sz w:val="32"/>
          <w:szCs w:val="32"/>
        </w:rPr>
        <w:t>全年没有发生公务接待活动。</w:t>
      </w:r>
    </w:p>
    <w:p>
      <w:pPr>
        <w:ind w:firstLine="800" w:firstLineChars="25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3、公务用车购置费及运行维护费支出决算为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/>
          <w:sz w:val="32"/>
          <w:szCs w:val="32"/>
        </w:rPr>
        <w:t>万元，其中：公务用车购置费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/>
          <w:sz w:val="32"/>
          <w:szCs w:val="32"/>
        </w:rPr>
        <w:t>万元，单位本级更新公务用车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/>
          <w:sz w:val="32"/>
          <w:szCs w:val="32"/>
        </w:rPr>
        <w:t>辆</w:t>
      </w:r>
      <w:r>
        <w:rPr>
          <w:rFonts w:hint="eastAsia"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/>
          <w:sz w:val="32"/>
          <w:szCs w:val="32"/>
        </w:rPr>
        <w:t>公务用车运行维护费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/>
          <w:sz w:val="32"/>
          <w:szCs w:val="32"/>
        </w:rPr>
        <w:t>万元，截止2021年12月31日，我单位开支财政拨款的公务用车保有量为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/>
          <w:sz w:val="32"/>
          <w:szCs w:val="32"/>
        </w:rPr>
        <w:t>辆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,</w:t>
      </w:r>
      <w:r>
        <w:rPr>
          <w:rFonts w:hint="eastAsia" w:asciiTheme="minorEastAsia" w:hAnsiTheme="minorEastAsia"/>
          <w:sz w:val="32"/>
          <w:szCs w:val="32"/>
        </w:rPr>
        <w:t>当年没有购置公务用车。</w:t>
      </w:r>
    </w:p>
    <w:p>
      <w:pPr>
        <w:pStyle w:val="11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八、政府性基金预算收入支出决算情况</w:t>
      </w:r>
    </w:p>
    <w:p>
      <w:pPr>
        <w:pStyle w:val="11"/>
        <w:ind w:firstLine="800" w:firstLineChars="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2021年度政府性基金预算财政拨款收入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万元；年初结转和结余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万元；支出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万元，其中基本支出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万元，项目支出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万元；年末结转和结余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万元。</w:t>
      </w:r>
    </w:p>
    <w:p>
      <w:pPr>
        <w:pStyle w:val="11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2021年度本单位无</w:t>
      </w:r>
      <w:r>
        <w:rPr>
          <w:rFonts w:hint="eastAsia" w:asciiTheme="minorEastAsia" w:hAnsiTheme="minorEastAsia" w:eastAsiaTheme="minorEastAsia"/>
          <w:sz w:val="32"/>
          <w:szCs w:val="32"/>
        </w:rPr>
        <w:t>政府性基金预算收入支出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。</w:t>
      </w:r>
    </w:p>
    <w:p>
      <w:pPr>
        <w:pStyle w:val="11"/>
        <w:numPr>
          <w:ilvl w:val="0"/>
          <w:numId w:val="3"/>
        </w:numPr>
        <w:rPr>
          <w:rFonts w:hint="eastAsia" w:hAnsi="黑体"/>
          <w:b/>
          <w:sz w:val="32"/>
          <w:szCs w:val="32"/>
          <w:lang w:eastAsia="zh-CN"/>
        </w:rPr>
      </w:pPr>
      <w:r>
        <w:rPr>
          <w:rFonts w:hint="eastAsia" w:hAnsi="黑体"/>
          <w:b/>
          <w:sz w:val="32"/>
          <w:szCs w:val="32"/>
        </w:rPr>
        <w:t>国有资本经营预算财政拨款支出决算</w:t>
      </w:r>
      <w:r>
        <w:rPr>
          <w:rFonts w:hint="eastAsia" w:hAnsi="黑体"/>
          <w:b/>
          <w:sz w:val="32"/>
          <w:szCs w:val="32"/>
          <w:lang w:eastAsia="zh-CN"/>
        </w:rPr>
        <w:t>情况</w:t>
      </w:r>
    </w:p>
    <w:p>
      <w:pPr>
        <w:pStyle w:val="11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2021年度国有资本经营预算财政拨款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万元；基本支出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万元，项目支出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万元。</w:t>
      </w:r>
    </w:p>
    <w:p>
      <w:pPr>
        <w:pStyle w:val="11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i w:val="0"/>
          <w:iCs/>
          <w:color w:val="auto"/>
          <w:sz w:val="32"/>
          <w:szCs w:val="32"/>
          <w:lang w:val="en-US" w:eastAsia="zh-CN"/>
        </w:rPr>
        <w:t>2021年度</w:t>
      </w:r>
      <w:r>
        <w:rPr>
          <w:rFonts w:hint="eastAsia" w:asciiTheme="minorEastAsia" w:hAnsiTheme="minorEastAsia" w:eastAsiaTheme="minorEastAsia"/>
          <w:i w:val="0"/>
          <w:iCs/>
          <w:color w:val="auto"/>
          <w:sz w:val="32"/>
          <w:szCs w:val="32"/>
        </w:rPr>
        <w:t>本单位无国有资本经营预算财政拨款支出</w:t>
      </w:r>
      <w:r>
        <w:rPr>
          <w:rFonts w:hint="eastAsia" w:asciiTheme="minorEastAsia" w:hAnsiTheme="minorEastAsia" w:eastAsiaTheme="minorEastAsia"/>
          <w:i w:val="0"/>
          <w:iCs/>
          <w:color w:val="auto"/>
          <w:sz w:val="32"/>
          <w:szCs w:val="32"/>
          <w:lang w:eastAsia="zh-CN"/>
        </w:rPr>
        <w:t>。</w:t>
      </w:r>
    </w:p>
    <w:p>
      <w:pPr>
        <w:pStyle w:val="11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十、机关运行经费支出说明</w:t>
      </w:r>
    </w:p>
    <w:p>
      <w:pPr>
        <w:pStyle w:val="11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本部门2021年度机关运行经费支出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万元，比年初预算数（或者上年决算数）增加（减少）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 万元，增长（降低）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%。主要原因是：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机关运行经费在岳阳市教育体育局列支</w:t>
      </w:r>
      <w:r>
        <w:rPr>
          <w:rFonts w:hint="eastAsia" w:asciiTheme="minorEastAsia" w:hAnsiTheme="minorEastAsia" w:eastAsiaTheme="minorEastAsia"/>
          <w:sz w:val="32"/>
          <w:szCs w:val="32"/>
        </w:rPr>
        <w:t>。</w:t>
      </w:r>
    </w:p>
    <w:p>
      <w:pPr>
        <w:pStyle w:val="11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十一、一般性支出情况说明</w:t>
      </w:r>
    </w:p>
    <w:p>
      <w:pPr>
        <w:pStyle w:val="11"/>
        <w:ind w:firstLine="640" w:firstLineChars="20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2021年本部门开支会议费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万元，主要原因是：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部门开支会议费在岳阳市教育体育局列支；</w:t>
      </w:r>
      <w:r>
        <w:rPr>
          <w:rFonts w:hint="eastAsia" w:asciiTheme="minorEastAsia" w:hAnsiTheme="minorEastAsia" w:eastAsiaTheme="minorEastAsia"/>
          <w:sz w:val="32"/>
          <w:szCs w:val="32"/>
        </w:rPr>
        <w:t>开支培训费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未</w:t>
      </w:r>
      <w:r>
        <w:rPr>
          <w:rFonts w:hint="eastAsia" w:asciiTheme="minorEastAsia" w:hAnsiTheme="minorEastAsia" w:eastAsiaTheme="minorEastAsia"/>
          <w:sz w:val="32"/>
          <w:szCs w:val="32"/>
        </w:rPr>
        <w:t>开展培训，人数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人，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无培训活动，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未</w:t>
      </w:r>
      <w:r>
        <w:rPr>
          <w:rFonts w:hint="eastAsia" w:asciiTheme="minorEastAsia" w:hAnsiTheme="minorEastAsia" w:eastAsiaTheme="minorEastAsia"/>
          <w:sz w:val="32"/>
          <w:szCs w:val="32"/>
        </w:rPr>
        <w:t>举办节庆、晚会、论坛、赛事活动，开支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万元。</w:t>
      </w:r>
    </w:p>
    <w:p>
      <w:pPr>
        <w:pStyle w:val="11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十二、政府采购支出说明</w:t>
      </w:r>
    </w:p>
    <w:p>
      <w:pPr>
        <w:pStyle w:val="11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本部门2021年度政府采购支出总额12130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.</w:t>
      </w:r>
      <w:r>
        <w:rPr>
          <w:rFonts w:hint="eastAsia" w:asciiTheme="minorEastAsia" w:hAnsiTheme="minorEastAsia" w:eastAsiaTheme="minorEastAsia"/>
          <w:sz w:val="32"/>
          <w:szCs w:val="32"/>
        </w:rPr>
        <w:t>73万元，其中：政府采购货物支出1502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.</w:t>
      </w:r>
      <w:r>
        <w:rPr>
          <w:rFonts w:hint="eastAsia" w:asciiTheme="minorEastAsia" w:hAnsiTheme="minorEastAsia" w:eastAsiaTheme="minorEastAsia"/>
          <w:sz w:val="32"/>
          <w:szCs w:val="32"/>
        </w:rPr>
        <w:t>66万元、政府采购工程支出4012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.</w:t>
      </w:r>
      <w:r>
        <w:rPr>
          <w:rFonts w:hint="eastAsia" w:asciiTheme="minorEastAsia" w:hAnsiTheme="minorEastAsia" w:eastAsiaTheme="minorEastAsia"/>
          <w:sz w:val="32"/>
          <w:szCs w:val="32"/>
        </w:rPr>
        <w:t>97万元、政府采购服务支出6615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.</w:t>
      </w:r>
      <w:r>
        <w:rPr>
          <w:rFonts w:hint="eastAsia" w:asciiTheme="minorEastAsia" w:hAnsiTheme="minorEastAsia" w:eastAsiaTheme="minorEastAsia"/>
          <w:sz w:val="32"/>
          <w:szCs w:val="32"/>
        </w:rPr>
        <w:t>09万元。授予中小企业合同金额6615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.</w:t>
      </w:r>
      <w:r>
        <w:rPr>
          <w:rFonts w:hint="eastAsia" w:asciiTheme="minorEastAsia" w:hAnsiTheme="minorEastAsia" w:eastAsiaTheme="minorEastAsia"/>
          <w:sz w:val="32"/>
          <w:szCs w:val="32"/>
        </w:rPr>
        <w:t>09万元，占政府采购支出总额的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54.53</w:t>
      </w:r>
      <w:r>
        <w:rPr>
          <w:rFonts w:hint="eastAsia" w:asciiTheme="minorEastAsia" w:hAnsiTheme="minorEastAsia" w:eastAsiaTheme="minorEastAsia"/>
          <w:sz w:val="32"/>
          <w:szCs w:val="32"/>
        </w:rPr>
        <w:t>%，其中：授予小微企业合同金额6615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.</w:t>
      </w:r>
      <w:r>
        <w:rPr>
          <w:rFonts w:hint="eastAsia" w:asciiTheme="minorEastAsia" w:hAnsiTheme="minorEastAsia" w:eastAsiaTheme="minorEastAsia"/>
          <w:sz w:val="32"/>
          <w:szCs w:val="32"/>
        </w:rPr>
        <w:t>09万元，占授予中小企业合同金额的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sz w:val="32"/>
          <w:szCs w:val="32"/>
        </w:rPr>
        <w:t>%；货物采购授予中小企业合同金额占货物支出金额的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%，工程采购授予中小企业合同金额占工程支出金额的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%，服务采购授予中小企业合同金额占服务支出金额的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sz w:val="32"/>
          <w:szCs w:val="32"/>
        </w:rPr>
        <w:t>%。</w:t>
      </w:r>
    </w:p>
    <w:p>
      <w:pPr>
        <w:pStyle w:val="11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十三、国有资产占用情况说明</w:t>
      </w:r>
    </w:p>
    <w:p>
      <w:pPr>
        <w:pStyle w:val="11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截至2021年12月31日，部门（单位）共有车辆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辆，其中，主要领导干部用车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辆，机要通信用车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辆、应急保障用车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辆、执法执勤用车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辆、特种专业技术用车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辆、其他用车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辆，其他用车</w:t>
      </w:r>
      <w:r>
        <w:rPr>
          <w:rFonts w:hint="eastAsia" w:ascii="宋体" w:hAnsi="Times New Roman" w:eastAsia="宋体"/>
          <w:sz w:val="32"/>
        </w:rPr>
        <w:t>主要是用于机要通信和应急保障之外公务用途的车辆</w:t>
      </w:r>
      <w:r>
        <w:rPr>
          <w:rFonts w:hint="eastAsia" w:asciiTheme="minorEastAsia" w:hAnsiTheme="minorEastAsia" w:eastAsiaTheme="minorEastAsia"/>
          <w:sz w:val="32"/>
          <w:szCs w:val="32"/>
        </w:rPr>
        <w:t>；单位价值50万元以上通用设备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台（套）；单位价值100万元以上专用设备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台（套）。</w:t>
      </w:r>
      <w:bookmarkStart w:id="0" w:name="_GoBack"/>
      <w:bookmarkEnd w:id="0"/>
    </w:p>
    <w:p>
      <w:pPr>
        <w:pStyle w:val="11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  <w:lang w:eastAsia="zh-CN"/>
        </w:rPr>
        <w:t>十四、</w:t>
      </w:r>
      <w:r>
        <w:rPr>
          <w:rFonts w:hint="eastAsia" w:hAnsi="黑体"/>
          <w:b/>
          <w:sz w:val="32"/>
          <w:szCs w:val="32"/>
        </w:rPr>
        <w:t>2021年度预算绩效情况说明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</w:rPr>
        <w:t>（1）绩效管理评价工作开展情况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根据预算绩效管理要求，我部门组织对</w:t>
      </w:r>
      <w:r>
        <w:rPr>
          <w:rFonts w:cs="黑体" w:asciiTheme="minorEastAsia" w:hAnsiTheme="minorEastAsia"/>
          <w:color w:val="000000"/>
          <w:kern w:val="0"/>
          <w:sz w:val="32"/>
          <w:szCs w:val="32"/>
        </w:rPr>
        <w:t xml:space="preserve">2021 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年度一般公共预算项目支出全面开展绩效自评，其中，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项目共12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个，共涉及资金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7423.6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万元，占一般公共预算项目支出总额的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55.83</w:t>
      </w:r>
      <w:r>
        <w:rPr>
          <w:rFonts w:cs="黑体" w:asciiTheme="minorEastAsia" w:hAnsiTheme="minorEastAsia"/>
          <w:color w:val="000000"/>
          <w:kern w:val="0"/>
          <w:sz w:val="32"/>
          <w:szCs w:val="32"/>
        </w:rPr>
        <w:t>%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。组织对</w:t>
      </w:r>
      <w:r>
        <w:rPr>
          <w:rFonts w:cs="黑体" w:asciiTheme="minorEastAsia" w:hAnsiTheme="minorEastAsia"/>
          <w:color w:val="000000"/>
          <w:kern w:val="0"/>
          <w:sz w:val="32"/>
          <w:szCs w:val="32"/>
        </w:rPr>
        <w:t>2021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年度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 xml:space="preserve"> 0 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个政府性基金预算项目支出开展绩效自评，共涉及资金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 xml:space="preserve">0 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万元，占政府性基金预算项目支出总额的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cs="黑体" w:asciiTheme="minorEastAsia" w:hAnsiTheme="minorEastAsia"/>
          <w:color w:val="000000"/>
          <w:kern w:val="0"/>
          <w:sz w:val="32"/>
          <w:szCs w:val="32"/>
        </w:rPr>
        <w:t>%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。组织对</w:t>
      </w:r>
      <w:r>
        <w:rPr>
          <w:rFonts w:cs="黑体" w:asciiTheme="minorEastAsia" w:hAnsiTheme="minorEastAsia"/>
          <w:color w:val="000000"/>
          <w:kern w:val="0"/>
          <w:sz w:val="32"/>
          <w:szCs w:val="32"/>
        </w:rPr>
        <w:t xml:space="preserve">2021 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年度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 xml:space="preserve"> 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个国有资本经营预算项目支出开展绩效自评，共涉及资金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cs="黑体" w:asciiTheme="minorEastAsia" w:hAnsiTheme="minorEastAsia"/>
          <w:color w:val="000000"/>
          <w:kern w:val="0"/>
          <w:sz w:val="32"/>
          <w:szCs w:val="32"/>
        </w:rPr>
        <w:t xml:space="preserve"> 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万元，占国有资本经营预算项目支出总额的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cs="黑体" w:asciiTheme="minorEastAsia" w:hAnsiTheme="minorEastAsia"/>
          <w:color w:val="000000"/>
          <w:kern w:val="0"/>
          <w:sz w:val="32"/>
          <w:szCs w:val="32"/>
        </w:rPr>
        <w:t>%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组织对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市十八中提质改造、市直学校空调安装、电力增容及线路改造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”等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个项目开展了部门评价，涉及一般公共预算支出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7423.6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万元，政府性基金预算支出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万元，国有资本经营预算支出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万元。从评价情况来看，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整体绩效评价良好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cs="黑体" w:asciiTheme="minorEastAsia" w:hAnsiTheme="minorEastAsia"/>
          <w:b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</w:rPr>
        <w:t>（2）部门决算中项目绩效自评结果（如有）。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市直学校空调安装、电力增容及线路改造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项目绩效自评综述：根据年初设定的绩效目标，项目绩效自评得分为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95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分。项目全年预算数为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1000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万元，执行数为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805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万元，完成预算的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80.5%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。项目绩效目标完成情况：市直中小学、幼儿园安装空调、设施设备及电改增容。发现的主要问题及原因：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项目工程进度缓慢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。下一步改进措施：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加快项目施工进度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</w:rPr>
        <w:t>（</w:t>
      </w:r>
      <w:r>
        <w:rPr>
          <w:rFonts w:cs="黑体" w:asciiTheme="minorEastAsia" w:hAnsiTheme="minorEastAsia"/>
          <w:b/>
          <w:color w:val="000000"/>
          <w:kern w:val="0"/>
          <w:sz w:val="32"/>
          <w:szCs w:val="32"/>
        </w:rPr>
        <w:t>3</w:t>
      </w: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</w:rPr>
        <w:t>）部门评价项目绩效评价结果。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部门评价项目数量</w:t>
      </w:r>
      <w:r>
        <w:rPr>
          <w:rFonts w:cs="黑体" w:asciiTheme="minorEastAsia" w:hAnsiTheme="minorEastAsia"/>
          <w:color w:val="000000"/>
          <w:kern w:val="0"/>
          <w:sz w:val="32"/>
          <w:szCs w:val="32"/>
        </w:rPr>
        <w:t>3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个以内的，至少将</w:t>
      </w:r>
      <w:r>
        <w:rPr>
          <w:rFonts w:cs="黑体" w:asciiTheme="minorEastAsia" w:hAnsiTheme="minorEastAsia"/>
          <w:color w:val="000000"/>
          <w:kern w:val="0"/>
          <w:sz w:val="32"/>
          <w:szCs w:val="32"/>
        </w:rPr>
        <w:t xml:space="preserve">1 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个部门评价报告向社会公开；部门评价项目数量大于</w:t>
      </w:r>
      <w:r>
        <w:rPr>
          <w:rFonts w:cs="黑体" w:asciiTheme="minorEastAsia" w:hAnsiTheme="minorEastAsia"/>
          <w:color w:val="000000"/>
          <w:kern w:val="0"/>
          <w:sz w:val="32"/>
          <w:szCs w:val="32"/>
        </w:rPr>
        <w:t xml:space="preserve">3 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个的，至少将</w:t>
      </w:r>
      <w:r>
        <w:rPr>
          <w:rFonts w:cs="黑体" w:asciiTheme="minorEastAsia" w:hAnsiTheme="minorEastAsia"/>
          <w:color w:val="000000"/>
          <w:kern w:val="0"/>
          <w:sz w:val="32"/>
          <w:szCs w:val="32"/>
        </w:rPr>
        <w:t xml:space="preserve">2 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个部门评价报告向社会公开。报告框架可参考《项目支出绩效评价办法》（财预〔</w:t>
      </w:r>
      <w:r>
        <w:rPr>
          <w:rFonts w:cs="黑体" w:asciiTheme="minorEastAsia" w:hAnsiTheme="minorEastAsia"/>
          <w:color w:val="000000"/>
          <w:kern w:val="0"/>
          <w:sz w:val="32"/>
          <w:szCs w:val="32"/>
        </w:rPr>
        <w:t>2020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〕</w:t>
      </w:r>
      <w:r>
        <w:rPr>
          <w:rFonts w:cs="黑体" w:asciiTheme="minorEastAsia" w:hAnsiTheme="minorEastAsia"/>
          <w:color w:val="000000"/>
          <w:kern w:val="0"/>
          <w:sz w:val="32"/>
          <w:szCs w:val="32"/>
        </w:rPr>
        <w:t xml:space="preserve">10 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号）中《项目支出绩效评价报告（参考提纲）》、《湖南省预算支出绩效评价管理办法》（湘财绩〔</w:t>
      </w:r>
      <w:r>
        <w:rPr>
          <w:rFonts w:cs="黑体" w:asciiTheme="minorEastAsia" w:hAnsiTheme="minorEastAsia"/>
          <w:color w:val="000000"/>
          <w:kern w:val="0"/>
          <w:sz w:val="32"/>
          <w:szCs w:val="32"/>
        </w:rPr>
        <w:t>2020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〕7号）。</w:t>
      </w:r>
    </w:p>
    <w:p>
      <w:pPr>
        <w:pStyle w:val="11"/>
        <w:rPr>
          <w:sz w:val="72"/>
          <w:szCs w:val="72"/>
        </w:rPr>
      </w:pPr>
    </w:p>
    <w:p>
      <w:pPr>
        <w:pStyle w:val="11"/>
        <w:jc w:val="both"/>
        <w:rPr>
          <w:sz w:val="72"/>
          <w:szCs w:val="72"/>
        </w:rPr>
      </w:pPr>
    </w:p>
    <w:p>
      <w:pPr>
        <w:pStyle w:val="11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第四部分</w:t>
      </w: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rFonts w:hint="eastAsia" w:ascii="黑体" w:eastAsia="黑体" w:cs="黑体"/>
          <w:color w:val="000000"/>
          <w:kern w:val="0"/>
          <w:sz w:val="70"/>
          <w:szCs w:val="70"/>
        </w:rPr>
        <w:t>名词解释</w:t>
      </w:r>
    </w:p>
    <w:p>
      <w:pPr>
        <w:widowControl/>
        <w:jc w:val="left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rFonts w:ascii="黑体" w:eastAsia="黑体" w:cs="黑体"/>
          <w:color w:val="000000"/>
          <w:kern w:val="0"/>
          <w:sz w:val="70"/>
          <w:szCs w:val="70"/>
        </w:rPr>
        <w:br w:type="page"/>
      </w: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hint="eastAsia"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二、机关运行经费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pStyle w:val="11"/>
        <w:jc w:val="center"/>
        <w:rPr>
          <w:sz w:val="72"/>
          <w:szCs w:val="72"/>
        </w:rPr>
      </w:pPr>
    </w:p>
    <w:p>
      <w:pPr>
        <w:pStyle w:val="11"/>
        <w:jc w:val="center"/>
        <w:rPr>
          <w:sz w:val="72"/>
          <w:szCs w:val="72"/>
        </w:rPr>
      </w:pPr>
    </w:p>
    <w:p>
      <w:pPr>
        <w:pStyle w:val="11"/>
        <w:jc w:val="center"/>
        <w:rPr>
          <w:sz w:val="72"/>
          <w:szCs w:val="72"/>
        </w:rPr>
      </w:pPr>
    </w:p>
    <w:p>
      <w:pPr>
        <w:pStyle w:val="11"/>
        <w:jc w:val="center"/>
        <w:rPr>
          <w:sz w:val="72"/>
          <w:szCs w:val="72"/>
        </w:rPr>
      </w:pPr>
    </w:p>
    <w:p>
      <w:pPr>
        <w:pStyle w:val="11"/>
        <w:jc w:val="center"/>
        <w:rPr>
          <w:sz w:val="72"/>
          <w:szCs w:val="72"/>
        </w:rPr>
      </w:pPr>
    </w:p>
    <w:p>
      <w:pPr>
        <w:pStyle w:val="11"/>
        <w:jc w:val="center"/>
        <w:rPr>
          <w:sz w:val="72"/>
          <w:szCs w:val="72"/>
        </w:rPr>
      </w:pPr>
    </w:p>
    <w:p>
      <w:pPr>
        <w:pStyle w:val="11"/>
        <w:jc w:val="center"/>
        <w:rPr>
          <w:sz w:val="72"/>
          <w:szCs w:val="72"/>
        </w:rPr>
      </w:pPr>
    </w:p>
    <w:p>
      <w:pPr>
        <w:pStyle w:val="11"/>
        <w:jc w:val="center"/>
        <w:rPr>
          <w:sz w:val="72"/>
          <w:szCs w:val="72"/>
        </w:rPr>
      </w:pPr>
    </w:p>
    <w:p>
      <w:pPr>
        <w:pStyle w:val="11"/>
        <w:jc w:val="center"/>
        <w:rPr>
          <w:sz w:val="72"/>
          <w:szCs w:val="72"/>
        </w:rPr>
      </w:pPr>
    </w:p>
    <w:p>
      <w:pPr>
        <w:pStyle w:val="11"/>
        <w:jc w:val="center"/>
        <w:rPr>
          <w:sz w:val="72"/>
          <w:szCs w:val="72"/>
        </w:rPr>
      </w:pPr>
    </w:p>
    <w:p>
      <w:pPr>
        <w:pStyle w:val="11"/>
        <w:jc w:val="center"/>
        <w:rPr>
          <w:sz w:val="72"/>
          <w:szCs w:val="72"/>
        </w:rPr>
      </w:pPr>
    </w:p>
    <w:p>
      <w:pPr>
        <w:pStyle w:val="11"/>
        <w:jc w:val="center"/>
        <w:rPr>
          <w:sz w:val="72"/>
          <w:szCs w:val="72"/>
        </w:rPr>
      </w:pPr>
    </w:p>
    <w:p>
      <w:pPr>
        <w:pStyle w:val="11"/>
        <w:jc w:val="center"/>
        <w:rPr>
          <w:sz w:val="72"/>
          <w:szCs w:val="72"/>
        </w:rPr>
      </w:pPr>
    </w:p>
    <w:p>
      <w:pPr>
        <w:pStyle w:val="11"/>
        <w:jc w:val="center"/>
        <w:rPr>
          <w:sz w:val="72"/>
          <w:szCs w:val="72"/>
        </w:rPr>
      </w:pPr>
    </w:p>
    <w:p>
      <w:pPr>
        <w:pStyle w:val="11"/>
        <w:jc w:val="center"/>
        <w:rPr>
          <w:sz w:val="72"/>
          <w:szCs w:val="72"/>
        </w:rPr>
      </w:pPr>
    </w:p>
    <w:p>
      <w:pPr>
        <w:pStyle w:val="11"/>
        <w:jc w:val="center"/>
        <w:rPr>
          <w:sz w:val="72"/>
          <w:szCs w:val="72"/>
        </w:rPr>
      </w:pPr>
    </w:p>
    <w:p>
      <w:pPr>
        <w:pStyle w:val="11"/>
        <w:jc w:val="center"/>
        <w:rPr>
          <w:sz w:val="72"/>
          <w:szCs w:val="72"/>
        </w:rPr>
      </w:pPr>
    </w:p>
    <w:p>
      <w:pPr>
        <w:pStyle w:val="11"/>
        <w:jc w:val="center"/>
        <w:rPr>
          <w:sz w:val="72"/>
          <w:szCs w:val="72"/>
        </w:rPr>
      </w:pPr>
    </w:p>
    <w:p>
      <w:pPr>
        <w:pStyle w:val="11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第五部分</w:t>
      </w: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rFonts w:hint="eastAsia" w:ascii="黑体" w:eastAsia="黑体" w:cs="黑体"/>
          <w:color w:val="000000"/>
          <w:kern w:val="0"/>
          <w:sz w:val="70"/>
          <w:szCs w:val="70"/>
        </w:rPr>
        <w:t>附件</w:t>
      </w:r>
    </w:p>
    <w:p>
      <w:pPr>
        <w:widowControl/>
        <w:jc w:val="left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rFonts w:ascii="黑体" w:eastAsia="黑体" w:cs="黑体"/>
          <w:color w:val="000000"/>
          <w:kern w:val="0"/>
          <w:sz w:val="70"/>
          <w:szCs w:val="70"/>
        </w:rPr>
        <w:br w:type="page"/>
      </w: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</w:p>
    <w:p>
      <w:pPr>
        <w:ind w:firstLine="640" w:firstLineChars="200"/>
        <w:jc w:val="left"/>
        <w:rPr>
          <w:rFonts w:hint="eastAsia" w:cs="黑体" w:asciiTheme="minorEastAsia" w:hAnsiTheme="minorEastAsia" w:eastAsiaTheme="minorEastAsia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  <w:lang w:val="en-US" w:eastAsia="zh-CN"/>
        </w:rPr>
        <w:t>1、2021年部门决算公开表格</w:t>
      </w:r>
    </w:p>
    <w:p>
      <w:pPr>
        <w:ind w:firstLine="640" w:firstLineChars="200"/>
        <w:jc w:val="left"/>
        <w:rPr>
          <w:rFonts w:cs="黑体" w:asciiTheme="minorEastAsia" w:hAnsiTheme="minorEastAsia"/>
          <w:b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</w:rPr>
        <w:t>2021年度部门整体支出绩效评价报告</w:t>
      </w: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6A298D"/>
    <w:multiLevelType w:val="singleLevel"/>
    <w:tmpl w:val="B16A298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934120C"/>
    <w:multiLevelType w:val="singleLevel"/>
    <w:tmpl w:val="F934120C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373518C1"/>
    <w:multiLevelType w:val="multilevel"/>
    <w:tmpl w:val="373518C1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Y2NjYWY0NDFlNmY3YWVjMmFlMWExMWMzMDYzZTMifQ=="/>
  </w:docVars>
  <w:rsids>
    <w:rsidRoot w:val="00172A27"/>
    <w:rsid w:val="0002229B"/>
    <w:rsid w:val="000273BD"/>
    <w:rsid w:val="000415B7"/>
    <w:rsid w:val="00041E3F"/>
    <w:rsid w:val="00055DAA"/>
    <w:rsid w:val="00061F7B"/>
    <w:rsid w:val="000658A3"/>
    <w:rsid w:val="00074155"/>
    <w:rsid w:val="000873EF"/>
    <w:rsid w:val="000A3F69"/>
    <w:rsid w:val="00103957"/>
    <w:rsid w:val="00124A1F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14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C4197"/>
    <w:rsid w:val="003C47E6"/>
    <w:rsid w:val="003C4FC2"/>
    <w:rsid w:val="003E2331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1AF2"/>
    <w:rsid w:val="00523644"/>
    <w:rsid w:val="0054069E"/>
    <w:rsid w:val="00544866"/>
    <w:rsid w:val="00552A63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48B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75489"/>
    <w:rsid w:val="00DD06FF"/>
    <w:rsid w:val="00DD5FE9"/>
    <w:rsid w:val="00E00C7A"/>
    <w:rsid w:val="00E209CF"/>
    <w:rsid w:val="00E37D6C"/>
    <w:rsid w:val="00E55B68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5633A58"/>
    <w:rsid w:val="05976AEA"/>
    <w:rsid w:val="06B411F0"/>
    <w:rsid w:val="087403E0"/>
    <w:rsid w:val="0BE56081"/>
    <w:rsid w:val="11664088"/>
    <w:rsid w:val="126B2BAF"/>
    <w:rsid w:val="13BE003E"/>
    <w:rsid w:val="153310BF"/>
    <w:rsid w:val="17A87124"/>
    <w:rsid w:val="210F790F"/>
    <w:rsid w:val="27DB542D"/>
    <w:rsid w:val="2938670E"/>
    <w:rsid w:val="366364DD"/>
    <w:rsid w:val="370B6762"/>
    <w:rsid w:val="3ADC46E1"/>
    <w:rsid w:val="3C502E41"/>
    <w:rsid w:val="45F9639D"/>
    <w:rsid w:val="48ED43E7"/>
    <w:rsid w:val="49815409"/>
    <w:rsid w:val="4B2477C4"/>
    <w:rsid w:val="4CB8653E"/>
    <w:rsid w:val="4EA05241"/>
    <w:rsid w:val="4F1807EC"/>
    <w:rsid w:val="576A2A02"/>
    <w:rsid w:val="5AC316C5"/>
    <w:rsid w:val="5AC979D0"/>
    <w:rsid w:val="5B95094C"/>
    <w:rsid w:val="60A907EA"/>
    <w:rsid w:val="6145544E"/>
    <w:rsid w:val="71E06DF7"/>
    <w:rsid w:val="76B13D52"/>
    <w:rsid w:val="7D26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qFormat/>
    <w:uiPriority w:val="99"/>
    <w:pPr>
      <w:spacing w:before="100" w:beforeAutospacing="1" w:after="0"/>
      <w:ind w:left="0" w:firstLine="420" w:firstLineChars="200"/>
    </w:p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80904-B2FB-4FE3-894F-42F14B17BC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3624</Words>
  <Characters>4001</Characters>
  <Lines>69</Lines>
  <Paragraphs>19</Paragraphs>
  <TotalTime>0</TotalTime>
  <ScaleCrop>false</ScaleCrop>
  <LinksUpToDate>false</LinksUpToDate>
  <CharactersWithSpaces>4029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2020-07-02T02:32:00Z</dcterms:created>
  <dc:creator>李航 null</dc:creator>
  <cp:lastModifiedBy>何蔚</cp:lastModifiedBy>
  <cp:lastPrinted>2022-07-27T12:55:00Z</cp:lastPrinted>
  <dcterms:modified xsi:type="dcterms:W3CDTF">2023-09-23T05:54:43Z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B2C641B3028A44C2ADD0F7EBB21CC7DB_13</vt:lpwstr>
  </property>
</Properties>
</file>