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2021年度</w:t>
      </w:r>
    </w:p>
    <w:p>
      <w:pPr>
        <w:pStyle w:val="13"/>
        <w:jc w:val="center"/>
        <w:rPr>
          <w:sz w:val="84"/>
          <w:szCs w:val="84"/>
        </w:rPr>
      </w:pPr>
      <w:r>
        <w:rPr>
          <w:rFonts w:hint="eastAsia"/>
          <w:sz w:val="84"/>
          <w:szCs w:val="84"/>
          <w:lang w:eastAsia="zh-CN"/>
        </w:rPr>
        <w:t>岳阳市土地综合整治中心</w:t>
      </w:r>
      <w:r>
        <w:rPr>
          <w:rFonts w:hint="eastAsia"/>
          <w:sz w:val="84"/>
          <w:szCs w:val="84"/>
          <w:lang w:val="en-US" w:eastAsia="zh-CN"/>
        </w:rPr>
        <w:t xml:space="preserve"> </w:t>
      </w:r>
      <w:r>
        <w:rPr>
          <w:rFonts w:hint="eastAsia"/>
          <w:sz w:val="84"/>
          <w:szCs w:val="84"/>
        </w:rPr>
        <w:t>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00" w:lineRule="exact"/>
        <w:jc w:val="both"/>
        <w:rPr>
          <w:b/>
          <w:sz w:val="36"/>
          <w:szCs w:val="28"/>
        </w:rPr>
      </w:pPr>
    </w:p>
    <w:p>
      <w:pPr>
        <w:pStyle w:val="13"/>
        <w:spacing w:line="500" w:lineRule="exact"/>
        <w:jc w:val="center"/>
        <w:rPr>
          <w:b/>
          <w:sz w:val="36"/>
          <w:szCs w:val="28"/>
        </w:rPr>
      </w:pPr>
    </w:p>
    <w:p>
      <w:pPr>
        <w:pStyle w:val="13"/>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w:t>
      </w:r>
      <w:r>
        <w:rPr>
          <w:rFonts w:hint="eastAsia"/>
          <w:b/>
          <w:sz w:val="28"/>
          <w:szCs w:val="28"/>
          <w:lang w:eastAsia="zh-CN"/>
        </w:rPr>
        <w:t>岳阳市土地综合整治中心</w:t>
      </w:r>
      <w:r>
        <w:rPr>
          <w:rFonts w:hint="eastAsia"/>
          <w:b/>
          <w:sz w:val="28"/>
          <w:szCs w:val="28"/>
        </w:rPr>
        <w:t>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sz w:val="84"/>
          <w:szCs w:val="84"/>
        </w:rPr>
      </w:pPr>
      <w:r>
        <w:rPr>
          <w:rFonts w:hint="eastAsia"/>
          <w:sz w:val="84"/>
          <w:szCs w:val="84"/>
          <w:lang w:eastAsia="zh-CN"/>
        </w:rPr>
        <w:t>岳阳市土地综合整治中心</w:t>
      </w:r>
      <w:r>
        <w:rPr>
          <w:rFonts w:hint="eastAsia"/>
          <w:sz w:val="84"/>
          <w:szCs w:val="84"/>
          <w:lang w:val="en-US" w:eastAsia="zh-CN"/>
        </w:rPr>
        <w:t xml:space="preserve"> </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0" w:leftChars="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asciiTheme="minorEastAsia" w:hAnsiTheme="minorEastAsia"/>
          <w:sz w:val="32"/>
          <w:szCs w:val="32"/>
          <w:lang w:eastAsia="zh-CN"/>
        </w:rPr>
        <w:t>负责对全市各县市区土地综合整治机构业务指导；</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eastAsia="zh-CN"/>
        </w:rPr>
        <w:t>（二）配合生态修复科做好生态修复项目申报、建设、验收等日常事务及监督管理过程中的技术性、事务性工作。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val="en-US" w:eastAsia="zh-CN"/>
        </w:rPr>
        <w:t>1、</w:t>
      </w:r>
      <w:r>
        <w:rPr>
          <w:rFonts w:hint="eastAsia" w:asciiTheme="minorEastAsia" w:hAnsiTheme="minorEastAsia"/>
          <w:sz w:val="32"/>
          <w:szCs w:val="32"/>
          <w:lang w:eastAsia="zh-CN"/>
        </w:rPr>
        <w:t>负责全市国土空间综合整治(土地综合整治)项目申报、建设、验收等日常事务及监督管理过程中的技术性、事务事务性工作；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val="en-US" w:eastAsia="zh-CN"/>
        </w:rPr>
        <w:t>2、</w:t>
      </w:r>
      <w:r>
        <w:rPr>
          <w:rFonts w:hint="eastAsia" w:asciiTheme="minorEastAsia" w:hAnsiTheme="minorEastAsia"/>
          <w:sz w:val="32"/>
          <w:szCs w:val="32"/>
          <w:lang w:eastAsia="zh-CN"/>
        </w:rPr>
        <w:t>负责全市国土空间生态修复（山水林田湖草生态修复）项目申报、建设、验收等日常事务及监督管理过程中的技术性、事务性工作；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val="en-US" w:eastAsia="zh-CN"/>
        </w:rPr>
        <w:t>3、</w:t>
      </w:r>
      <w:r>
        <w:rPr>
          <w:rFonts w:hint="eastAsia" w:asciiTheme="minorEastAsia" w:hAnsiTheme="minorEastAsia"/>
          <w:sz w:val="32"/>
          <w:szCs w:val="32"/>
          <w:lang w:eastAsia="zh-CN"/>
        </w:rPr>
        <w:t>负责全市土地复垦项目（含灾毁、建设项目临时用地复垦）申报、建设、验收等日常事务及监督管理过程中的技术性、事务性工作；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eastAsia="zh-CN"/>
        </w:rPr>
        <w:t>（三）配合耕地保护科做好土地开发、整理项目申报、建设、验收等日常事务及监督管理过程中的技术性、事务性工作。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val="en-US" w:eastAsia="zh-CN"/>
        </w:rPr>
        <w:t>1、</w:t>
      </w:r>
      <w:r>
        <w:rPr>
          <w:rFonts w:hint="eastAsia" w:asciiTheme="minorEastAsia" w:hAnsiTheme="minorEastAsia"/>
          <w:sz w:val="32"/>
          <w:szCs w:val="32"/>
          <w:lang w:eastAsia="zh-CN"/>
        </w:rPr>
        <w:t>负责全市土地开发、整理项目（含空心房）申报、建设、验收等日常事务及监督管理过程中的技术性、事务性工作；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val="en-US" w:eastAsia="zh-CN"/>
        </w:rPr>
        <w:t>2、</w:t>
      </w:r>
      <w:r>
        <w:rPr>
          <w:rFonts w:hint="eastAsia" w:asciiTheme="minorEastAsia" w:hAnsiTheme="minorEastAsia"/>
          <w:sz w:val="32"/>
          <w:szCs w:val="32"/>
          <w:lang w:eastAsia="zh-CN"/>
        </w:rPr>
        <w:t>负责全市高标准农田建设项目新增耕地审核；</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val="en-US" w:eastAsia="zh-CN"/>
        </w:rPr>
        <w:t>3、</w:t>
      </w:r>
      <w:r>
        <w:rPr>
          <w:rFonts w:hint="eastAsia" w:asciiTheme="minorEastAsia" w:hAnsiTheme="minorEastAsia"/>
          <w:sz w:val="32"/>
          <w:szCs w:val="32"/>
          <w:lang w:eastAsia="zh-CN"/>
        </w:rPr>
        <w:t xml:space="preserve">承担耕地保护、永久基本农田划定、耕地占补、耕地质量等别年度更新与监测评价、财政支出耕地开垦费项目绩效评价的事务性和技术性工作； </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eastAsia="zh-CN"/>
        </w:rPr>
        <w:t>（四）配合用途管制科做好增减挂钩项目申报、建设、验收等日常事务及监督管理过程中的技术性、事务性工作。</w:t>
      </w:r>
    </w:p>
    <w:p>
      <w:pPr>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eastAsia="zh-CN"/>
        </w:rPr>
        <w:t>（五）负责全市土地开发、土地复垦、土地综合整治、城乡建设用地增减挂钩、旱地改水田、高标准农田建设等项目的耕地质量等别评定工作；</w:t>
      </w:r>
    </w:p>
    <w:p>
      <w:pPr>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eastAsia="zh-CN"/>
        </w:rPr>
        <w:t>（六）参与编制全市国土空间综合整治、国土空间生态修复专项规划和项目年度计划，负责专项规划成果的应用管理与应用；</w:t>
      </w:r>
    </w:p>
    <w:p>
      <w:pPr>
        <w:spacing w:line="600" w:lineRule="exact"/>
        <w:ind w:firstLine="640" w:firstLineChars="200"/>
        <w:jc w:val="left"/>
        <w:rPr>
          <w:rFonts w:hint="eastAsia" w:asciiTheme="minorEastAsia" w:hAnsiTheme="minorEastAsia"/>
          <w:sz w:val="32"/>
          <w:szCs w:val="32"/>
          <w:lang w:eastAsia="zh-CN"/>
        </w:rPr>
      </w:pPr>
      <w:r>
        <w:rPr>
          <w:rFonts w:hint="eastAsia" w:asciiTheme="minorEastAsia" w:hAnsiTheme="minorEastAsia"/>
          <w:sz w:val="32"/>
          <w:szCs w:val="32"/>
          <w:lang w:eastAsia="zh-CN"/>
        </w:rPr>
        <w:t>（七）完成市农村“空心房”整治工作领导小组办公室、省土地综合整治局、市自然资源和规划局交办的工作任务。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jc w:val="left"/>
        <w:rPr>
          <w:rFonts w:hint="default" w:asciiTheme="minorEastAsia" w:hAnsi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岳阳市土地综合整治中心</w:t>
      </w:r>
      <w:r>
        <w:rPr>
          <w:rFonts w:hint="eastAsia" w:asciiTheme="minorEastAsia" w:hAnsiTheme="minorEastAsia"/>
          <w:bCs/>
          <w:kern w:val="0"/>
          <w:sz w:val="32"/>
          <w:szCs w:val="32"/>
        </w:rPr>
        <w:t>内设机构包括</w:t>
      </w:r>
      <w:r>
        <w:rPr>
          <w:rFonts w:hint="eastAsia" w:asciiTheme="minorEastAsia" w:hAnsiTheme="minorEastAsia"/>
          <w:bCs/>
          <w:kern w:val="0"/>
          <w:sz w:val="32"/>
          <w:szCs w:val="32"/>
          <w:lang w:eastAsia="zh-CN"/>
        </w:rPr>
        <w:t>：综合科、生态项目修复科、国土整治科、信息评价科。</w:t>
      </w:r>
    </w:p>
    <w:p>
      <w:pPr>
        <w:topLinePunct/>
        <w:spacing w:line="600" w:lineRule="exact"/>
        <w:ind w:firstLine="617" w:firstLineChars="193"/>
        <w:rPr>
          <w:rFonts w:hint="eastAsia" w:ascii="仿宋_GB2312" w:hAnsi="仿宋_GB2312" w:eastAsia="仿宋_GB2312"/>
          <w:sz w:val="32"/>
          <w:szCs w:val="24"/>
        </w:rPr>
      </w:pPr>
      <w:r>
        <w:rPr>
          <w:rFonts w:hint="eastAsia" w:asciiTheme="minorEastAsia" w:hAnsiTheme="minorEastAsia"/>
          <w:bCs/>
          <w:kern w:val="0"/>
          <w:sz w:val="32"/>
          <w:szCs w:val="32"/>
        </w:rPr>
        <w:t>（</w:t>
      </w:r>
      <w:r>
        <w:rPr>
          <w:rFonts w:hint="eastAsia" w:asciiTheme="minorEastAsia" w:hAnsiTheme="minorEastAsia"/>
          <w:bCs/>
          <w:kern w:val="0"/>
          <w:sz w:val="32"/>
          <w:szCs w:val="32"/>
          <w:lang w:eastAsia="zh-CN"/>
        </w:rPr>
        <w:t>二</w:t>
      </w:r>
      <w:r>
        <w:rPr>
          <w:rFonts w:hint="eastAsia" w:asciiTheme="minorEastAsia" w:hAnsiTheme="minorEastAsia"/>
          <w:bCs/>
          <w:kern w:val="0"/>
          <w:sz w:val="32"/>
          <w:szCs w:val="32"/>
        </w:rPr>
        <w:t>）决算单位构成。</w:t>
      </w:r>
      <w:r>
        <w:rPr>
          <w:rFonts w:hint="eastAsia" w:asciiTheme="minorEastAsia" w:hAnsiTheme="minorEastAsia"/>
          <w:bCs/>
          <w:kern w:val="0"/>
          <w:sz w:val="32"/>
          <w:szCs w:val="32"/>
          <w:lang w:val="zh-CN" w:eastAsia="zh-CN"/>
        </w:rPr>
        <w:t>岳阳市土地综合整治中心单位202</w:t>
      </w:r>
      <w:r>
        <w:rPr>
          <w:rFonts w:hint="eastAsia" w:asciiTheme="minorEastAsia" w:hAnsiTheme="minorEastAsia"/>
          <w:bCs/>
          <w:kern w:val="0"/>
          <w:sz w:val="32"/>
          <w:szCs w:val="32"/>
          <w:lang w:val="en-US" w:eastAsia="zh-CN"/>
        </w:rPr>
        <w:t>1</w:t>
      </w:r>
      <w:r>
        <w:rPr>
          <w:rFonts w:hint="eastAsia" w:asciiTheme="minorEastAsia" w:hAnsiTheme="minorEastAsia"/>
          <w:bCs/>
          <w:kern w:val="0"/>
          <w:sz w:val="32"/>
          <w:szCs w:val="32"/>
          <w:lang w:val="zh-CN" w:eastAsia="zh-CN"/>
        </w:rPr>
        <w:t>年部门决算汇总公开单位构成包括：</w:t>
      </w:r>
      <w:r>
        <w:rPr>
          <w:rFonts w:hint="eastAsia" w:asciiTheme="minorEastAsia" w:hAnsiTheme="minorEastAsia"/>
          <w:bCs/>
          <w:kern w:val="0"/>
          <w:sz w:val="32"/>
          <w:szCs w:val="32"/>
          <w:lang w:eastAsia="zh-CN"/>
        </w:rPr>
        <w:t>土地综合整治中心本级决算，无下属单位。</w:t>
      </w:r>
    </w:p>
    <w:p>
      <w:pPr>
        <w:widowControl/>
        <w:numPr>
          <w:ilvl w:val="0"/>
          <w:numId w:val="0"/>
        </w:numPr>
        <w:spacing w:line="600" w:lineRule="exact"/>
        <w:ind w:firstLine="640" w:firstLineChars="200"/>
        <w:rPr>
          <w:rFonts w:asciiTheme="minorEastAsia" w:hAnsiTheme="minorEastAsia"/>
          <w:bCs/>
          <w:i/>
          <w:i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3"/>
        <w:jc w:val="both"/>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asciiTheme="minorEastAsia" w:hAnsiTheme="minorEastAsia" w:eastAsiaTheme="minorEastAsia"/>
          <w:sz w:val="32"/>
          <w:szCs w:val="32"/>
        </w:rPr>
      </w:pPr>
    </w:p>
    <w:p>
      <w:pPr>
        <w:pStyle w:val="13"/>
        <w:rPr>
          <w:rFonts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default" w:asciiTheme="minorEastAsia" w:hAnsiTheme="minorEastAsia" w:eastAsiaTheme="minorEastAsia"/>
          <w:sz w:val="32"/>
          <w:szCs w:val="32"/>
        </w:rPr>
        <w:t>200.34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zh-CN"/>
        </w:rPr>
        <w:t>与2020年相比，收、支总计各减少34.98万元，下降14.86%。主要是因为</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lang w:val="zh-CN"/>
        </w:rPr>
        <w:t>正值机构改革，机构撤并，职责职能尚未明确，工作未得到充分开展，部门收入和支出也相对较少</w:t>
      </w:r>
      <w:r>
        <w:rPr>
          <w:rFonts w:hint="eastAsia" w:asciiTheme="minorEastAsia" w:hAnsiTheme="minorEastAsia" w:eastAsiaTheme="minorEastAsia"/>
          <w:sz w:val="32"/>
          <w:szCs w:val="32"/>
          <w:lang w:val="en-US" w:eastAsia="zh-CN"/>
        </w:rPr>
        <w:t>；从严控制经费开支。</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default" w:asciiTheme="minorEastAsia" w:hAnsiTheme="minorEastAsia" w:eastAsiaTheme="minorEastAsia"/>
          <w:sz w:val="32"/>
          <w:szCs w:val="32"/>
        </w:rPr>
        <w:t>137.28</w:t>
      </w:r>
      <w:r>
        <w:rPr>
          <w:rFonts w:hint="eastAsia" w:asciiTheme="minorEastAsia" w:hAnsiTheme="minorEastAsia" w:eastAsiaTheme="minorEastAsia"/>
          <w:sz w:val="32"/>
          <w:szCs w:val="32"/>
        </w:rPr>
        <w:t>万元，其中：财政拨款收入</w:t>
      </w:r>
      <w:r>
        <w:rPr>
          <w:rFonts w:hint="default" w:asciiTheme="minorEastAsia" w:hAnsiTheme="minorEastAsia" w:eastAsiaTheme="minorEastAsia"/>
          <w:sz w:val="32"/>
          <w:szCs w:val="32"/>
        </w:rPr>
        <w:t>137.28</w:t>
      </w:r>
      <w:r>
        <w:rPr>
          <w:rFonts w:hint="eastAsia" w:asciiTheme="minorEastAsia" w:hAnsiTheme="minorEastAsia" w:eastAsiaTheme="minorEastAsia"/>
          <w:sz w:val="32"/>
          <w:szCs w:val="32"/>
        </w:rPr>
        <w:t>万元，占</w:t>
      </w:r>
      <w:r>
        <w:rPr>
          <w:rFonts w:hint="default" w:asciiTheme="minorEastAsia" w:hAnsiTheme="minorEastAsia" w:eastAsiaTheme="minorEastAsia"/>
          <w:sz w:val="32"/>
          <w:szCs w:val="32"/>
        </w:rPr>
        <w:t>100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default" w:asciiTheme="minorEastAsia" w:hAnsiTheme="minorEastAsia" w:eastAsiaTheme="minorEastAsia"/>
          <w:sz w:val="32"/>
          <w:szCs w:val="32"/>
        </w:rPr>
        <w:t>199.98</w:t>
      </w:r>
      <w:r>
        <w:rPr>
          <w:rFonts w:hint="eastAsia" w:asciiTheme="minorEastAsia" w:hAnsiTheme="minorEastAsia" w:eastAsiaTheme="minorEastAsia"/>
          <w:sz w:val="32"/>
          <w:szCs w:val="32"/>
        </w:rPr>
        <w:t>万元，其中：基本支出</w:t>
      </w:r>
      <w:r>
        <w:rPr>
          <w:rFonts w:hint="default" w:asciiTheme="minorEastAsia" w:hAnsiTheme="minorEastAsia" w:eastAsiaTheme="minorEastAsia"/>
          <w:sz w:val="32"/>
          <w:szCs w:val="32"/>
        </w:rPr>
        <w:t>194.89</w:t>
      </w:r>
      <w:r>
        <w:rPr>
          <w:rFonts w:hint="eastAsia" w:asciiTheme="minorEastAsia" w:hAnsiTheme="minorEastAsia" w:eastAsiaTheme="minorEastAsia"/>
          <w:sz w:val="32"/>
          <w:szCs w:val="32"/>
        </w:rPr>
        <w:t>万元，占</w:t>
      </w:r>
      <w:r>
        <w:rPr>
          <w:rFonts w:hint="default" w:asciiTheme="minorEastAsia" w:hAnsiTheme="minorEastAsia" w:eastAsiaTheme="minorEastAsia"/>
          <w:sz w:val="32"/>
          <w:szCs w:val="32"/>
        </w:rPr>
        <w:t>97</w:t>
      </w:r>
      <w:r>
        <w:rPr>
          <w:rFonts w:hint="eastAsia" w:asciiTheme="minorEastAsia" w:hAnsiTheme="minorEastAsia" w:eastAsiaTheme="minorEastAsia"/>
          <w:sz w:val="32"/>
          <w:szCs w:val="32"/>
          <w:lang w:val="en-US" w:eastAsia="zh-CN"/>
        </w:rPr>
        <w:t>.45</w:t>
      </w:r>
      <w:r>
        <w:rPr>
          <w:rFonts w:hint="eastAsia" w:asciiTheme="minorEastAsia" w:hAnsiTheme="minorEastAsia" w:eastAsiaTheme="minorEastAsia"/>
          <w:sz w:val="32"/>
          <w:szCs w:val="32"/>
        </w:rPr>
        <w:t>%；项目支出</w:t>
      </w:r>
      <w:r>
        <w:rPr>
          <w:rFonts w:hint="default" w:asciiTheme="minorEastAsia" w:hAnsiTheme="minorEastAsia" w:eastAsiaTheme="minorEastAsia"/>
          <w:sz w:val="32"/>
          <w:szCs w:val="32"/>
        </w:rPr>
        <w:t>5.09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2.55</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四、财政拨款收入支出决算总体情况说明</w:t>
      </w:r>
    </w:p>
    <w:p>
      <w:pPr>
        <w:pStyle w:val="13"/>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2021年度财政拨款收、支总计</w:t>
      </w:r>
      <w:r>
        <w:rPr>
          <w:rFonts w:hint="default" w:asciiTheme="minorEastAsia" w:hAnsiTheme="minorEastAsia" w:eastAsiaTheme="minorEastAsia"/>
          <w:sz w:val="32"/>
          <w:szCs w:val="32"/>
        </w:rPr>
        <w:t>137.59</w:t>
      </w:r>
      <w:r>
        <w:rPr>
          <w:rFonts w:hint="eastAsia" w:asciiTheme="minorEastAsia" w:hAnsiTheme="minorEastAsia" w:eastAsiaTheme="minorEastAsia"/>
          <w:sz w:val="32"/>
          <w:szCs w:val="32"/>
        </w:rPr>
        <w:t>万元，与</w:t>
      </w:r>
      <w:r>
        <w:rPr>
          <w:rFonts w:hint="eastAsia" w:asciiTheme="minorEastAsia" w:hAnsiTheme="minorEastAsia" w:eastAsiaTheme="minorEastAsia"/>
          <w:sz w:val="32"/>
          <w:szCs w:val="32"/>
          <w:lang w:val="en-US" w:eastAsia="zh-CN"/>
        </w:rPr>
        <w:t>2020</w:t>
      </w:r>
      <w:r>
        <w:rPr>
          <w:rFonts w:hint="eastAsia" w:asciiTheme="minorEastAsia" w:hAnsiTheme="minorEastAsia" w:eastAsiaTheme="minorEastAsia"/>
          <w:sz w:val="32"/>
          <w:szCs w:val="32"/>
        </w:rPr>
        <w:t>年相比，</w:t>
      </w:r>
      <w:r>
        <w:rPr>
          <w:rFonts w:hint="eastAsia" w:asciiTheme="minorEastAsia" w:hAnsiTheme="minorEastAsia" w:eastAsiaTheme="minorEastAsia"/>
          <w:sz w:val="32"/>
          <w:szCs w:val="32"/>
          <w:lang w:val="en-US"/>
        </w:rPr>
        <w:t>财政拨款收、支总计各增加14.18万元，增长11.49%</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：人员工资福利支出增加。</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default" w:asciiTheme="minorEastAsia" w:hAnsiTheme="minorEastAsia" w:eastAsiaTheme="minorEastAsia"/>
          <w:sz w:val="32"/>
          <w:szCs w:val="32"/>
        </w:rPr>
        <w:t>137.24</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68.63</w:t>
      </w:r>
      <w:r>
        <w:rPr>
          <w:rFonts w:hint="eastAsia" w:asciiTheme="minorEastAsia" w:hAnsiTheme="minorEastAsia" w:eastAsiaTheme="minorEastAsia"/>
          <w:sz w:val="32"/>
          <w:szCs w:val="32"/>
        </w:rPr>
        <w:t>%，与</w:t>
      </w:r>
      <w:r>
        <w:rPr>
          <w:rFonts w:hint="eastAsia" w:asciiTheme="minorEastAsia" w:hAnsiTheme="minorEastAsia" w:eastAsiaTheme="minorEastAsia"/>
          <w:sz w:val="32"/>
          <w:szCs w:val="32"/>
          <w:lang w:val="en-US" w:eastAsia="zh-CN"/>
        </w:rPr>
        <w:t>2020</w:t>
      </w:r>
      <w:r>
        <w:rPr>
          <w:rFonts w:hint="eastAsia" w:asciiTheme="minorEastAsia" w:hAnsiTheme="minorEastAsia" w:eastAsiaTheme="minorEastAsia"/>
          <w:sz w:val="32"/>
          <w:szCs w:val="32"/>
        </w:rPr>
        <w:t>相比，财政拨款支出增加</w:t>
      </w:r>
      <w:r>
        <w:rPr>
          <w:rFonts w:hint="eastAsia" w:asciiTheme="minorEastAsia" w:hAnsiTheme="minorEastAsia" w:eastAsiaTheme="minorEastAsia"/>
          <w:sz w:val="32"/>
          <w:szCs w:val="32"/>
          <w:lang w:val="en-US" w:eastAsia="zh-CN"/>
        </w:rPr>
        <w:t>20.67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17.73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：人员工资福利支出增加。</w:t>
      </w:r>
    </w:p>
    <w:p>
      <w:pPr>
        <w:pStyle w:val="13"/>
        <w:rPr>
          <w:rFonts w:asciiTheme="minorEastAsia" w:hAnsiTheme="minorEastAsia" w:eastAsiaTheme="minorEastAsia"/>
          <w:i/>
          <w:iCs/>
          <w:sz w:val="32"/>
          <w:szCs w:val="32"/>
        </w:rPr>
      </w:pP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asciiTheme="minorEastAsia" w:hAnsiTheme="minorEastAsia" w:eastAsiaTheme="minorEastAsia"/>
          <w:sz w:val="32"/>
          <w:szCs w:val="32"/>
        </w:rPr>
      </w:pPr>
      <w:r>
        <w:rPr>
          <w:rFonts w:hint="eastAsia" w:cs="黑体" w:asciiTheme="minorEastAsia" w:hAnsiTheme="minorEastAsia" w:eastAsiaTheme="minorEastAsia"/>
          <w:color w:val="000000"/>
          <w:kern w:val="0"/>
          <w:sz w:val="32"/>
          <w:szCs w:val="32"/>
          <w:lang w:val="en-US" w:eastAsia="zh-CN" w:bidi="ar-SA"/>
        </w:rPr>
        <w:t>2021年度财政拨款支出137.24万元，主要用于以下方面：社会保障和就业（类）支出13.5万元，占9.84%；卫生健康（类）支出6.36万元，占4.63%；城乡社区（类）支出23.2万元，占16.9%；然资源海洋气象等（类）支出94.18万元，占68.62%；</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2021年度财政拨款支出年初预算数为125.27万元，支出决算数为</w:t>
      </w:r>
      <w:r>
        <w:rPr>
          <w:rFonts w:hint="eastAsia" w:cs="黑体" w:asciiTheme="minorEastAsia" w:hAnsiTheme="minorEastAsia" w:eastAsiaTheme="minorEastAsia"/>
          <w:color w:val="000000"/>
          <w:kern w:val="0"/>
          <w:sz w:val="32"/>
          <w:szCs w:val="32"/>
          <w:lang w:val="zh-CN" w:eastAsia="zh-CN" w:bidi="ar-SA"/>
        </w:rPr>
        <w:t>137.24</w:t>
      </w:r>
      <w:r>
        <w:rPr>
          <w:rFonts w:hint="eastAsia" w:cs="黑体" w:asciiTheme="minorEastAsia" w:hAnsiTheme="minorEastAsia" w:eastAsiaTheme="minorEastAsia"/>
          <w:color w:val="000000"/>
          <w:kern w:val="0"/>
          <w:sz w:val="32"/>
          <w:szCs w:val="32"/>
          <w:lang w:val="en-US" w:eastAsia="zh-CN" w:bidi="ar-SA"/>
        </w:rPr>
        <w:t>万元，完成年初预算的109.56%，其中：</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 xml:space="preserve">社会保障和就业支出（类）行政事业单位养老支出（款）机关事业单位基本养老保险缴费支出（项）。年初预算为12.8万元，支出决算为12.33万元，决算数小于预算数的主要原因是:2021年有人员退休；  </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社会保障和就业支出（类）残疾人事业（款）其他残疾人事业支出（项）。年初预算为1.17万元，支出决算为1.17万元；</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 xml:space="preserve">卫生健康支出（类）行政事业单位医疗（款）事业单位医疗（项）。年初预算为6.56万元，支出决算为6.36万元，决算数小于预算数的主要原因是:2021年有人员退休；      </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 xml:space="preserve">城乡社区支出（类）其他城乡社区支出（款）其他城乡社区支出（项）。年初预算为9.6万元，支出决算为23.2万元，决算数大于预算数的主要原因是：人员工资基数上调，住房公积金补差；   </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自然资源海洋气象等支出（类）自然资源事务（款）行政运行（项）。年初预算为95.14万元，支出决算为93.87万元，决算数小于预算数的主要原因是：从严控制经费开支；</w:t>
      </w:r>
    </w:p>
    <w:p>
      <w:pPr>
        <w:pStyle w:val="13"/>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 xml:space="preserve">自然资源海洋气象等支出（类）自然资源事务（款）一般行政管理事务（项）。年初预算为0万元，支出决算为0.7万元，决算数大于预算数的主要原因是：项目资金，按要求支付。 </w:t>
      </w:r>
    </w:p>
    <w:p>
      <w:pPr>
        <w:pStyle w:val="13"/>
        <w:numPr>
          <w:ilvl w:val="0"/>
          <w:numId w:val="2"/>
        </w:numPr>
        <w:rPr>
          <w:rFonts w:hint="eastAsia" w:hAnsi="黑体"/>
          <w:b/>
          <w:sz w:val="32"/>
          <w:szCs w:val="32"/>
        </w:rPr>
      </w:pPr>
      <w:r>
        <w:rPr>
          <w:rFonts w:hint="eastAsia" w:hAnsi="黑体"/>
          <w:b/>
          <w:sz w:val="32"/>
          <w:szCs w:val="32"/>
        </w:rPr>
        <w:t>一般公共预算财政拨款基本支出决算情况说明</w:t>
      </w:r>
    </w:p>
    <w:p>
      <w:pPr>
        <w:keepNext/>
        <w:keepLines/>
        <w:spacing w:beforeLines="0" w:afterLines="0"/>
        <w:ind w:firstLine="640"/>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zh-CN" w:eastAsia="zh-CN" w:bidi="ar-SA"/>
        </w:rPr>
        <w:t>2021年度</w:t>
      </w:r>
      <w:r>
        <w:rPr>
          <w:rFonts w:hint="eastAsia" w:cs="黑体" w:asciiTheme="minorEastAsia" w:hAnsiTheme="minorEastAsia" w:eastAsiaTheme="minorEastAsia"/>
          <w:color w:val="000000"/>
          <w:kern w:val="0"/>
          <w:sz w:val="32"/>
          <w:szCs w:val="32"/>
          <w:lang w:val="en-US" w:eastAsia="zh-CN" w:bidi="ar-SA"/>
        </w:rPr>
        <w:t>财政拨款基本支出136.93万元，其中:</w:t>
      </w:r>
    </w:p>
    <w:p>
      <w:pPr>
        <w:keepNext/>
        <w:keepLines/>
        <w:spacing w:beforeLines="0" w:afterLines="0"/>
        <w:ind w:firstLine="643"/>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人员经费123.57万元，</w:t>
      </w:r>
      <w:r>
        <w:rPr>
          <w:rFonts w:hint="eastAsia" w:cs="黑体" w:asciiTheme="minorEastAsia" w:hAnsiTheme="minorEastAsia" w:eastAsiaTheme="minorEastAsia"/>
          <w:color w:val="000000"/>
          <w:kern w:val="0"/>
          <w:sz w:val="32"/>
          <w:szCs w:val="32"/>
          <w:lang w:val="zh-CN" w:eastAsia="zh-CN" w:bidi="ar-SA"/>
        </w:rPr>
        <w:t>占基本支出的</w:t>
      </w:r>
      <w:r>
        <w:rPr>
          <w:rFonts w:hint="eastAsia" w:cs="黑体" w:asciiTheme="minorEastAsia" w:hAnsiTheme="minorEastAsia" w:eastAsiaTheme="minorEastAsia"/>
          <w:color w:val="000000"/>
          <w:kern w:val="0"/>
          <w:sz w:val="32"/>
          <w:szCs w:val="32"/>
          <w:lang w:val="en-US" w:eastAsia="zh-CN" w:bidi="ar-SA"/>
        </w:rPr>
        <w:t>90.24%，主要包括基本工资、津贴补贴、</w:t>
      </w:r>
      <w:r>
        <w:rPr>
          <w:rFonts w:hint="eastAsia" w:cs="黑体" w:asciiTheme="minorEastAsia" w:hAnsiTheme="minorEastAsia" w:eastAsiaTheme="minorEastAsia"/>
          <w:color w:val="000000"/>
          <w:kern w:val="0"/>
          <w:sz w:val="32"/>
          <w:szCs w:val="32"/>
          <w:lang w:val="zh-CN" w:eastAsia="zh-CN" w:bidi="ar-SA"/>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p>
    <w:p>
      <w:pPr>
        <w:keepNext/>
        <w:keepLines/>
        <w:spacing w:beforeLines="0" w:afterLines="0"/>
        <w:ind w:firstLine="643"/>
        <w:jc w:val="left"/>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公用经费13.36万元，</w:t>
      </w:r>
      <w:r>
        <w:rPr>
          <w:rFonts w:hint="eastAsia" w:cs="黑体" w:asciiTheme="minorEastAsia" w:hAnsiTheme="minorEastAsia" w:eastAsiaTheme="minorEastAsia"/>
          <w:color w:val="000000"/>
          <w:kern w:val="0"/>
          <w:sz w:val="32"/>
          <w:szCs w:val="32"/>
          <w:lang w:val="zh-CN" w:eastAsia="zh-CN" w:bidi="ar-SA"/>
        </w:rPr>
        <w:t>占基本支出的</w:t>
      </w:r>
      <w:r>
        <w:rPr>
          <w:rFonts w:hint="eastAsia" w:cs="黑体" w:asciiTheme="minorEastAsia" w:hAnsiTheme="minorEastAsia" w:eastAsiaTheme="minorEastAsia"/>
          <w:color w:val="000000"/>
          <w:kern w:val="0"/>
          <w:sz w:val="32"/>
          <w:szCs w:val="32"/>
          <w:lang w:val="en-US" w:eastAsia="zh-CN" w:bidi="ar-SA"/>
        </w:rPr>
        <w:t>9.76%，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3"/>
        <w:rPr>
          <w:rFonts w:hAnsi="黑体"/>
          <w:b/>
          <w:sz w:val="32"/>
          <w:szCs w:val="32"/>
        </w:rPr>
      </w:pPr>
      <w:r>
        <w:rPr>
          <w:rFonts w:hint="eastAsia" w:hAnsi="黑体"/>
          <w:b/>
          <w:sz w:val="32"/>
          <w:szCs w:val="32"/>
        </w:rPr>
        <w:t>七、一般公共预算财政拨款“三公”经费支出决算情况说明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hint="eastAsia" w:asciiTheme="minorEastAsia" w:hAnsiTheme="minorEastAsia" w:eastAsiaTheme="minorEastAsia"/>
          <w:sz w:val="32"/>
          <w:szCs w:val="32"/>
          <w:lang w:val="en-US"/>
        </w:rPr>
      </w:pPr>
      <w:r>
        <w:rPr>
          <w:rFonts w:hint="eastAsia" w:asciiTheme="minorEastAsia" w:hAnsiTheme="minorEastAsia" w:eastAsiaTheme="minorEastAsia"/>
          <w:sz w:val="32"/>
          <w:szCs w:val="32"/>
          <w:lang w:val="en-US"/>
        </w:rPr>
        <w:t>2021年度</w:t>
      </w:r>
      <w:r>
        <w:rPr>
          <w:rFonts w:hint="default" w:asciiTheme="minorEastAsia" w:hAnsiTheme="minorEastAsia" w:eastAsiaTheme="minorEastAsia"/>
          <w:sz w:val="32"/>
          <w:szCs w:val="32"/>
          <w:lang w:val="en-US"/>
        </w:rPr>
        <w:t>“</w:t>
      </w:r>
      <w:r>
        <w:rPr>
          <w:rFonts w:hint="eastAsia" w:asciiTheme="minorEastAsia" w:hAnsiTheme="minorEastAsia" w:eastAsiaTheme="minorEastAsia"/>
          <w:sz w:val="32"/>
          <w:szCs w:val="32"/>
          <w:lang w:val="en-US"/>
        </w:rPr>
        <w:t>三公</w:t>
      </w:r>
      <w:r>
        <w:rPr>
          <w:rFonts w:hint="default" w:asciiTheme="minorEastAsia" w:hAnsiTheme="minorEastAsia" w:eastAsiaTheme="minorEastAsia"/>
          <w:sz w:val="32"/>
          <w:szCs w:val="32"/>
          <w:lang w:val="en-US"/>
        </w:rPr>
        <w:t>”</w:t>
      </w:r>
      <w:r>
        <w:rPr>
          <w:rFonts w:hint="eastAsia" w:asciiTheme="minorEastAsia" w:hAnsiTheme="minorEastAsia" w:eastAsiaTheme="minorEastAsia"/>
          <w:sz w:val="32"/>
          <w:szCs w:val="32"/>
          <w:lang w:val="en-US"/>
        </w:rPr>
        <w:t>经费财政拨款支出预算为4.2万元，支出决算为1.67万元,</w:t>
      </w:r>
      <w:r>
        <w:rPr>
          <w:rFonts w:hint="eastAsia" w:asciiTheme="minorEastAsia" w:hAnsiTheme="minorEastAsia" w:eastAsiaTheme="minorEastAsia"/>
          <w:sz w:val="32"/>
          <w:szCs w:val="32"/>
          <w:lang w:val="zh-CN"/>
        </w:rPr>
        <w:t>完成预算的39.76%，其中：</w:t>
      </w:r>
    </w:p>
    <w:p>
      <w:pPr>
        <w:pStyle w:val="13"/>
        <w:ind w:firstLine="800" w:firstLineChars="250"/>
        <w:rPr>
          <w:rFonts w:hint="eastAsia" w:asciiTheme="minorEastAsia" w:hAnsiTheme="minorEastAsia" w:eastAsiaTheme="minorEastAsia"/>
          <w:sz w:val="32"/>
          <w:szCs w:val="32"/>
          <w:lang w:val="zh-CN"/>
        </w:rPr>
      </w:pPr>
      <w:r>
        <w:rPr>
          <w:rFonts w:hint="eastAsia" w:asciiTheme="minorEastAsia" w:hAnsiTheme="minorEastAsia" w:eastAsiaTheme="minorEastAsia"/>
          <w:sz w:val="32"/>
          <w:szCs w:val="32"/>
        </w:rPr>
        <w:t>因公出国（境）费支出预算为0万元，支出决算为0万元，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宋体" w:hAnsi="Times New Roman" w:eastAsia="宋体"/>
          <w:sz w:val="32"/>
          <w:szCs w:val="24"/>
          <w:highlight w:val="white"/>
          <w:lang w:val="zh-CN"/>
        </w:rPr>
        <w:t>决算数与预算数一致，主要原因是认真贯彻落实中央“八项规定”精神和厉行节约要求，从严控制“三公”经费开支，全年未作出国（境）公务安排。</w:t>
      </w:r>
      <w:r>
        <w:rPr>
          <w:rFonts w:hint="eastAsia" w:ascii="宋体" w:hAnsi="Times New Roman" w:eastAsia="宋体"/>
          <w:sz w:val="32"/>
          <w:szCs w:val="24"/>
          <w:highlight w:val="white"/>
        </w:rPr>
        <w:t>与上年相比无增减变化，主要原因是持续</w:t>
      </w:r>
      <w:r>
        <w:rPr>
          <w:rFonts w:hint="eastAsia" w:ascii="宋体" w:hAnsi="Times New Roman" w:eastAsia="宋体"/>
          <w:sz w:val="32"/>
          <w:szCs w:val="24"/>
          <w:highlight w:val="white"/>
          <w:lang w:val="zh-CN"/>
        </w:rPr>
        <w:t>认真贯彻落实中央“八项规定”精神和厉行节约要求，从严控制“三公”经费开支，未作出国（境）公务安排。</w:t>
      </w:r>
      <w:r>
        <w:rPr>
          <w:rFonts w:hint="eastAsia" w:asciiTheme="minorEastAsia" w:hAnsiTheme="minorEastAsia" w:eastAsiaTheme="minorEastAsia"/>
          <w:sz w:val="32"/>
          <w:szCs w:val="32"/>
          <w:lang w:val="zh-CN"/>
        </w:rPr>
        <w:t xml:space="preserve">  </w:t>
      </w:r>
    </w:p>
    <w:p>
      <w:pPr>
        <w:keepNext/>
        <w:keepLines/>
        <w:spacing w:beforeLines="0" w:afterLines="0"/>
        <w:ind w:firstLine="640"/>
        <w:rPr>
          <w:rFonts w:hint="eastAsia" w:ascii="宋体" w:hAnsi="Times New Roman" w:eastAsia="宋体"/>
          <w:sz w:val="32"/>
          <w:szCs w:val="24"/>
          <w:highlight w:val="white"/>
          <w:lang w:val="zh-CN"/>
        </w:rPr>
      </w:pPr>
      <w:r>
        <w:rPr>
          <w:rFonts w:hint="eastAsia" w:ascii="宋体" w:hAnsi="Times New Roman" w:eastAsia="宋体"/>
          <w:color w:val="000000"/>
          <w:sz w:val="32"/>
          <w:highlight w:val="white"/>
        </w:rPr>
        <w:t>公务用车购置费支出预算为0万元，支出决算为0万元，决算数与预算数一致无差异，主要原因是</w:t>
      </w:r>
      <w:r>
        <w:rPr>
          <w:rFonts w:hint="eastAsia" w:ascii="宋体" w:hAnsi="Times New Roman" w:eastAsia="宋体"/>
          <w:color w:val="000000"/>
          <w:sz w:val="32"/>
          <w:szCs w:val="24"/>
          <w:highlight w:val="white"/>
          <w:lang w:val="zh-CN"/>
        </w:rPr>
        <w:t>认真贯彻落实中央</w:t>
      </w:r>
      <w:r>
        <w:rPr>
          <w:rFonts w:hint="default" w:ascii="Times New Roman" w:hAnsi="Times New Roman" w:eastAsia="宋体"/>
          <w:color w:val="000000"/>
          <w:sz w:val="32"/>
          <w:szCs w:val="24"/>
          <w:highlight w:val="white"/>
          <w:lang w:val="zh-CN"/>
        </w:rPr>
        <w:t>“</w:t>
      </w:r>
      <w:r>
        <w:rPr>
          <w:rFonts w:hint="eastAsia" w:ascii="宋体" w:hAnsi="Times New Roman" w:eastAsia="宋体"/>
          <w:color w:val="000000"/>
          <w:sz w:val="32"/>
          <w:szCs w:val="24"/>
          <w:highlight w:val="white"/>
          <w:lang w:val="zh-CN"/>
        </w:rPr>
        <w:t>八项规定</w:t>
      </w:r>
      <w:r>
        <w:rPr>
          <w:rFonts w:hint="default" w:ascii="Times New Roman" w:hAnsi="Times New Roman" w:eastAsia="宋体"/>
          <w:color w:val="000000"/>
          <w:sz w:val="32"/>
          <w:szCs w:val="24"/>
          <w:highlight w:val="white"/>
          <w:lang w:val="zh-CN"/>
        </w:rPr>
        <w:t>”</w:t>
      </w:r>
      <w:r>
        <w:rPr>
          <w:rFonts w:hint="eastAsia" w:ascii="宋体" w:hAnsi="Times New Roman" w:eastAsia="宋体"/>
          <w:color w:val="000000"/>
          <w:sz w:val="32"/>
          <w:szCs w:val="24"/>
          <w:highlight w:val="white"/>
          <w:lang w:val="zh-CN"/>
        </w:rPr>
        <w:t>精神和厉行节约要求，从严控制</w:t>
      </w:r>
      <w:r>
        <w:rPr>
          <w:rFonts w:hint="default" w:ascii="Times New Roman" w:hAnsi="Times New Roman" w:eastAsia="宋体"/>
          <w:color w:val="000000"/>
          <w:sz w:val="32"/>
          <w:szCs w:val="24"/>
          <w:highlight w:val="white"/>
          <w:lang w:val="zh-CN"/>
        </w:rPr>
        <w:t>“</w:t>
      </w:r>
      <w:r>
        <w:rPr>
          <w:rFonts w:hint="eastAsia" w:ascii="宋体" w:hAnsi="Times New Roman" w:eastAsia="宋体"/>
          <w:color w:val="000000"/>
          <w:sz w:val="32"/>
          <w:szCs w:val="24"/>
          <w:highlight w:val="white"/>
          <w:lang w:val="zh-CN"/>
        </w:rPr>
        <w:t>三公</w:t>
      </w:r>
      <w:r>
        <w:rPr>
          <w:rFonts w:hint="default" w:ascii="Times New Roman" w:hAnsi="Times New Roman" w:eastAsia="宋体"/>
          <w:color w:val="000000"/>
          <w:sz w:val="32"/>
          <w:szCs w:val="24"/>
          <w:highlight w:val="white"/>
          <w:lang w:val="zh-CN"/>
        </w:rPr>
        <w:t>”</w:t>
      </w:r>
      <w:r>
        <w:rPr>
          <w:rFonts w:hint="eastAsia" w:ascii="宋体" w:hAnsi="Times New Roman" w:eastAsia="宋体"/>
          <w:color w:val="000000"/>
          <w:sz w:val="32"/>
          <w:szCs w:val="24"/>
          <w:highlight w:val="white"/>
          <w:lang w:val="zh-CN"/>
        </w:rPr>
        <w:t>经费开支，未作公务用车购置安排。</w:t>
      </w:r>
      <w:r>
        <w:rPr>
          <w:rFonts w:hint="eastAsia" w:ascii="宋体" w:hAnsi="Times New Roman" w:eastAsia="宋体"/>
          <w:sz w:val="32"/>
          <w:szCs w:val="24"/>
          <w:highlight w:val="white"/>
        </w:rPr>
        <w:t>与上年相比无增减变化，主要原因是持续</w:t>
      </w:r>
      <w:r>
        <w:rPr>
          <w:rFonts w:hint="eastAsia" w:ascii="宋体" w:hAnsi="Times New Roman" w:eastAsia="宋体"/>
          <w:sz w:val="32"/>
          <w:szCs w:val="24"/>
          <w:highlight w:val="white"/>
          <w:lang w:val="zh-CN"/>
        </w:rPr>
        <w:t>认真贯彻落实中央“八项规定”精神和厉行节约要求，从严控制“三公”经费开支，</w:t>
      </w:r>
      <w:r>
        <w:rPr>
          <w:rFonts w:hint="eastAsia" w:ascii="宋体" w:hAnsi="Times New Roman" w:eastAsia="宋体"/>
          <w:color w:val="000000"/>
          <w:sz w:val="32"/>
          <w:szCs w:val="24"/>
          <w:highlight w:val="white"/>
          <w:lang w:val="zh-CN"/>
        </w:rPr>
        <w:t>未作公务用车购置安排</w:t>
      </w:r>
      <w:r>
        <w:rPr>
          <w:rFonts w:hint="eastAsia" w:ascii="宋体" w:hAnsi="Times New Roman" w:eastAsia="宋体"/>
          <w:sz w:val="32"/>
          <w:szCs w:val="24"/>
          <w:highlight w:val="white"/>
          <w:lang w:val="zh-CN"/>
        </w:rPr>
        <w:t>。</w:t>
      </w:r>
    </w:p>
    <w:p>
      <w:pPr>
        <w:keepNext/>
        <w:keepLines/>
        <w:spacing w:beforeLines="0" w:afterLines="0"/>
        <w:ind w:firstLine="640"/>
        <w:rPr>
          <w:rFonts w:hint="default" w:ascii="Times New Roman" w:hAnsi="Times New Roman" w:eastAsia="Times New Roman"/>
          <w:color w:val="FF0000"/>
          <w:sz w:val="32"/>
          <w:szCs w:val="24"/>
          <w:highlight w:val="white"/>
          <w:lang w:val="en-US"/>
        </w:rPr>
      </w:pPr>
      <w:r>
        <w:rPr>
          <w:rFonts w:hint="eastAsia" w:ascii="宋体" w:hAnsi="宋体"/>
          <w:color w:val="000000"/>
          <w:sz w:val="32"/>
          <w:szCs w:val="24"/>
          <w:highlight w:val="white"/>
          <w:lang w:val="en-US"/>
        </w:rPr>
        <w:t>公务用车运行维护费支出预算为3万元，支出决算为0.52万元,</w:t>
      </w:r>
      <w:r>
        <w:rPr>
          <w:rFonts w:hint="eastAsia" w:ascii="宋体" w:hAnsi="宋体"/>
          <w:color w:val="000000"/>
          <w:sz w:val="32"/>
          <w:szCs w:val="24"/>
          <w:highlight w:val="white"/>
          <w:lang w:val="zh-CN"/>
        </w:rPr>
        <w:t>完成预算的17.33%,决算数小于预算数的主要原因是认真贯彻落实中央</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八项规定</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精神和厉行节约要求，从严控制</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三公</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经费开支，全年实际支出比预算有所节约。</w:t>
      </w:r>
      <w:r>
        <w:rPr>
          <w:rFonts w:hint="eastAsia" w:ascii="宋体" w:hAnsi="宋体"/>
          <w:color w:val="000000"/>
          <w:sz w:val="32"/>
          <w:szCs w:val="24"/>
          <w:highlight w:val="white"/>
          <w:lang w:val="en-US"/>
        </w:rPr>
        <w:t>与上年相比减少</w:t>
      </w:r>
      <w:r>
        <w:rPr>
          <w:rFonts w:hint="default" w:ascii="宋体" w:hAnsi="宋体"/>
          <w:color w:val="000000"/>
          <w:sz w:val="32"/>
          <w:szCs w:val="24"/>
          <w:highlight w:val="white"/>
          <w:lang w:val="en-US"/>
        </w:rPr>
        <w:t>0.15</w:t>
      </w:r>
      <w:r>
        <w:rPr>
          <w:rFonts w:hint="eastAsia" w:ascii="宋体" w:hAnsi="宋体"/>
          <w:color w:val="000000"/>
          <w:sz w:val="32"/>
          <w:szCs w:val="24"/>
          <w:highlight w:val="white"/>
          <w:lang w:val="en-US"/>
        </w:rPr>
        <w:t>万元，下降22.</w:t>
      </w:r>
      <w:r>
        <w:rPr>
          <w:rFonts w:hint="default" w:ascii="宋体" w:hAnsi="宋体"/>
          <w:color w:val="000000"/>
          <w:sz w:val="32"/>
          <w:szCs w:val="24"/>
          <w:highlight w:val="white"/>
          <w:lang w:val="en-US"/>
        </w:rPr>
        <w:t>39</w:t>
      </w:r>
      <w:r>
        <w:rPr>
          <w:rFonts w:hint="eastAsia" w:ascii="宋体" w:hAnsi="宋体"/>
          <w:color w:val="000000"/>
          <w:sz w:val="32"/>
          <w:szCs w:val="24"/>
          <w:highlight w:val="white"/>
          <w:lang w:val="en-US"/>
        </w:rPr>
        <w:t>%,减少主要原因是认真贯彻落实中央</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八项规定</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精神和厉行节约要求，从严控制</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三公</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经费开支，全年实际支出比预算有所节约。</w:t>
      </w:r>
    </w:p>
    <w:p>
      <w:pPr>
        <w:keepNext/>
        <w:keepLines/>
        <w:spacing w:beforeLines="0" w:afterLines="0"/>
        <w:ind w:firstLine="640"/>
        <w:rPr>
          <w:rFonts w:asciiTheme="minorEastAsia" w:hAnsiTheme="minorEastAsia" w:eastAsiaTheme="minorEastAsia"/>
          <w:sz w:val="32"/>
          <w:szCs w:val="32"/>
        </w:rPr>
      </w:pPr>
      <w:r>
        <w:rPr>
          <w:rFonts w:hint="eastAsia" w:ascii="宋体" w:hAnsi="宋体"/>
          <w:color w:val="000000"/>
          <w:sz w:val="32"/>
          <w:szCs w:val="24"/>
          <w:highlight w:val="white"/>
          <w:lang w:val="zh-CN"/>
        </w:rPr>
        <w:t>公务接待费支出预算为1.2万元，支出决算为1.16万元,完成预算的96.67%,决算数小于预算数的主要原因是认真贯彻落实中央</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八项规定</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精神和厉行节约要求，从严控制</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三公</w:t>
      </w:r>
      <w:r>
        <w:rPr>
          <w:rFonts w:hint="default" w:ascii="宋体" w:hAnsi="宋体"/>
          <w:color w:val="000000"/>
          <w:sz w:val="32"/>
          <w:szCs w:val="24"/>
          <w:highlight w:val="white"/>
          <w:lang w:val="zh-CN"/>
        </w:rPr>
        <w:t>”</w:t>
      </w:r>
      <w:r>
        <w:rPr>
          <w:rFonts w:hint="eastAsia" w:ascii="宋体" w:hAnsi="宋体"/>
          <w:color w:val="000000"/>
          <w:sz w:val="32"/>
          <w:szCs w:val="24"/>
          <w:highlight w:val="white"/>
          <w:lang w:val="zh-CN"/>
        </w:rPr>
        <w:t xml:space="preserve">经费开支，全年实际支出比预算有所节约。  </w:t>
      </w:r>
      <w:r>
        <w:rPr>
          <w:rFonts w:hint="eastAsia" w:ascii="宋体" w:hAnsi="宋体"/>
          <w:color w:val="000000"/>
          <w:sz w:val="32"/>
          <w:szCs w:val="24"/>
          <w:highlight w:val="white"/>
          <w:lang w:val="en-US"/>
        </w:rPr>
        <w:t>与上年相比减少</w:t>
      </w:r>
      <w:r>
        <w:rPr>
          <w:rFonts w:hint="default" w:ascii="宋体" w:hAnsi="宋体"/>
          <w:color w:val="000000"/>
          <w:sz w:val="32"/>
          <w:szCs w:val="24"/>
          <w:highlight w:val="white"/>
          <w:lang w:val="en-US"/>
        </w:rPr>
        <w:t>0.28</w:t>
      </w:r>
      <w:r>
        <w:rPr>
          <w:rFonts w:hint="eastAsia" w:ascii="宋体" w:hAnsi="宋体"/>
          <w:color w:val="000000"/>
          <w:sz w:val="32"/>
          <w:szCs w:val="24"/>
          <w:highlight w:val="white"/>
          <w:lang w:val="en-US"/>
        </w:rPr>
        <w:t>万元，下降19.</w:t>
      </w:r>
      <w:r>
        <w:rPr>
          <w:rFonts w:hint="default" w:ascii="宋体" w:hAnsi="宋体"/>
          <w:color w:val="000000"/>
          <w:sz w:val="32"/>
          <w:szCs w:val="24"/>
          <w:highlight w:val="white"/>
          <w:lang w:val="en-US"/>
        </w:rPr>
        <w:t>44</w:t>
      </w:r>
      <w:r>
        <w:rPr>
          <w:rFonts w:hint="eastAsia" w:ascii="宋体" w:hAnsi="宋体"/>
          <w:color w:val="000000"/>
          <w:sz w:val="32"/>
          <w:szCs w:val="24"/>
          <w:highlight w:val="white"/>
          <w:lang w:val="en-US"/>
        </w:rPr>
        <w:t>%,减少主要原因是认真贯彻落实中央</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八项规定</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精神和厉行节约要求，从严控制</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三公</w:t>
      </w:r>
      <w:r>
        <w:rPr>
          <w:rFonts w:hint="default" w:ascii="宋体" w:hAnsi="宋体"/>
          <w:color w:val="000000"/>
          <w:sz w:val="32"/>
          <w:szCs w:val="24"/>
          <w:highlight w:val="white"/>
          <w:lang w:val="en-US"/>
        </w:rPr>
        <w:t>”</w:t>
      </w:r>
      <w:r>
        <w:rPr>
          <w:rFonts w:hint="eastAsia" w:ascii="宋体" w:hAnsi="宋体"/>
          <w:color w:val="000000"/>
          <w:sz w:val="32"/>
          <w:szCs w:val="24"/>
          <w:highlight w:val="white"/>
          <w:lang w:val="en-US"/>
        </w:rPr>
        <w:t>经费开支，全年实际支出比预算有所节约。</w:t>
      </w:r>
      <w:r>
        <w:rPr>
          <w:rFonts w:hint="eastAsia" w:asciiTheme="minorEastAsia" w:hAnsiTheme="minorEastAsia" w:eastAsiaTheme="minorEastAsia"/>
          <w:sz w:val="32"/>
          <w:szCs w:val="32"/>
          <w:lang w:val="zh-CN"/>
        </w:rPr>
        <w:t xml:space="preserve"> </w:t>
      </w:r>
    </w:p>
    <w:p>
      <w:pPr>
        <w:pStyle w:val="13"/>
        <w:numPr>
          <w:ilvl w:val="0"/>
          <w:numId w:val="3"/>
        </w:numPr>
        <w:rPr>
          <w:rFonts w:hint="eastAsia" w:ascii="宋体" w:hAnsi="宋体"/>
          <w:color w:val="auto"/>
          <w:kern w:val="0"/>
          <w:sz w:val="32"/>
          <w:szCs w:val="24"/>
          <w:lang w:val="zh-CN"/>
        </w:rPr>
      </w:pPr>
      <w:r>
        <w:rPr>
          <w:rFonts w:hint="eastAsia" w:asciiTheme="minorEastAsia" w:hAnsiTheme="minorEastAsia" w:eastAsiaTheme="minorEastAsia"/>
          <w:b/>
          <w:sz w:val="32"/>
          <w:szCs w:val="32"/>
        </w:rPr>
        <w:t>“三公”经费财政拨款支出决算具体情况说明</w:t>
      </w:r>
      <w:r>
        <w:rPr>
          <w:rFonts w:hint="eastAsia" w:asciiTheme="minorEastAsia" w:hAnsiTheme="minorEastAsia" w:eastAsiaTheme="minorEastAsia"/>
          <w:b/>
          <w:sz w:val="32"/>
          <w:szCs w:val="32"/>
          <w:lang w:val="en-US" w:eastAsia="zh-CN"/>
        </w:rPr>
        <w:t xml:space="preserve">                </w:t>
      </w:r>
    </w:p>
    <w:p>
      <w:pPr>
        <w:pStyle w:val="13"/>
        <w:numPr>
          <w:ilvl w:val="0"/>
          <w:numId w:val="0"/>
        </w:numPr>
        <w:ind w:firstLine="640" w:firstLineChars="200"/>
        <w:rPr>
          <w:rFonts w:hint="eastAsia" w:ascii="宋体" w:hAnsi="宋体" w:eastAsiaTheme="minorEastAsia" w:cstheme="minorBidi"/>
          <w:color w:val="auto"/>
          <w:kern w:val="0"/>
          <w:sz w:val="32"/>
          <w:szCs w:val="24"/>
          <w:lang w:val="zh-CN" w:eastAsia="zh-CN" w:bidi="ar-SA"/>
        </w:rPr>
      </w:pPr>
      <w:r>
        <w:rPr>
          <w:rFonts w:hint="eastAsia" w:ascii="宋体" w:hAnsi="宋体" w:eastAsiaTheme="minorEastAsia" w:cstheme="minorBidi"/>
          <w:color w:val="auto"/>
          <w:kern w:val="0"/>
          <w:sz w:val="32"/>
          <w:szCs w:val="24"/>
          <w:lang w:val="zh-CN" w:eastAsia="zh-CN" w:bidi="ar-SA"/>
        </w:rPr>
        <w:t>2021年度</w:t>
      </w:r>
      <w:r>
        <w:rPr>
          <w:rFonts w:hint="default" w:ascii="宋体" w:hAnsi="宋体" w:eastAsiaTheme="minorEastAsia" w:cstheme="minorBidi"/>
          <w:color w:val="auto"/>
          <w:kern w:val="0"/>
          <w:sz w:val="32"/>
          <w:szCs w:val="24"/>
          <w:lang w:val="zh-CN" w:eastAsia="zh-CN" w:bidi="ar-SA"/>
        </w:rPr>
        <w:t>“</w:t>
      </w:r>
      <w:r>
        <w:rPr>
          <w:rFonts w:hint="eastAsia" w:ascii="宋体" w:hAnsi="宋体" w:eastAsiaTheme="minorEastAsia" w:cstheme="minorBidi"/>
          <w:color w:val="auto"/>
          <w:kern w:val="0"/>
          <w:sz w:val="32"/>
          <w:szCs w:val="24"/>
          <w:lang w:val="zh-CN" w:eastAsia="zh-CN" w:bidi="ar-SA"/>
        </w:rPr>
        <w:t>三公</w:t>
      </w:r>
      <w:r>
        <w:rPr>
          <w:rFonts w:hint="default" w:ascii="宋体" w:hAnsi="宋体" w:eastAsiaTheme="minorEastAsia" w:cstheme="minorBidi"/>
          <w:color w:val="auto"/>
          <w:kern w:val="0"/>
          <w:sz w:val="32"/>
          <w:szCs w:val="24"/>
          <w:lang w:val="zh-CN" w:eastAsia="zh-CN" w:bidi="ar-SA"/>
        </w:rPr>
        <w:t>”</w:t>
      </w:r>
      <w:r>
        <w:rPr>
          <w:rFonts w:hint="eastAsia" w:ascii="宋体" w:hAnsi="宋体" w:eastAsiaTheme="minorEastAsia" w:cstheme="minorBidi"/>
          <w:color w:val="auto"/>
          <w:kern w:val="0"/>
          <w:sz w:val="32"/>
          <w:szCs w:val="24"/>
          <w:lang w:val="zh-CN" w:eastAsia="zh-CN" w:bidi="ar-SA"/>
        </w:rPr>
        <w:t>经费财政拨款支出决算中，因公出国（境）费支出决算0万元，占0%；</w:t>
      </w:r>
    </w:p>
    <w:p>
      <w:pPr>
        <w:pStyle w:val="13"/>
        <w:numPr>
          <w:ilvl w:val="0"/>
          <w:numId w:val="0"/>
        </w:numPr>
        <w:ind w:firstLine="640" w:firstLineChars="200"/>
        <w:rPr>
          <w:rFonts w:hint="eastAsia" w:ascii="宋体" w:hAnsi="宋体" w:eastAsiaTheme="minorEastAsia" w:cstheme="minorBidi"/>
          <w:color w:val="auto"/>
          <w:kern w:val="0"/>
          <w:sz w:val="32"/>
          <w:szCs w:val="24"/>
          <w:lang w:val="zh-CN" w:eastAsia="zh-CN" w:bidi="ar-SA"/>
        </w:rPr>
      </w:pPr>
      <w:r>
        <w:rPr>
          <w:rFonts w:hint="eastAsia" w:ascii="宋体" w:hAnsi="宋体" w:eastAsiaTheme="minorEastAsia" w:cstheme="minorBidi"/>
          <w:color w:val="auto"/>
          <w:kern w:val="0"/>
          <w:sz w:val="32"/>
          <w:szCs w:val="24"/>
          <w:lang w:val="zh-CN" w:eastAsia="zh-CN" w:bidi="ar-SA"/>
        </w:rPr>
        <w:t>公务用车购置费及运行维护费支出决算0.52万元，占31.14%；</w:t>
      </w:r>
    </w:p>
    <w:p>
      <w:pPr>
        <w:pStyle w:val="13"/>
        <w:numPr>
          <w:ilvl w:val="0"/>
          <w:numId w:val="0"/>
        </w:numPr>
        <w:ind w:firstLine="640" w:firstLineChars="200"/>
        <w:rPr>
          <w:rFonts w:hint="eastAsia" w:ascii="宋体" w:hAnsi="宋体" w:eastAsiaTheme="minorEastAsia" w:cstheme="minorBidi"/>
          <w:color w:val="auto"/>
          <w:kern w:val="0"/>
          <w:sz w:val="32"/>
          <w:szCs w:val="24"/>
          <w:lang w:val="zh-CN" w:eastAsia="zh-CN" w:bidi="ar-SA"/>
        </w:rPr>
      </w:pPr>
      <w:r>
        <w:rPr>
          <w:rFonts w:hint="eastAsia" w:ascii="宋体" w:hAnsi="宋体" w:eastAsiaTheme="minorEastAsia" w:cstheme="minorBidi"/>
          <w:color w:val="auto"/>
          <w:kern w:val="0"/>
          <w:sz w:val="32"/>
          <w:szCs w:val="24"/>
          <w:lang w:val="zh-CN" w:eastAsia="zh-CN" w:bidi="ar-SA"/>
        </w:rPr>
        <w:t>公务接待费支出决算1.16万元，占69.46%。其中：</w:t>
      </w:r>
    </w:p>
    <w:p>
      <w:pPr>
        <w:pStyle w:val="13"/>
        <w:numPr>
          <w:ilvl w:val="0"/>
          <w:numId w:val="0"/>
        </w:numPr>
        <w:ind w:firstLine="640" w:firstLineChars="200"/>
        <w:rPr>
          <w:rFonts w:hint="eastAsia" w:ascii="宋体" w:hAnsi="宋体" w:eastAsiaTheme="minorEastAsia" w:cstheme="minorBidi"/>
          <w:color w:val="auto"/>
          <w:kern w:val="0"/>
          <w:sz w:val="32"/>
          <w:szCs w:val="24"/>
          <w:lang w:val="zh-CN" w:eastAsia="zh-CN" w:bidi="ar-SA"/>
        </w:rPr>
      </w:pPr>
      <w:r>
        <w:rPr>
          <w:rFonts w:hint="eastAsia" w:ascii="宋体" w:hAnsi="宋体" w:eastAsiaTheme="minorEastAsia" w:cstheme="minorBidi"/>
          <w:color w:val="auto"/>
          <w:kern w:val="0"/>
          <w:sz w:val="32"/>
          <w:szCs w:val="24"/>
          <w:lang w:val="zh-CN" w:eastAsia="zh-CN" w:bidi="ar-SA"/>
        </w:rPr>
        <w:t>因公出国（境）费支出决算0万元，全年安排因公出国（境）团组0个，累计0人次</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全年未作出因公出国（境）公务安排。</w:t>
      </w:r>
    </w:p>
    <w:p>
      <w:pPr>
        <w:pStyle w:val="13"/>
        <w:numPr>
          <w:ilvl w:val="0"/>
          <w:numId w:val="0"/>
        </w:numPr>
        <w:ind w:firstLine="640" w:firstLineChars="200"/>
        <w:rPr>
          <w:rFonts w:hint="eastAsia" w:ascii="宋体" w:hAnsi="宋体" w:eastAsiaTheme="minorEastAsia" w:cstheme="minorBidi"/>
          <w:color w:val="auto"/>
          <w:kern w:val="0"/>
          <w:sz w:val="32"/>
          <w:szCs w:val="24"/>
          <w:lang w:val="zh-CN" w:eastAsia="zh-CN" w:bidi="ar-SA"/>
        </w:rPr>
      </w:pPr>
      <w:r>
        <w:rPr>
          <w:rFonts w:hint="eastAsia" w:ascii="宋体" w:hAnsi="宋体" w:eastAsiaTheme="minorEastAsia" w:cstheme="minorBidi"/>
          <w:color w:val="auto"/>
          <w:kern w:val="0"/>
          <w:sz w:val="32"/>
          <w:szCs w:val="24"/>
          <w:lang w:val="zh-CN" w:eastAsia="zh-CN" w:bidi="ar-SA"/>
        </w:rPr>
        <w:t>公务用车购置及运行维护费支出决算为0.52万元，其中： 公务用车购置支出0万元，更新公务用车0辆。公务用车运行费支出0.52万元。主要是按规定保留的公务用车的燃料费、维修费、过桥过路费、保险费、安全奖励费用等支出。截至2021年12月31日，我单位开支财政拨款的公务用车保有量为1辆。</w:t>
      </w:r>
    </w:p>
    <w:p>
      <w:pPr>
        <w:pStyle w:val="13"/>
        <w:numPr>
          <w:ilvl w:val="0"/>
          <w:numId w:val="0"/>
        </w:numPr>
        <w:ind w:firstLine="640" w:firstLineChars="200"/>
        <w:rPr>
          <w:rFonts w:hint="eastAsia" w:ascii="宋体" w:hAnsi="宋体" w:eastAsiaTheme="minorEastAsia" w:cstheme="minorBidi"/>
          <w:color w:val="auto"/>
          <w:kern w:val="0"/>
          <w:sz w:val="32"/>
          <w:szCs w:val="24"/>
          <w:lang w:val="zh-CN" w:eastAsia="zh-CN" w:bidi="ar-SA"/>
        </w:rPr>
      </w:pPr>
      <w:r>
        <w:rPr>
          <w:rFonts w:hint="eastAsia" w:ascii="宋体" w:hAnsi="宋体" w:eastAsiaTheme="minorEastAsia" w:cstheme="minorBidi"/>
          <w:color w:val="auto"/>
          <w:kern w:val="0"/>
          <w:sz w:val="32"/>
          <w:szCs w:val="24"/>
          <w:lang w:val="zh-CN" w:eastAsia="zh-CN" w:bidi="ar-SA"/>
        </w:rPr>
        <w:t>公务接待费支出决算为1.16万元，其中：其他国内公务接待支出1.16万元,主要用于与有关单位交流工作情况及接受相关部门检查指导工作发生的接待支出。2021年共接待国内公务接待批次12个、接待人次116人次（不包括陪同人员）。</w:t>
      </w:r>
    </w:p>
    <w:p>
      <w:pPr>
        <w:pStyle w:val="13"/>
        <w:rPr>
          <w:rFonts w:hAnsi="黑体"/>
          <w:b/>
          <w:sz w:val="32"/>
          <w:szCs w:val="32"/>
        </w:rPr>
      </w:pPr>
      <w:r>
        <w:rPr>
          <w:rFonts w:hint="eastAsia" w:hAnsi="黑体"/>
          <w:b/>
          <w:sz w:val="32"/>
          <w:szCs w:val="32"/>
        </w:rPr>
        <w:t>八、政府性基金预算收入支出决算情况</w:t>
      </w:r>
    </w:p>
    <w:p>
      <w:pPr>
        <w:ind w:firstLine="64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宋体" w:hAnsi="宋体" w:eastAsia="宋体" w:cs="Times New Roman"/>
          <w:color w:val="auto"/>
          <w:sz w:val="32"/>
          <w:szCs w:val="32"/>
        </w:rPr>
        <w:t>因本单位无政府性基金收支</w:t>
      </w:r>
      <w:r>
        <w:rPr>
          <w:rFonts w:hint="eastAsia" w:cs="Times New Roman" w:asciiTheme="minorEastAsia" w:hAnsiTheme="minorEastAsia" w:eastAsiaTheme="minorEastAsia"/>
          <w:color w:val="auto"/>
          <w:sz w:val="32"/>
          <w:szCs w:val="32"/>
        </w:rPr>
        <w:t>。</w:t>
      </w:r>
    </w:p>
    <w:p>
      <w:pPr>
        <w:ind w:firstLine="640"/>
        <w:rPr>
          <w:rFonts w:hint="default" w:ascii="Times New Roman" w:hAnsi="Times New Roman" w:eastAsia="Times New Roman"/>
          <w:color w:val="auto"/>
          <w:sz w:val="21"/>
          <w:szCs w:val="24"/>
          <w:lang w:val="en-US"/>
        </w:rPr>
      </w:pPr>
      <w:r>
        <w:rPr>
          <w:rFonts w:hint="eastAsia" w:ascii="宋体" w:hAnsi="宋体"/>
          <w:color w:val="auto"/>
          <w:sz w:val="32"/>
          <w:szCs w:val="24"/>
          <w:highlight w:val="white"/>
          <w:lang w:val="zh-CN"/>
        </w:rPr>
        <w:t>2021年本单位没有使用政府性基金预算财政拨款安排的收支。</w:t>
      </w:r>
    </w:p>
    <w:p>
      <w:pPr>
        <w:pStyle w:val="13"/>
        <w:numPr>
          <w:ilvl w:val="0"/>
          <w:numId w:val="4"/>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keepNext/>
        <w:keepLines/>
        <w:ind w:firstLine="640"/>
        <w:rPr>
          <w:rFonts w:hint="eastAsia" w:ascii="宋体" w:hAnsi="宋体"/>
          <w:color w:val="auto"/>
          <w:sz w:val="32"/>
          <w:szCs w:val="24"/>
          <w:highlight w:val="white"/>
          <w:lang w:val="zh-CN"/>
        </w:rPr>
      </w:pPr>
      <w:r>
        <w:rPr>
          <w:rFonts w:hint="eastAsia" w:ascii="宋体" w:hAnsi="宋体"/>
          <w:color w:val="auto"/>
          <w:sz w:val="32"/>
          <w:szCs w:val="24"/>
          <w:highlight w:val="white"/>
          <w:lang w:val="zh-CN"/>
        </w:rPr>
        <w:t>2021年本单位没有使用国有资本经营预算安排的支出。</w:t>
      </w:r>
    </w:p>
    <w:p>
      <w:pPr>
        <w:pStyle w:val="13"/>
        <w:rPr>
          <w:rFonts w:hAnsi="黑体"/>
          <w:b/>
          <w:sz w:val="32"/>
          <w:szCs w:val="32"/>
        </w:rPr>
      </w:pPr>
      <w:r>
        <w:rPr>
          <w:rFonts w:hint="eastAsia" w:hAnsi="黑体"/>
          <w:b/>
          <w:sz w:val="32"/>
          <w:szCs w:val="32"/>
        </w:rPr>
        <w:t>十、机关运行经费支出说明</w:t>
      </w:r>
    </w:p>
    <w:p>
      <w:pPr>
        <w:keepNext/>
        <w:keepLines/>
        <w:spacing w:beforeLines="0" w:afterLines="0"/>
        <w:ind w:firstLine="64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岳阳市土地综合整治中心单位性质为财政补助事业单位，部门决算报表没有机关运行经费统计数据。</w:t>
      </w:r>
    </w:p>
    <w:p>
      <w:pPr>
        <w:pStyle w:val="13"/>
        <w:rPr>
          <w:rFonts w:hAnsi="黑体"/>
          <w:b/>
          <w:sz w:val="32"/>
          <w:szCs w:val="32"/>
        </w:rPr>
      </w:pPr>
      <w:r>
        <w:rPr>
          <w:rFonts w:hint="eastAsia" w:hAnsi="黑体"/>
          <w:b/>
          <w:sz w:val="32"/>
          <w:szCs w:val="32"/>
        </w:rPr>
        <w:t>十一、一般性支出情况说明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万元；开支培训费</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万元；举办节庆、晚会、论坛、赛事活动，开支</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本单位202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年没有召开会议，没有进行培训</w:t>
      </w:r>
      <w:r>
        <w:rPr>
          <w:rFonts w:hint="eastAsia" w:asciiTheme="minorEastAsia" w:hAnsiTheme="minorEastAsia" w:eastAsiaTheme="minorEastAsia"/>
          <w:sz w:val="32"/>
          <w:szCs w:val="32"/>
          <w:lang w:eastAsia="zh-CN"/>
        </w:rPr>
        <w:t>，也</w:t>
      </w:r>
      <w:r>
        <w:rPr>
          <w:rFonts w:hint="eastAsia" w:asciiTheme="minorEastAsia" w:hAnsiTheme="minorEastAsia" w:eastAsiaTheme="minorEastAsia"/>
          <w:sz w:val="32"/>
          <w:szCs w:val="32"/>
        </w:rPr>
        <w:t>未举办节庆、晚会、论坛、赛事活动。</w:t>
      </w:r>
    </w:p>
    <w:p>
      <w:pPr>
        <w:pStyle w:val="13"/>
        <w:rPr>
          <w:rFonts w:hAnsi="黑体"/>
          <w:b/>
          <w:sz w:val="32"/>
          <w:szCs w:val="32"/>
        </w:rPr>
      </w:pPr>
      <w:r>
        <w:rPr>
          <w:rFonts w:hint="eastAsia" w:hAnsi="黑体"/>
          <w:b/>
          <w:sz w:val="32"/>
          <w:szCs w:val="32"/>
        </w:rPr>
        <w:t>十二、政府采购支出说明</w:t>
      </w:r>
    </w:p>
    <w:p>
      <w:pPr>
        <w:keepNext/>
        <w:keepLines/>
        <w:spacing w:beforeLines="0" w:afterLines="0"/>
        <w:ind w:firstLine="64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2021年度政府采购支出总额0万元，其中：政府采购货物支出0万元；政府采购工程支出0万元；政府采购服务支出0万元。授予中小企业合同金额0万元，占政府采购支出总额的0%。</w:t>
      </w:r>
    </w:p>
    <w:p>
      <w:pPr>
        <w:keepNext/>
        <w:keepLines/>
        <w:spacing w:beforeLines="0" w:afterLines="0"/>
        <w:ind w:firstLine="64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3"/>
        <w:numPr>
          <w:ilvl w:val="0"/>
          <w:numId w:val="5"/>
        </w:numPr>
        <w:rPr>
          <w:rFonts w:hint="eastAsia" w:hAnsi="黑体"/>
          <w:b/>
          <w:sz w:val="32"/>
          <w:szCs w:val="32"/>
        </w:rPr>
      </w:pPr>
      <w:r>
        <w:rPr>
          <w:rFonts w:hint="eastAsia" w:hAnsi="黑体"/>
          <w:b/>
          <w:sz w:val="32"/>
          <w:szCs w:val="32"/>
        </w:rPr>
        <w:t>国有资产占用情况说明</w:t>
      </w:r>
    </w:p>
    <w:p>
      <w:pPr>
        <w:pStyle w:val="13"/>
        <w:numPr>
          <w:ilvl w:val="0"/>
          <w:numId w:val="0"/>
        </w:numPr>
        <w:ind w:firstLine="640" w:firstLineChars="200"/>
        <w:rPr>
          <w:rFonts w:hint="default"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截至2021年12月31日，岳阳市土地综合整治中心共有车辆1辆。其中：其他用车1辆，其他用车主要是用于机要通信和应急保障之外公务用途的车辆；年末无单价50万元(含)以上通用设备，年末无单价100万元(含)以上通用设备。</w:t>
      </w:r>
    </w:p>
    <w:p>
      <w:pPr>
        <w:pStyle w:val="13"/>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pStyle w:val="2"/>
        <w:ind w:firstLine="640" w:firstLineChars="200"/>
        <w:rPr>
          <w:rFonts w:hint="default" w:cs="黑体" w:asciiTheme="minorEastAsia" w:hAnsi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根据预算绩效管理要求，我单位对2021 年度开展整体支出进行了绩效评价，</w:t>
      </w:r>
      <w:r>
        <w:rPr>
          <w:rFonts w:hint="eastAsia" w:cs="黑体" w:asciiTheme="minorEastAsia" w:hAnsiTheme="minorEastAsia"/>
          <w:color w:val="000000"/>
          <w:kern w:val="0"/>
          <w:sz w:val="32"/>
          <w:szCs w:val="32"/>
          <w:lang w:val="en-US" w:eastAsia="zh-CN" w:bidi="ar-SA"/>
        </w:rPr>
        <w:t>纳入2021年部门整体预算支出绩效目标的金额为199.98万元，其中，基本支出194.89万元，项目支出5.09万元。</w:t>
      </w:r>
    </w:p>
    <w:p>
      <w:pPr>
        <w:autoSpaceDE w:val="0"/>
        <w:autoSpaceDN w:val="0"/>
        <w:adjustRightInd w:val="0"/>
        <w:ind w:firstLine="640" w:firstLineChars="200"/>
        <w:jc w:val="left"/>
        <w:rPr>
          <w:rFonts w:hint="eastAsia" w:cs="黑体" w:asciiTheme="minorEastAsia" w:hAnsi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2021年我中心积极推进全过程预算绩效管理，着力促进资金使用绩效的提升。根据年初工作目标和工作计划，为保证财政资金的使用效率，在资金使用过程中，严格加强费用控制，将各项费用控制在预算范围内。较好地完成了全年的目标工作任务。</w:t>
      </w:r>
      <w:r>
        <w:rPr>
          <w:rFonts w:hint="eastAsia" w:cs="黑体" w:asciiTheme="minorEastAsia" w:hAnsiTheme="minorEastAsia"/>
          <w:color w:val="000000"/>
          <w:kern w:val="0"/>
          <w:sz w:val="32"/>
          <w:szCs w:val="32"/>
          <w:lang w:val="en-US" w:eastAsia="zh-CN" w:bidi="ar-SA"/>
        </w:rPr>
        <w:t>单位紧扣目标任务对部门整体支出全面开展绩效自评，数量指标、质量指标都达到了考核要求，时效指标、成本指标、经济指标到达了预期效果，各项时效指标均全面及时完成，社会效益良好，形成了持续良好环境，群众满意度提高。</w:t>
      </w:r>
    </w:p>
    <w:p>
      <w:pPr>
        <w:autoSpaceDE w:val="0"/>
        <w:autoSpaceDN w:val="0"/>
        <w:adjustRightInd w:val="0"/>
        <w:ind w:firstLine="640" w:firstLineChars="200"/>
        <w:jc w:val="left"/>
        <w:rPr>
          <w:rFonts w:hint="eastAsia" w:ascii="宋体" w:hAnsi="宋体" w:cs="黑体"/>
          <w:color w:val="000000"/>
          <w:kern w:val="0"/>
          <w:sz w:val="32"/>
          <w:szCs w:val="32"/>
          <w:lang w:eastAsia="zh-CN"/>
        </w:rPr>
      </w:pPr>
      <w:r>
        <w:rPr>
          <w:rFonts w:hint="eastAsia" w:cs="黑体" w:asciiTheme="minorEastAsia" w:hAnsiTheme="minorEastAsia"/>
          <w:color w:val="000000"/>
          <w:kern w:val="0"/>
          <w:sz w:val="32"/>
          <w:szCs w:val="32"/>
          <w:lang w:val="en-US" w:eastAsia="zh-CN" w:bidi="ar-SA"/>
        </w:rPr>
        <w:t>因</w:t>
      </w:r>
      <w:r>
        <w:rPr>
          <w:rFonts w:hint="eastAsia" w:ascii="宋体" w:hAnsi="宋体" w:cs="黑体"/>
          <w:color w:val="000000"/>
          <w:kern w:val="0"/>
          <w:sz w:val="32"/>
          <w:szCs w:val="32"/>
          <w:lang w:eastAsia="zh-CN"/>
        </w:rPr>
        <w:t>本单位</w:t>
      </w:r>
      <w:r>
        <w:rPr>
          <w:rFonts w:hint="eastAsia" w:ascii="宋体" w:hAnsi="宋体" w:cs="宋体"/>
          <w:color w:val="000000"/>
          <w:kern w:val="0"/>
          <w:sz w:val="28"/>
          <w:szCs w:val="28"/>
          <w:highlight w:val="white"/>
        </w:rPr>
        <w:t>项目非重点项目</w:t>
      </w:r>
      <w:bookmarkStart w:id="0" w:name="_GoBack"/>
      <w:bookmarkEnd w:id="0"/>
      <w:r>
        <w:rPr>
          <w:rFonts w:hint="eastAsia" w:ascii="宋体" w:hAnsi="宋体" w:cs="黑体"/>
          <w:color w:val="000000"/>
          <w:kern w:val="0"/>
          <w:sz w:val="32"/>
          <w:szCs w:val="32"/>
          <w:lang w:eastAsia="zh-CN"/>
        </w:rPr>
        <w:t>，故未开展项目自评，无自评结果。</w:t>
      </w:r>
    </w:p>
    <w:p>
      <w:pPr>
        <w:pStyle w:val="2"/>
        <w:ind w:firstLine="640" w:firstLineChars="200"/>
        <w:rPr>
          <w:rFonts w:hint="default" w:cs="黑体" w:asciiTheme="minorEastAsia" w:hAnsiTheme="minorEastAsia"/>
          <w:color w:val="000000"/>
          <w:kern w:val="0"/>
          <w:sz w:val="32"/>
          <w:szCs w:val="32"/>
          <w:lang w:val="en-US" w:eastAsia="zh-CN" w:bidi="ar-SA"/>
        </w:rPr>
      </w:pPr>
    </w:p>
    <w:p>
      <w:pPr>
        <w:pStyle w:val="2"/>
        <w:rPr>
          <w:rFonts w:hint="eastAsia" w:eastAsiaTheme="minorEastAsia"/>
          <w:lang w:val="en-US" w:eastAsia="zh-CN"/>
        </w:rPr>
      </w:pPr>
    </w:p>
    <w:p>
      <w:pPr>
        <w:pStyle w:val="13"/>
        <w:rPr>
          <w:rFonts w:hint="default"/>
          <w:sz w:val="72"/>
          <w:szCs w:val="72"/>
          <w:lang w:val="en-US"/>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rPr>
          <w:sz w:val="72"/>
          <w:szCs w:val="72"/>
        </w:rPr>
      </w:pPr>
    </w:p>
    <w:p>
      <w:pPr>
        <w:pStyle w:val="13"/>
        <w:jc w:val="both"/>
        <w:rPr>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numPr>
          <w:ilvl w:val="0"/>
          <w:numId w:val="0"/>
        </w:numPr>
        <w:ind w:firstLine="640" w:firstLineChars="200"/>
        <w:jc w:val="left"/>
        <w:rPr>
          <w:rFonts w:hint="eastAsia"/>
        </w:rPr>
      </w:pPr>
      <w:r>
        <w:rPr>
          <w:rFonts w:hint="eastAsia" w:cs="黑体" w:asciiTheme="minorEastAsia" w:hAnsiTheme="minorEastAsia"/>
          <w:color w:val="000000"/>
          <w:kern w:val="0"/>
          <w:sz w:val="32"/>
          <w:szCs w:val="32"/>
          <w:lang w:eastAsia="zh-CN"/>
        </w:rPr>
        <w:t>一、</w:t>
      </w:r>
      <w:r>
        <w:rPr>
          <w:rFonts w:hint="eastAsia" w:cs="黑体" w:asciiTheme="minorEastAsia" w:hAnsiTheme="minorEastAsia"/>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numPr>
          <w:ilvl w:val="0"/>
          <w:numId w:val="0"/>
        </w:numPr>
        <w:ind w:firstLine="640" w:firstLineChars="200"/>
        <w:jc w:val="left"/>
      </w:pPr>
      <w:r>
        <w:rPr>
          <w:rFonts w:hint="eastAsia" w:cs="黑体" w:asciiTheme="minorEastAsia" w:hAnsiTheme="minorEastAsia"/>
          <w:color w:val="000000"/>
          <w:kern w:val="0"/>
          <w:sz w:val="32"/>
          <w:szCs w:val="32"/>
          <w:lang w:eastAsia="zh-CN"/>
        </w:rPr>
        <w:t>二、</w:t>
      </w:r>
      <w:r>
        <w:rPr>
          <w:rFonts w:hint="eastAsia" w:cs="黑体" w:asciiTheme="minorEastAsia" w:hAnsiTheme="minorEastAsia"/>
          <w:color w:val="000000"/>
          <w:kern w:val="0"/>
          <w:sz w:val="32"/>
          <w:szCs w:val="32"/>
        </w:rPr>
        <w:t>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三、</w:t>
      </w:r>
      <w:r>
        <w:rPr>
          <w:rFonts w:hint="eastAsia" w:cs="黑体" w:asciiTheme="minorEastAsia" w:hAnsiTheme="minorEastAsia"/>
          <w:color w:val="000000"/>
          <w:kern w:val="0"/>
          <w:sz w:val="32"/>
          <w:szCs w:val="32"/>
        </w:rPr>
        <w:t>财政拨款收入：指本级财政当年拨付的资金。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四、</w:t>
      </w:r>
      <w:r>
        <w:rPr>
          <w:rFonts w:hint="eastAsia" w:cs="黑体" w:asciiTheme="minorEastAsia" w:hAnsiTheme="minorEastAsia"/>
          <w:color w:val="000000"/>
          <w:kern w:val="0"/>
          <w:sz w:val="32"/>
          <w:szCs w:val="32"/>
        </w:rPr>
        <w:t>其他收入：指除上述“财政拨款收入”、“上级补助收入”、“事业收入”、“经营收入”、“附属单位上缴收入”等以外的收入。</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五、</w:t>
      </w:r>
      <w:r>
        <w:rPr>
          <w:rFonts w:hint="eastAsia" w:cs="黑体" w:asciiTheme="minorEastAsia" w:hAnsiTheme="minorEastAsia"/>
          <w:color w:val="000000"/>
          <w:kern w:val="0"/>
          <w:sz w:val="32"/>
          <w:szCs w:val="32"/>
        </w:rPr>
        <w:t>上年结转和结余：指以前年度尚未完成、结转到本年按有关规定继续使用的资金。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六、</w:t>
      </w:r>
      <w:r>
        <w:rPr>
          <w:rFonts w:hint="eastAsia" w:cs="黑体" w:asciiTheme="minorEastAsia" w:hAnsiTheme="minorEastAsia"/>
          <w:color w:val="000000"/>
          <w:kern w:val="0"/>
          <w:sz w:val="32"/>
          <w:szCs w:val="32"/>
        </w:rPr>
        <w:t>年末结转和结余资金：指本年度或以前年度预算安排、因客观条件发生变化无法按原计划实施，需要延迟到以后年度按有关规定继续使用的资金。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七、</w:t>
      </w:r>
      <w:r>
        <w:rPr>
          <w:rFonts w:hint="eastAsia" w:cs="黑体" w:asciiTheme="minorEastAsia" w:hAnsiTheme="minorEastAsia"/>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八、</w:t>
      </w:r>
      <w:r>
        <w:rPr>
          <w:rFonts w:hint="eastAsia" w:cs="黑体" w:asciiTheme="minorEastAsia" w:hAnsiTheme="minorEastAsia"/>
          <w:color w:val="000000"/>
          <w:kern w:val="0"/>
          <w:sz w:val="32"/>
          <w:szCs w:val="32"/>
        </w:rPr>
        <w:t>卫生健康支出（类）：是指用于医疗卫生与计划生育方面的支出，包括保障机构正常运转、完成日常和特定的工作任务或事业发展目标的支出。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九、</w:t>
      </w:r>
      <w:r>
        <w:rPr>
          <w:rFonts w:hint="eastAsia" w:cs="黑体" w:asciiTheme="minorEastAsia" w:hAnsiTheme="minorEastAsia"/>
          <w:color w:val="000000"/>
          <w:kern w:val="0"/>
          <w:sz w:val="32"/>
          <w:szCs w:val="32"/>
        </w:rPr>
        <w:t>城乡社区支出（类）：是指用于城乡社区事务支出，包括保障机构正常运转、完成日常和特定的工作任务或事业发展目标的支出。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w:t>
      </w:r>
      <w:r>
        <w:rPr>
          <w:rFonts w:hint="eastAsia" w:cs="黑体" w:asciiTheme="minorEastAsia" w:hAnsiTheme="minorEastAsia"/>
          <w:color w:val="000000"/>
          <w:kern w:val="0"/>
          <w:sz w:val="32"/>
          <w:szCs w:val="32"/>
        </w:rPr>
        <w:t>自然资源海洋气象等支出（类）：是指用于自然资源、海洋、测绘、气象等公益服务事业方面的支出，包括保障机构正常运转、完成日常和特定的工作任务或事业发展目标的支出。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十一、</w:t>
      </w:r>
      <w:r>
        <w:rPr>
          <w:rFonts w:hint="eastAsia" w:cs="黑体" w:asciiTheme="minorEastAsia" w:hAnsiTheme="minorEastAsia"/>
          <w:color w:val="000000"/>
          <w:kern w:val="0"/>
          <w:sz w:val="32"/>
          <w:szCs w:val="32"/>
        </w:rPr>
        <w:t>基本支出：指保障机构正常运转、完成支日常工作任务而发生的人员支出和公用支出。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十二、</w:t>
      </w:r>
      <w:r>
        <w:rPr>
          <w:rFonts w:hint="eastAsia" w:cs="黑体" w:asciiTheme="minorEastAsia" w:hAnsiTheme="minorEastAsia"/>
          <w:color w:val="000000"/>
          <w:kern w:val="0"/>
          <w:sz w:val="32"/>
          <w:szCs w:val="32"/>
        </w:rPr>
        <w:t>项目支出：指在基本支出之外为完成特定行政任务和事业发展目标所发生的支出。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十三、</w:t>
      </w:r>
      <w:r>
        <w:rPr>
          <w:rFonts w:hint="eastAsia" w:cs="黑体" w:asciiTheme="minorEastAsia" w:hAnsiTheme="minorEastAsia"/>
          <w:color w:val="000000"/>
          <w:kern w:val="0"/>
          <w:sz w:val="32"/>
          <w:szCs w:val="32"/>
        </w:rPr>
        <w:t>工资福利支出：反映单位开支的在职职工和编制外长期聘用人员的各类劳动报酬，以及为上述人员缴纳的各项社会保险费等。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十四、</w:t>
      </w:r>
      <w:r>
        <w:rPr>
          <w:rFonts w:hint="eastAsia" w:cs="黑体" w:asciiTheme="minorEastAsia" w:hAnsiTheme="minorEastAsia"/>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十五、</w:t>
      </w:r>
      <w:r>
        <w:rPr>
          <w:rFonts w:hint="eastAsia" w:cs="黑体" w:asciiTheme="minorEastAsia" w:hAnsiTheme="minorEastAsia"/>
          <w:color w:val="000000"/>
          <w:kern w:val="0"/>
          <w:sz w:val="32"/>
          <w:szCs w:val="32"/>
        </w:rPr>
        <w:t>奖金：反映机关工作人员年终一次性奖金。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十六、</w:t>
      </w:r>
      <w:r>
        <w:rPr>
          <w:rFonts w:hint="eastAsia" w:cs="黑体" w:asciiTheme="minorEastAsia" w:hAnsiTheme="minorEastAsia"/>
          <w:color w:val="000000"/>
          <w:kern w:val="0"/>
          <w:sz w:val="32"/>
          <w:szCs w:val="32"/>
        </w:rPr>
        <w:t>伙食补助费：反映单位发给职工的伙食补助费，如误餐补助等。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十七、</w:t>
      </w:r>
      <w:r>
        <w:rPr>
          <w:rFonts w:hint="eastAsia" w:cs="黑体" w:asciiTheme="minorEastAsia" w:hAnsiTheme="minorEastAsia"/>
          <w:color w:val="000000"/>
          <w:kern w:val="0"/>
          <w:sz w:val="32"/>
          <w:szCs w:val="32"/>
        </w:rPr>
        <w:t>绩效工资：反映事业单位工作人员的绩效工资。机关事业单位基本养老保险缴费：反映机关事业单位缴纳的基本养老保险费。由单位代扣的工作人员基本养老保险缴费，不在此科目反映。</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十八、</w:t>
      </w:r>
      <w:r>
        <w:rPr>
          <w:rFonts w:hint="eastAsia" w:cs="黑体" w:asciiTheme="minorEastAsia" w:hAnsiTheme="minorEastAsia"/>
          <w:color w:val="000000"/>
          <w:kern w:val="0"/>
          <w:sz w:val="32"/>
          <w:szCs w:val="32"/>
        </w:rPr>
        <w:t>职工基本医疗保险缴费：反映单位为职工缴纳的基本医疗保险费。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十九、</w:t>
      </w:r>
      <w:r>
        <w:rPr>
          <w:rFonts w:hint="eastAsia" w:cs="黑体" w:asciiTheme="minorEastAsia" w:hAnsiTheme="minorEastAsia"/>
          <w:color w:val="000000"/>
          <w:kern w:val="0"/>
          <w:sz w:val="32"/>
          <w:szCs w:val="32"/>
        </w:rPr>
        <w:t>其他社会保障缴费：反映单位为职工缴纳的基本医疗、失业、工伤、生育等社会保险费，残疾人就业保障金，军队（含武警）为军人缴纳的伤亡、退役医疗等社会保险费。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w:t>
      </w:r>
      <w:r>
        <w:rPr>
          <w:rFonts w:hint="eastAsia" w:cs="黑体" w:asciiTheme="minorEastAsia" w:hAnsiTheme="minorEastAsia"/>
          <w:color w:val="000000"/>
          <w:kern w:val="0"/>
          <w:sz w:val="32"/>
          <w:szCs w:val="32"/>
        </w:rPr>
        <w:t>商品和服务支出：反映单位购买商品和服务的支出（不包括用于购置固定资产的支出、战略性和应急储备支出）。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二十一、</w:t>
      </w:r>
      <w:r>
        <w:rPr>
          <w:rFonts w:hint="eastAsia" w:cs="黑体" w:asciiTheme="minorEastAsia" w:hAnsiTheme="minorEastAsia"/>
          <w:color w:val="000000"/>
          <w:kern w:val="0"/>
          <w:sz w:val="32"/>
          <w:szCs w:val="32"/>
        </w:rPr>
        <w:t>办公费：反映单位购买按财务会计制度规定不符合固定资产确认标准的日常办公用品、书报杂志等支出。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二十二、</w:t>
      </w:r>
      <w:r>
        <w:rPr>
          <w:rFonts w:hint="eastAsia" w:cs="黑体" w:asciiTheme="minorEastAsia" w:hAnsiTheme="minorEastAsia"/>
          <w:color w:val="000000"/>
          <w:kern w:val="0"/>
          <w:sz w:val="32"/>
          <w:szCs w:val="32"/>
        </w:rPr>
        <w:t>印刷费：反映单位的印刷费支出。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二十三、</w:t>
      </w:r>
      <w:r>
        <w:rPr>
          <w:rFonts w:hint="eastAsia" w:cs="黑体" w:asciiTheme="minorEastAsia" w:hAnsiTheme="minorEastAsia"/>
          <w:color w:val="000000"/>
          <w:kern w:val="0"/>
          <w:sz w:val="32"/>
          <w:szCs w:val="32"/>
        </w:rPr>
        <w:t>邮电费：反映单位开支的信函、包裹、货物等物品的邮寄费及电话费、电报费、传真费、网络通讯费等。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二十四、</w:t>
      </w:r>
      <w:r>
        <w:rPr>
          <w:rFonts w:hint="eastAsia" w:cs="黑体" w:asciiTheme="minorEastAsia" w:hAnsiTheme="minorEastAsia"/>
          <w:color w:val="000000"/>
          <w:kern w:val="0"/>
          <w:sz w:val="32"/>
          <w:szCs w:val="32"/>
        </w:rPr>
        <w:t>差旅费：反映单位工作人员出差发生的城市间交通费、住宿费、伙食补贴费和市内交通费。</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二十五、</w:t>
      </w:r>
      <w:r>
        <w:rPr>
          <w:rFonts w:hint="eastAsia" w:cs="黑体" w:asciiTheme="minorEastAsia" w:hAnsiTheme="minorEastAsia"/>
          <w:color w:val="000000"/>
          <w:kern w:val="0"/>
          <w:sz w:val="32"/>
          <w:szCs w:val="32"/>
        </w:rPr>
        <w:t>维修(护)费：反映单位日常开支的固定资产（不包括车船等交通工具）修理和维护费用，网络信息系统运行与维护费用，以及按规定提取的修购基金。</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二十六、</w:t>
      </w:r>
      <w:r>
        <w:rPr>
          <w:rFonts w:hint="eastAsia" w:cs="黑体" w:asciiTheme="minorEastAsia" w:hAnsiTheme="minorEastAsia"/>
          <w:color w:val="000000"/>
          <w:kern w:val="0"/>
          <w:sz w:val="32"/>
          <w:szCs w:val="32"/>
        </w:rPr>
        <w:t>公务接待费：反映单位按规定开支的各类公务接待（含外宾接待）费用。</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二十七、</w:t>
      </w:r>
      <w:r>
        <w:rPr>
          <w:rFonts w:hint="eastAsia" w:cs="黑体" w:asciiTheme="minorEastAsia" w:hAnsiTheme="minorEastAsia"/>
          <w:color w:val="000000"/>
          <w:kern w:val="0"/>
          <w:sz w:val="32"/>
          <w:szCs w:val="32"/>
        </w:rPr>
        <w:t>劳务费：反映支付给单位和个人的劳务费用，如临时聘用人员、钟点工工资，稿费、翻译费，评审费等。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二十八、</w:t>
      </w:r>
      <w:r>
        <w:rPr>
          <w:rFonts w:hint="eastAsia" w:cs="黑体" w:asciiTheme="minorEastAsia" w:hAnsiTheme="minorEastAsia"/>
          <w:color w:val="000000"/>
          <w:kern w:val="0"/>
          <w:sz w:val="32"/>
          <w:szCs w:val="32"/>
        </w:rPr>
        <w:t>公务用车运行维护费：反映单位按规定保留的公务用车燃料费、维修费、过桥过路费、保险费、安全奖励费用等支出。</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二十九、</w:t>
      </w:r>
      <w:r>
        <w:rPr>
          <w:rFonts w:hint="eastAsia" w:cs="黑体" w:asciiTheme="minorEastAsia" w:hAnsiTheme="minorEastAsia"/>
          <w:color w:val="000000"/>
          <w:kern w:val="0"/>
          <w:sz w:val="32"/>
          <w:szCs w:val="32"/>
        </w:rPr>
        <w:t>其他交通费用：反映单位除公务用车运行维护费以外的其他交通费用。如公务交通补贴，租车费用、出租车费用，飞机、船舶等的燃料费、维修费、保险费等。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三十、</w:t>
      </w:r>
      <w:r>
        <w:rPr>
          <w:rFonts w:hint="eastAsia" w:cs="黑体" w:asciiTheme="minorEastAsia" w:hAnsiTheme="minorEastAsia"/>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lang w:eastAsia="zh-CN"/>
        </w:rPr>
        <w:t>三十一、</w:t>
      </w:r>
      <w:r>
        <w:rPr>
          <w:rFonts w:hint="eastAsia" w:cs="黑体" w:asciiTheme="minorEastAsia" w:hAnsiTheme="minorEastAsia"/>
          <w:color w:val="000000"/>
          <w:kern w:val="0"/>
          <w:sz w:val="32"/>
          <w:szCs w:val="32"/>
        </w:rPr>
        <w:t>对个人和家庭的补助：反映政府用于对个人和家庭的补助支出。</w:t>
      </w:r>
    </w:p>
    <w:p>
      <w:pPr>
        <w:widowControl/>
        <w:ind w:firstLine="640" w:firstLineChars="200"/>
        <w:jc w:val="left"/>
        <w:rPr>
          <w:rFonts w:eastAsia="黑体" w:cs="黑体" w:asciiTheme="minorEastAsia" w:hAnsiTheme="minorEastAsia"/>
          <w:color w:val="000000"/>
          <w:kern w:val="0"/>
          <w:sz w:val="28"/>
          <w:szCs w:val="32"/>
        </w:rPr>
      </w:pPr>
      <w:r>
        <w:rPr>
          <w:rFonts w:hint="eastAsia" w:cs="黑体" w:asciiTheme="minorEastAsia" w:hAnsiTheme="minorEastAsia"/>
          <w:color w:val="000000"/>
          <w:kern w:val="0"/>
          <w:sz w:val="32"/>
          <w:szCs w:val="32"/>
          <w:lang w:eastAsia="zh-CN"/>
        </w:rPr>
        <w:t>三十二、</w:t>
      </w:r>
      <w:r>
        <w:rPr>
          <w:rFonts w:hint="eastAsia" w:cs="黑体" w:asciiTheme="minorEastAsia" w:hAnsiTheme="minorEastAsia"/>
          <w:color w:val="000000"/>
          <w:kern w:val="0"/>
          <w:sz w:val="32"/>
          <w:szCs w:val="32"/>
        </w:rPr>
        <w:t>奖励金：反映政府各部门的奖励支出，如对个体私营经济的奖励、计划生育目标责任奖励、独生子女父母奖励等。</w:t>
      </w: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both"/>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hint="eastAsia" w:cs="黑体" w:asciiTheme="minorEastAsia" w:hAnsiTheme="minorEastAsia"/>
          <w:b/>
          <w:color w:val="000000"/>
          <w:kern w:val="0"/>
          <w:sz w:val="32"/>
          <w:szCs w:val="32"/>
          <w:lang w:val="en-US" w:eastAsia="zh-CN"/>
        </w:rPr>
      </w:pPr>
    </w:p>
    <w:p>
      <w:pPr>
        <w:widowControl/>
        <w:jc w:val="left"/>
        <w:rPr>
          <w:rFonts w:hint="eastAsia" w:cs="黑体" w:asciiTheme="minorEastAsia" w:hAnsiTheme="minorEastAsia"/>
          <w:b/>
          <w:color w:val="000000"/>
          <w:kern w:val="0"/>
          <w:sz w:val="32"/>
          <w:szCs w:val="32"/>
          <w:lang w:val="en-US" w:eastAsia="zh-CN"/>
        </w:rPr>
      </w:pPr>
    </w:p>
    <w:p>
      <w:pPr>
        <w:widowControl/>
        <w:jc w:val="left"/>
        <w:rPr>
          <w:rFonts w:hint="eastAsia" w:cs="黑体" w:asciiTheme="minorEastAsia" w:hAnsiTheme="minorEastAsia" w:eastAsiaTheme="minorEastAsia"/>
          <w:b/>
          <w:color w:val="000000"/>
          <w:kern w:val="0"/>
          <w:sz w:val="32"/>
          <w:szCs w:val="32"/>
          <w:lang w:val="en-US" w:eastAsia="zh-CN"/>
        </w:rPr>
      </w:pPr>
      <w:r>
        <w:rPr>
          <w:rFonts w:hint="eastAsia" w:cs="黑体" w:asciiTheme="minorEastAsia" w:hAnsiTheme="minorEastAsia"/>
          <w:b/>
          <w:color w:val="000000"/>
          <w:kern w:val="0"/>
          <w:sz w:val="32"/>
          <w:szCs w:val="32"/>
          <w:lang w:val="en-US" w:eastAsia="zh-CN"/>
        </w:rPr>
        <w:t>1、2021年部门决算公开表格</w:t>
      </w:r>
    </w:p>
    <w:p>
      <w:pPr>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lang w:val="en-US" w:eastAsia="zh-CN"/>
        </w:rPr>
        <w:t>2、</w:t>
      </w:r>
      <w:r>
        <w:rPr>
          <w:rFonts w:hint="eastAsia" w:cs="黑体" w:asciiTheme="minorEastAsia" w:hAnsiTheme="minorEastAsia"/>
          <w:b/>
          <w:color w:val="000000"/>
          <w:kern w:val="0"/>
          <w:sz w:val="32"/>
          <w:szCs w:val="32"/>
        </w:rPr>
        <w:t>2021年度部门整体支出绩效评价报告</w:t>
      </w:r>
    </w:p>
    <w:p>
      <w:pPr>
        <w:ind w:firstLine="640" w:firstLineChars="200"/>
        <w:jc w:val="left"/>
        <w:rPr>
          <w:rFonts w:cs="黑体" w:asciiTheme="minorEastAsia" w:hAnsiTheme="minorEastAsia"/>
          <w:color w:val="000000"/>
          <w:kern w:val="0"/>
          <w:sz w:val="32"/>
          <w:szCs w:val="32"/>
        </w:rPr>
      </w:pPr>
    </w:p>
    <w:p>
      <w:pPr>
        <w:pStyle w:val="5"/>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5"/>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5"/>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5"/>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rPr>
          <w:rFonts w:cs="黑体" w:asciiTheme="minorEastAsia" w:hAnsiTheme="minorEastAsia"/>
          <w:color w:val="000000"/>
          <w:kern w:val="0"/>
          <w:sz w:val="32"/>
          <w:szCs w:val="32"/>
        </w:rPr>
      </w:pPr>
    </w:p>
    <w:p>
      <w:pPr>
        <w:pStyle w:val="5"/>
        <w:rPr>
          <w:rFonts w:cs="黑体" w:asciiTheme="minorEastAsia" w:hAnsiTheme="minorEastAsia"/>
          <w:color w:val="000000"/>
          <w:kern w:val="0"/>
          <w:sz w:val="32"/>
          <w:szCs w:val="32"/>
        </w:rPr>
      </w:pPr>
    </w:p>
    <w:p>
      <w:pPr>
        <w:shd w:val="clear" w:color="auto" w:fill="FFFFFF"/>
        <w:spacing w:line="720" w:lineRule="atLeast"/>
        <w:ind w:firstLine="300"/>
        <w:jc w:val="center"/>
        <w:rPr>
          <w:rFonts w:hint="eastAsia" w:ascii="宋体" w:hAnsi="宋体" w:cs="宋体"/>
          <w:color w:val="333333"/>
          <w:kern w:val="0"/>
          <w:sz w:val="44"/>
          <w:szCs w:val="44"/>
          <w:lang w:val="en-US" w:eastAsia="zh-CN"/>
        </w:rPr>
      </w:pPr>
      <w:r>
        <w:rPr>
          <w:rFonts w:hint="eastAsia" w:ascii="宋体" w:hAnsi="宋体" w:cs="宋体"/>
          <w:color w:val="333333"/>
          <w:kern w:val="0"/>
          <w:sz w:val="44"/>
          <w:szCs w:val="44"/>
        </w:rPr>
        <w:t>岳阳市</w:t>
      </w:r>
      <w:r>
        <w:rPr>
          <w:rFonts w:hint="eastAsia" w:ascii="宋体" w:hAnsi="宋体" w:cs="宋体"/>
          <w:color w:val="333333"/>
          <w:kern w:val="0"/>
          <w:sz w:val="44"/>
          <w:szCs w:val="44"/>
          <w:lang w:eastAsia="zh-CN"/>
        </w:rPr>
        <w:t>土地综合整治中心</w:t>
      </w:r>
    </w:p>
    <w:p>
      <w:pPr>
        <w:shd w:val="clear" w:color="auto" w:fill="FFFFFF"/>
        <w:spacing w:line="720" w:lineRule="atLeast"/>
        <w:ind w:firstLine="300"/>
        <w:jc w:val="center"/>
        <w:rPr>
          <w:rFonts w:hint="eastAsia" w:ascii="宋体" w:hAnsi="宋体" w:cs="宋体"/>
          <w:color w:val="333333"/>
          <w:kern w:val="0"/>
          <w:sz w:val="21"/>
          <w:szCs w:val="21"/>
        </w:rPr>
      </w:pPr>
      <w:r>
        <w:rPr>
          <w:rFonts w:hint="eastAsia" w:ascii="宋体" w:hAnsi="宋体" w:cs="Times New Roman"/>
          <w:color w:val="333333"/>
          <w:kern w:val="0"/>
          <w:sz w:val="44"/>
          <w:szCs w:val="44"/>
        </w:rPr>
        <w:t>202</w:t>
      </w:r>
      <w:r>
        <w:rPr>
          <w:rFonts w:hint="eastAsia" w:ascii="宋体" w:hAnsi="宋体" w:cs="Times New Roman"/>
          <w:color w:val="333333"/>
          <w:kern w:val="0"/>
          <w:sz w:val="44"/>
          <w:szCs w:val="44"/>
          <w:lang w:val="en-US" w:eastAsia="zh-CN"/>
        </w:rPr>
        <w:t>1</w:t>
      </w:r>
      <w:r>
        <w:rPr>
          <w:rFonts w:hint="eastAsia" w:ascii="宋体" w:hAnsi="宋体" w:cs="Times New Roman"/>
          <w:color w:val="333333"/>
          <w:kern w:val="0"/>
          <w:sz w:val="44"/>
          <w:szCs w:val="44"/>
        </w:rPr>
        <w:t>年部门整体支出绩效情况表</w:t>
      </w:r>
    </w:p>
    <w:p>
      <w:pPr>
        <w:shd w:val="clear" w:color="auto" w:fill="FFFFFF"/>
        <w:spacing w:line="450" w:lineRule="atLeast"/>
        <w:ind w:firstLine="544"/>
        <w:jc w:val="left"/>
        <w:rPr>
          <w:rFonts w:hint="eastAsia" w:ascii="微软雅黑" w:hAnsi="微软雅黑" w:eastAsia="微软雅黑" w:cs="宋体"/>
          <w:color w:val="333333"/>
          <w:kern w:val="0"/>
          <w:sz w:val="21"/>
          <w:szCs w:val="21"/>
        </w:rPr>
      </w:pPr>
      <w:r>
        <w:rPr>
          <w:rFonts w:hint="default" w:eastAsia="微软雅黑" w:cs="Times New Roman"/>
          <w:b/>
          <w:color w:val="333333"/>
          <w:kern w:val="0"/>
          <w:sz w:val="28"/>
          <w:szCs w:val="28"/>
        </w:rPr>
        <w:t> </w:t>
      </w:r>
    </w:p>
    <w:tbl>
      <w:tblPr>
        <w:tblStyle w:val="9"/>
        <w:tblW w:w="93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654"/>
        <w:gridCol w:w="46"/>
        <w:gridCol w:w="1410"/>
        <w:gridCol w:w="9"/>
        <w:gridCol w:w="83"/>
        <w:gridCol w:w="421"/>
        <w:gridCol w:w="742"/>
        <w:gridCol w:w="155"/>
        <w:gridCol w:w="230"/>
        <w:gridCol w:w="465"/>
        <w:gridCol w:w="331"/>
        <w:gridCol w:w="384"/>
        <w:gridCol w:w="368"/>
        <w:gridCol w:w="733"/>
        <w:gridCol w:w="312"/>
        <w:gridCol w:w="126"/>
        <w:gridCol w:w="377"/>
        <w:gridCol w:w="558"/>
        <w:gridCol w:w="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黑体" w:hAnsi="黑体" w:eastAsia="黑体" w:cs="黑体"/>
                <w:color w:val="000000"/>
                <w:sz w:val="28"/>
                <w:szCs w:val="2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人员编制</w:t>
            </w:r>
          </w:p>
        </w:tc>
        <w:tc>
          <w:tcPr>
            <w:tcW w:w="3561" w:type="dxa"/>
            <w:gridSpan w:val="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12</w:t>
            </w:r>
          </w:p>
        </w:tc>
        <w:tc>
          <w:tcPr>
            <w:tcW w:w="715"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实有人数</w:t>
            </w:r>
          </w:p>
        </w:tc>
        <w:tc>
          <w:tcPr>
            <w:tcW w:w="3464" w:type="dxa"/>
            <w:gridSpan w:val="7"/>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120"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职能职责概述</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（一）</w:t>
            </w:r>
            <w:r>
              <w:rPr>
                <w:rFonts w:hint="eastAsia" w:ascii="仿宋_GB2312" w:hAnsi="仿宋_GB2312" w:eastAsia="仿宋_GB2312" w:cs="仿宋_GB2312"/>
                <w:color w:val="000000"/>
                <w:sz w:val="21"/>
                <w:szCs w:val="21"/>
                <w:lang w:eastAsia="zh-CN"/>
              </w:rPr>
              <w:t>负责对全市各县市区土地综合整治机构业务指导；</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（二）配合生态修复科做好生态修复项目申报、建设、验收等日常事务及监督管理过程中的技术性、事务性工作。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1、</w:t>
            </w:r>
            <w:r>
              <w:rPr>
                <w:rFonts w:hint="eastAsia" w:ascii="仿宋_GB2312" w:hAnsi="仿宋_GB2312" w:eastAsia="仿宋_GB2312" w:cs="仿宋_GB2312"/>
                <w:color w:val="000000"/>
                <w:sz w:val="21"/>
                <w:szCs w:val="21"/>
                <w:lang w:eastAsia="zh-CN"/>
              </w:rPr>
              <w:t>负责全市国土空间综合整治(土地综合整治)项目申报、建设、验收等日常事务及监督管理过程中的技术性、事务事务性工作；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sz w:val="21"/>
                <w:szCs w:val="21"/>
                <w:lang w:eastAsia="zh-CN"/>
              </w:rPr>
              <w:t>负责全市国土空间生态修复（山水林田湖草生态修复）项目申报、建设、验收等日常事务及监督管理过程中的技术性、事务性工作；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3、</w:t>
            </w:r>
            <w:r>
              <w:rPr>
                <w:rFonts w:hint="eastAsia" w:ascii="仿宋_GB2312" w:hAnsi="仿宋_GB2312" w:eastAsia="仿宋_GB2312" w:cs="仿宋_GB2312"/>
                <w:color w:val="000000"/>
                <w:sz w:val="21"/>
                <w:szCs w:val="21"/>
                <w:lang w:eastAsia="zh-CN"/>
              </w:rPr>
              <w:t>负责全市土地复垦项目（含灾毁、建设项目临时用地复垦）申报、建设、验收等日常事务及监督管理过程中的技术性、事务性工作；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（三）配合耕地保护科做好土地开发、整理项目申报、建设、验收等日常事务及监督管理过程中的技术性、事务性工作。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1、</w:t>
            </w:r>
            <w:r>
              <w:rPr>
                <w:rFonts w:hint="eastAsia" w:ascii="仿宋_GB2312" w:hAnsi="仿宋_GB2312" w:eastAsia="仿宋_GB2312" w:cs="仿宋_GB2312"/>
                <w:color w:val="000000"/>
                <w:sz w:val="21"/>
                <w:szCs w:val="21"/>
                <w:lang w:eastAsia="zh-CN"/>
              </w:rPr>
              <w:t>负责全市土地开发、整理项目（含空心房）申报、建设、验收等日常事务及监督管理过程中的技术性、事务性工作；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sz w:val="21"/>
                <w:szCs w:val="21"/>
                <w:lang w:eastAsia="zh-CN"/>
              </w:rPr>
              <w:t>负责全市高标准农田建设项目新增耕地审核；</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3、</w:t>
            </w:r>
            <w:r>
              <w:rPr>
                <w:rFonts w:hint="eastAsia" w:ascii="仿宋_GB2312" w:hAnsi="仿宋_GB2312" w:eastAsia="仿宋_GB2312" w:cs="仿宋_GB2312"/>
                <w:color w:val="000000"/>
                <w:sz w:val="21"/>
                <w:szCs w:val="21"/>
                <w:lang w:eastAsia="zh-CN"/>
              </w:rPr>
              <w:t xml:space="preserve">承担耕地保护、永久基本农田划定、耕地占补、耕地质量等别年度更新与监测评价、财政支出耕地开垦费项目绩效评价的事务性和技术性工作； </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（四）配合用途管制科做好增减挂钩项目申报、建设、验收等日常事务及监督管理过程中的技术性、事务性工作。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（五）负责全市土地开发、土地复垦、土地综合整治、城乡建设用地增减挂钩、旱地改水田、高标准农田建设等项目的耕地质量等别评定工作；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（六）参与编制全市国土空间综合整治、国土空间生态修复专项规划和项目年度计划，负责专项规划成果的应用管理与应用；</w:t>
            </w:r>
          </w:p>
          <w:p>
            <w:pPr>
              <w:autoSpaceDN w:val="0"/>
              <w:spacing w:line="320" w:lineRule="exact"/>
              <w:jc w:val="lef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（七）完成市农村“空心房”整治工作领导小组办公室、省土地综合整治局、市自然资源和规划局交办的工作任务。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78"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年度主要</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工作内容</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1.抓全域土地综合整治。对临湘、华容、岳阳、平江、汩罗、湘阴等6个县市区拟开展全域土地综合整治试点工作的运行机制和管理模式进行调研，并开展土地综合整治项目申报的工作。</w:t>
            </w:r>
          </w:p>
          <w:p>
            <w:pPr>
              <w:autoSpaceDN w:val="0"/>
              <w:spacing w:line="320" w:lineRule="exact"/>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2</w:t>
            </w:r>
            <w:r>
              <w:rPr>
                <w:rFonts w:hint="eastAsia" w:ascii="仿宋_GB2312" w:hAnsi="仿宋_GB2312" w:eastAsia="仿宋_GB2312" w:cs="仿宋_GB2312"/>
                <w:color w:val="000000"/>
                <w:sz w:val="21"/>
                <w:szCs w:val="21"/>
                <w:lang w:val="en-US" w:eastAsia="zh-CN"/>
              </w:rPr>
              <w:t>.</w:t>
            </w:r>
            <w:r>
              <w:rPr>
                <w:rFonts w:hint="eastAsia" w:ascii="仿宋_GB2312" w:hAnsi="仿宋_GB2312" w:eastAsia="仿宋_GB2312" w:cs="仿宋_GB2312"/>
                <w:color w:val="000000"/>
                <w:sz w:val="21"/>
                <w:szCs w:val="21"/>
                <w:lang w:eastAsia="zh-CN"/>
              </w:rPr>
              <w:t>抓项目实地核查。配合耕地保护科、用途管制科开展开发项目、增减挂项目实地核查工作。一是配合省土地综合整治局完成临港产业新区3个开发项目立项选址；二是协助耕保科完成临湘市坦渡，汨罗市大荆、罗江，平江县三市、加义，湘阴县石塘、三塘、云溪区路口、陆城等23个项目，57个片区，建设规模251.17公顷，投资总额4772.76万元，新增耕地238.69公顷的开发、旱改水项目补充新增耕地指标确认的实地核实工作。</w:t>
            </w:r>
          </w:p>
          <w:p>
            <w:pPr>
              <w:pStyle w:val="5"/>
              <w:rPr>
                <w:rFonts w:hint="default"/>
                <w:lang w:val="en-US" w:eastAsia="zh-CN"/>
              </w:rPr>
            </w:pPr>
            <w:r>
              <w:rPr>
                <w:rFonts w:hint="eastAsia" w:ascii="仿宋_GB2312" w:hAnsi="仿宋_GB2312" w:eastAsia="仿宋_GB2312" w:cs="仿宋_GB2312"/>
                <w:color w:val="000000"/>
                <w:sz w:val="21"/>
                <w:szCs w:val="21"/>
                <w:lang w:eastAsia="zh-CN"/>
              </w:rPr>
              <w:t>3</w:t>
            </w:r>
            <w:r>
              <w:rPr>
                <w:rFonts w:hint="eastAsia" w:ascii="仿宋_GB2312" w:hAnsi="仿宋_GB2312" w:eastAsia="仿宋_GB2312" w:cs="仿宋_GB2312"/>
                <w:color w:val="000000"/>
                <w:sz w:val="21"/>
                <w:szCs w:val="21"/>
                <w:lang w:val="en-US" w:eastAsia="zh-CN"/>
              </w:rPr>
              <w:t>.</w:t>
            </w:r>
            <w:r>
              <w:rPr>
                <w:rFonts w:hint="eastAsia" w:ascii="仿宋_GB2312" w:hAnsi="仿宋_GB2312" w:eastAsia="仿宋_GB2312" w:cs="仿宋_GB2312"/>
                <w:color w:val="000000"/>
                <w:sz w:val="21"/>
                <w:szCs w:val="21"/>
                <w:lang w:eastAsia="zh-CN"/>
              </w:rPr>
              <w:t>抓耕地质量等别评定。完成土地开发、土地复垦、土地综合整治、城乡建设用地增减挂钩、旱改水等项目新增耕地质量等别评定工作。完成云溪区2019年第一批次生态修复项目，建设规模1.86公顷，新增耕地1.74公顷的耕地质量等别评定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515" w:hRule="atLeast"/>
          <w:jc w:val="center"/>
        </w:trPr>
        <w:tc>
          <w:tcPr>
            <w:tcW w:w="165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pacing w:val="-6"/>
                <w:sz w:val="24"/>
                <w:szCs w:val="24"/>
              </w:rPr>
            </w:pPr>
            <w:r>
              <w:rPr>
                <w:rFonts w:hint="eastAsia" w:ascii="仿宋_GB2312" w:hAnsi="仿宋_GB2312" w:eastAsia="仿宋_GB2312" w:cs="仿宋_GB2312"/>
                <w:color w:val="000000"/>
                <w:spacing w:val="-6"/>
                <w:sz w:val="24"/>
                <w:szCs w:val="24"/>
              </w:rPr>
              <w:t>总体运行情况及取得的成绩</w:t>
            </w:r>
          </w:p>
        </w:tc>
        <w:tc>
          <w:tcPr>
            <w:tcW w:w="7740" w:type="dxa"/>
            <w:gridSpan w:val="18"/>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left"/>
              <w:textAlignment w:val="center"/>
              <w:rPr>
                <w:rFonts w:hint="eastAsia" w:ascii="仿宋_GB2312" w:hAnsi="仿宋_GB2312" w:eastAsia="仿宋_GB2312" w:cs="仿宋_GB2312"/>
                <w:color w:val="000000"/>
                <w:sz w:val="24"/>
                <w:szCs w:val="24"/>
                <w:lang w:val="en-US" w:eastAsia="zh-CN"/>
              </w:rPr>
            </w:pPr>
          </w:p>
          <w:p>
            <w:pPr>
              <w:autoSpaceDN w:val="0"/>
              <w:spacing w:line="320" w:lineRule="exact"/>
              <w:ind w:firstLine="420" w:firstLineChars="200"/>
              <w:jc w:val="lef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1.</w:t>
            </w:r>
            <w:r>
              <w:rPr>
                <w:rFonts w:hint="eastAsia" w:ascii="仿宋_GB2312" w:hAnsi="仿宋_GB2312" w:eastAsia="仿宋_GB2312" w:cs="仿宋_GB2312"/>
                <w:color w:val="000000"/>
                <w:sz w:val="21"/>
                <w:szCs w:val="21"/>
                <w:lang w:eastAsia="zh-CN"/>
              </w:rPr>
              <w:t>完成华容县章华镇、平江县长寿镇、岳阳县黄沙街镇等3个部级全域土地综合整治试点项目申报工作。平江县长寿镇已列入部级试点项目，正在实施，华容县章华镇、岳阳县黄沙街镇列为部级储备库项目。</w:t>
            </w:r>
          </w:p>
          <w:p>
            <w:pPr>
              <w:autoSpaceDN w:val="0"/>
              <w:spacing w:line="320" w:lineRule="exact"/>
              <w:jc w:val="left"/>
              <w:textAlignment w:val="center"/>
              <w:rPr>
                <w:rFonts w:hint="eastAsia"/>
              </w:rPr>
            </w:pPr>
            <w:r>
              <w:rPr>
                <w:rFonts w:hint="eastAsia" w:ascii="仿宋_GB2312" w:hAnsi="仿宋_GB2312" w:eastAsia="仿宋_GB2312" w:cs="仿宋_GB2312"/>
                <w:color w:val="000000"/>
                <w:sz w:val="21"/>
                <w:szCs w:val="21"/>
                <w:lang w:val="en-US" w:eastAsia="zh-CN"/>
              </w:rPr>
              <w:t>2.</w:t>
            </w:r>
            <w:r>
              <w:rPr>
                <w:rFonts w:hint="eastAsia" w:ascii="仿宋_GB2312" w:hAnsi="仿宋_GB2312" w:eastAsia="仿宋_GB2312" w:cs="仿宋_GB2312"/>
                <w:color w:val="000000"/>
                <w:sz w:val="21"/>
                <w:szCs w:val="21"/>
                <w:lang w:eastAsia="zh-CN"/>
              </w:rPr>
              <w:t>配合生态修复科完成汨罗市罗江镇汨东村国土空间综合整治省级试点项目验收和新增耕地指标确认。</w:t>
            </w:r>
          </w:p>
          <w:p>
            <w:pPr>
              <w:autoSpaceDN w:val="0"/>
              <w:spacing w:line="320" w:lineRule="exact"/>
              <w:jc w:val="left"/>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收入合计</w:t>
            </w:r>
          </w:p>
        </w:tc>
        <w:tc>
          <w:tcPr>
            <w:tcW w:w="7740" w:type="dxa"/>
            <w:gridSpan w:val="18"/>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654" w:type="dxa"/>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548"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上年结转</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公共财</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政拨款</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政府基金拨款</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纳入专户管理的非税收入</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拨款</w:t>
            </w:r>
          </w:p>
        </w:tc>
        <w:tc>
          <w:tcPr>
            <w:tcW w:w="154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4" w:hRule="atLeast"/>
          <w:jc w:val="center"/>
        </w:trPr>
        <w:tc>
          <w:tcPr>
            <w:tcW w:w="1654" w:type="dxa"/>
            <w:tcBorders>
              <w:top w:val="single" w:color="000000" w:sz="4" w:space="0"/>
              <w:left w:val="single" w:color="000000" w:sz="4" w:space="0"/>
              <w:bottom w:val="single" w:color="000000" w:sz="4" w:space="0"/>
              <w:right w:val="single" w:color="auto"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0"/>
                <w:szCs w:val="20"/>
                <w:highlight w:val="no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200.33</w:t>
            </w:r>
          </w:p>
        </w:tc>
        <w:tc>
          <w:tcPr>
            <w:tcW w:w="1548"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0"/>
                <w:szCs w:val="20"/>
                <w:highlight w:val="no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63.05</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0"/>
                <w:szCs w:val="20"/>
                <w:highlight w:val="none"/>
                <w:lang w:val="en-US" w:eastAsia="zh-CN" w:bidi="ar-SA"/>
              </w:rPr>
            </w:pPr>
            <w:r>
              <w:rPr>
                <w:rFonts w:hint="default" w:ascii="Times New Roman" w:hAnsi="Times New Roman" w:eastAsia="宋体" w:cs="Times New Roman"/>
                <w:i w:val="0"/>
                <w:iCs w:val="0"/>
                <w:color w:val="000000"/>
                <w:kern w:val="0"/>
                <w:sz w:val="20"/>
                <w:szCs w:val="20"/>
                <w:u w:val="none"/>
                <w:lang w:val="en-US" w:eastAsia="zh-CN" w:bidi="ar"/>
              </w:rPr>
              <w:t>137.28</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jc w:val="center"/>
              <w:rPr>
                <w:rFonts w:hint="default" w:ascii="Times New Roman" w:hAnsi="Times New Roman" w:eastAsia="仿宋_GB2312" w:cs="Times New Roman"/>
                <w:color w:val="000000"/>
                <w:kern w:val="2"/>
                <w:sz w:val="20"/>
                <w:szCs w:val="20"/>
                <w:highlight w:val="none"/>
                <w:lang w:val="en-US" w:eastAsia="zh-CN" w:bidi="ar-SA"/>
              </w:rPr>
            </w:pPr>
            <w:r>
              <w:rPr>
                <w:rFonts w:hint="default" w:ascii="Times New Roman" w:hAnsi="Times New Roman" w:eastAsia="仿宋_GB2312" w:cs="Times New Roman"/>
                <w:color w:val="000000"/>
                <w:kern w:val="2"/>
                <w:sz w:val="20"/>
                <w:szCs w:val="20"/>
                <w:highlight w:val="none"/>
                <w:lang w:val="en-US" w:eastAsia="zh-CN" w:bidi="ar-SA"/>
              </w:rPr>
              <w:t>0</w:t>
            </w:r>
          </w:p>
        </w:tc>
        <w:tc>
          <w:tcPr>
            <w:tcW w:w="1548"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0</w:t>
            </w:r>
          </w:p>
        </w:tc>
        <w:tc>
          <w:tcPr>
            <w:tcW w:w="154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394" w:type="dxa"/>
            <w:gridSpan w:val="19"/>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b/>
                <w:color w:val="000000"/>
                <w:sz w:val="24"/>
                <w:szCs w:val="24"/>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66"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支出合计</w:t>
            </w:r>
          </w:p>
        </w:tc>
        <w:tc>
          <w:tcPr>
            <w:tcW w:w="1419" w:type="dxa"/>
            <w:gridSpan w:val="2"/>
            <w:vMerge w:val="restart"/>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基本支出</w:t>
            </w:r>
          </w:p>
        </w:tc>
        <w:tc>
          <w:tcPr>
            <w:tcW w:w="2811" w:type="dxa"/>
            <w:gridSpan w:val="8"/>
            <w:tcBorders>
              <w:top w:val="single" w:color="000000" w:sz="4" w:space="0"/>
              <w:left w:val="single" w:color="auto" w:sz="4" w:space="0"/>
              <w:bottom w:val="single" w:color="auto"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1413" w:type="dxa"/>
            <w:gridSpan w:val="3"/>
            <w:vMerge w:val="restart"/>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项目支出</w:t>
            </w:r>
          </w:p>
        </w:tc>
        <w:tc>
          <w:tcPr>
            <w:tcW w:w="2051" w:type="dxa"/>
            <w:gridSpan w:val="4"/>
            <w:tcBorders>
              <w:top w:val="single" w:color="000000" w:sz="4" w:space="0"/>
              <w:left w:val="single" w:color="auto" w:sz="4" w:space="0"/>
              <w:bottom w:val="single" w:color="auto"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19" w:type="dxa"/>
            <w:gridSpan w:val="2"/>
            <w:vMerge w:val="continue"/>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401" w:type="dxa"/>
            <w:gridSpan w:val="4"/>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人员支出</w:t>
            </w:r>
          </w:p>
        </w:tc>
        <w:tc>
          <w:tcPr>
            <w:tcW w:w="1410" w:type="dxa"/>
            <w:gridSpan w:val="4"/>
            <w:tcBorders>
              <w:top w:val="single" w:color="auto"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公用支出</w:t>
            </w:r>
          </w:p>
        </w:tc>
        <w:tc>
          <w:tcPr>
            <w:tcW w:w="1413" w:type="dxa"/>
            <w:gridSpan w:val="3"/>
            <w:vMerge w:val="continue"/>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061" w:type="dxa"/>
            <w:gridSpan w:val="3"/>
            <w:tcBorders>
              <w:top w:val="single" w:color="auto"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当年结余</w:t>
            </w:r>
          </w:p>
        </w:tc>
        <w:tc>
          <w:tcPr>
            <w:tcW w:w="990" w:type="dxa"/>
            <w:tcBorders>
              <w:top w:val="single" w:color="auto"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24"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199.98</w:t>
            </w:r>
          </w:p>
        </w:tc>
        <w:tc>
          <w:tcPr>
            <w:tcW w:w="1410" w:type="dxa"/>
            <w:tcBorders>
              <w:top w:val="single" w:color="000000" w:sz="4" w:space="0"/>
              <w:left w:val="single" w:color="auto"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194.89</w:t>
            </w:r>
          </w:p>
        </w:tc>
        <w:tc>
          <w:tcPr>
            <w:tcW w:w="1410"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1"/>
                <w:szCs w:val="21"/>
                <w:highlight w:val="none"/>
                <w:lang w:val="en-US" w:eastAsia="zh-CN" w:bidi="ar-SA"/>
              </w:rPr>
            </w:pPr>
            <w:r>
              <w:rPr>
                <w:rFonts w:hint="eastAsia" w:cs="Times New Roman"/>
                <w:i w:val="0"/>
                <w:iCs w:val="0"/>
                <w:color w:val="000000"/>
                <w:kern w:val="0"/>
                <w:sz w:val="21"/>
                <w:szCs w:val="21"/>
                <w:u w:val="none"/>
                <w:lang w:val="en-US" w:eastAsia="zh-CN" w:bidi="ar"/>
              </w:rPr>
              <w:t>156</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cs="Times New Roman"/>
                <w:i w:val="0"/>
                <w:iCs w:val="0"/>
                <w:color w:val="000000"/>
                <w:kern w:val="0"/>
                <w:sz w:val="21"/>
                <w:szCs w:val="21"/>
                <w:u w:val="none"/>
                <w:lang w:val="en-US" w:eastAsia="zh-CN" w:bidi="ar"/>
              </w:rPr>
              <w:t>81</w:t>
            </w:r>
          </w:p>
        </w:tc>
        <w:tc>
          <w:tcPr>
            <w:tcW w:w="1410" w:type="dxa"/>
            <w:gridSpan w:val="4"/>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38.08</w:t>
            </w:r>
          </w:p>
        </w:tc>
        <w:tc>
          <w:tcPr>
            <w:tcW w:w="1413" w:type="dxa"/>
            <w:gridSpan w:val="3"/>
            <w:tcBorders>
              <w:top w:val="single" w:color="000000" w:sz="4" w:space="0"/>
              <w:left w:val="single" w:color="000000" w:sz="4" w:space="0"/>
              <w:bottom w:val="single" w:color="000000" w:sz="4" w:space="0"/>
              <w:right w:val="single" w:color="auto" w:sz="4" w:space="0"/>
              <w:tl2br w:val="nil"/>
              <w:tr2bl w:val="nil"/>
            </w:tcBorders>
            <w:noWrap w:val="0"/>
            <w:vAlign w:val="center"/>
          </w:tcPr>
          <w:p>
            <w:pPr>
              <w:keepNext w:val="0"/>
              <w:keepLines w:val="0"/>
              <w:widowControl/>
              <w:suppressLineNumbers w:val="0"/>
              <w:jc w:val="center"/>
              <w:textAlignment w:val="center"/>
              <w:rPr>
                <w:rFonts w:hint="eastAsia"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5.09</w:t>
            </w:r>
          </w:p>
        </w:tc>
        <w:tc>
          <w:tcPr>
            <w:tcW w:w="1061" w:type="dxa"/>
            <w:gridSpan w:val="3"/>
            <w:tcBorders>
              <w:top w:val="single" w:color="000000" w:sz="4" w:space="0"/>
              <w:left w:val="single" w:color="auto" w:sz="4" w:space="0"/>
              <w:bottom w:val="single" w:color="000000" w:sz="4" w:space="0"/>
              <w:right w:val="single" w:color="auto"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-62.7</w:t>
            </w:r>
          </w:p>
        </w:tc>
        <w:tc>
          <w:tcPr>
            <w:tcW w:w="990" w:type="dxa"/>
            <w:tcBorders>
              <w:top w:val="single" w:color="000000" w:sz="4" w:space="0"/>
              <w:left w:val="single" w:color="auto"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000000"/>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0.35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三公经费合计</w:t>
            </w:r>
          </w:p>
        </w:tc>
        <w:tc>
          <w:tcPr>
            <w:tcW w:w="7694" w:type="dxa"/>
            <w:gridSpan w:val="17"/>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1923"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公务接待费</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公务用车运维费</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公务用车购置费</w:t>
            </w:r>
          </w:p>
        </w:tc>
        <w:tc>
          <w:tcPr>
            <w:tcW w:w="1925"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24"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kern w:val="2"/>
                <w:sz w:val="21"/>
                <w:szCs w:val="21"/>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1.68</w:t>
            </w:r>
          </w:p>
        </w:tc>
        <w:tc>
          <w:tcPr>
            <w:tcW w:w="1923" w:type="dxa"/>
            <w:gridSpan w:val="4"/>
            <w:tcBorders>
              <w:top w:val="single" w:color="000000" w:sz="4" w:space="0"/>
              <w:left w:val="single" w:color="auto"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eastAsia" w:ascii="Times New Roman" w:hAnsi="Times New Roman" w:eastAsia="仿宋_GB2312" w:cs="Times New Roman"/>
                <w:color w:val="auto"/>
                <w:kern w:val="2"/>
                <w:sz w:val="21"/>
                <w:szCs w:val="21"/>
                <w:highlight w:val="none"/>
                <w:lang w:val="en-US" w:eastAsia="zh-CN" w:bidi="ar-SA"/>
              </w:rPr>
            </w:pPr>
            <w:r>
              <w:rPr>
                <w:rFonts w:hint="eastAsia" w:ascii="宋体" w:hAnsi="宋体" w:eastAsia="宋体" w:cs="宋体"/>
                <w:i w:val="0"/>
                <w:iCs w:val="0"/>
                <w:color w:val="000000"/>
                <w:kern w:val="0"/>
                <w:sz w:val="22"/>
                <w:szCs w:val="22"/>
                <w:u w:val="none"/>
                <w:lang w:val="en-US" w:eastAsia="zh-CN" w:bidi="ar"/>
              </w:rPr>
              <w:t>0.52</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color w:val="auto"/>
                <w:kern w:val="2"/>
                <w:sz w:val="21"/>
                <w:szCs w:val="21"/>
                <w:highlight w:val="none"/>
                <w:lang w:val="en-US" w:eastAsia="zh-CN" w:bidi="ar-SA"/>
              </w:rPr>
            </w:pPr>
            <w:r>
              <w:rPr>
                <w:rFonts w:hint="eastAsia" w:ascii="宋体" w:hAnsi="宋体" w:eastAsia="宋体" w:cs="宋体"/>
                <w:i w:val="0"/>
                <w:iCs w:val="0"/>
                <w:color w:val="000000"/>
                <w:kern w:val="0"/>
                <w:sz w:val="22"/>
                <w:szCs w:val="22"/>
                <w:u w:val="none"/>
                <w:lang w:val="en-US" w:eastAsia="zh-CN" w:bidi="ar"/>
              </w:rPr>
              <w:t>1.16</w:t>
            </w:r>
          </w:p>
        </w:tc>
        <w:tc>
          <w:tcPr>
            <w:tcW w:w="1923"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2"/>
                <w:sz w:val="21"/>
                <w:szCs w:val="21"/>
                <w:highlight w:val="none"/>
                <w:lang w:val="en-US" w:eastAsia="zh-CN" w:bidi="ar-SA"/>
              </w:rPr>
            </w:pPr>
            <w:r>
              <w:rPr>
                <w:rFonts w:hint="default" w:ascii="仿宋_GB2312" w:hAnsi="宋体" w:eastAsia="仿宋_GB2312" w:cs="仿宋_GB2312"/>
                <w:i w:val="0"/>
                <w:iCs w:val="0"/>
                <w:color w:val="000000"/>
                <w:kern w:val="0"/>
                <w:sz w:val="24"/>
                <w:szCs w:val="24"/>
                <w:u w:val="none"/>
                <w:lang w:val="en-US" w:eastAsia="zh-CN" w:bidi="ar"/>
              </w:rPr>
              <w:t>0</w:t>
            </w:r>
          </w:p>
        </w:tc>
        <w:tc>
          <w:tcPr>
            <w:tcW w:w="1925"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rPr>
            </w:pPr>
            <w:r>
              <w:rPr>
                <w:rFonts w:hint="default" w:ascii="仿宋_GB2312" w:hAnsi="仿宋_GB2312" w:eastAsia="仿宋_GB2312" w:cs="仿宋_GB2312"/>
                <w:color w:val="000000"/>
                <w:sz w:val="24"/>
                <w:szCs w:val="24"/>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34" w:hRule="atLeast"/>
          <w:jc w:val="center"/>
        </w:trPr>
        <w:tc>
          <w:tcPr>
            <w:tcW w:w="1700" w:type="dxa"/>
            <w:gridSpan w:val="2"/>
            <w:vMerge w:val="restart"/>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固定资产合计</w:t>
            </w:r>
          </w:p>
        </w:tc>
        <w:tc>
          <w:tcPr>
            <w:tcW w:w="5331" w:type="dxa"/>
            <w:gridSpan w:val="12"/>
            <w:tcBorders>
              <w:top w:val="single" w:color="000000" w:sz="4" w:space="0"/>
              <w:left w:val="single" w:color="auto"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其中：</w:t>
            </w:r>
          </w:p>
        </w:tc>
        <w:tc>
          <w:tcPr>
            <w:tcW w:w="2363" w:type="dxa"/>
            <w:gridSpan w:val="5"/>
            <w:vMerge w:val="restart"/>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c>
          <w:tcPr>
            <w:tcW w:w="2665"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在用固定资产</w:t>
            </w:r>
          </w:p>
        </w:tc>
        <w:tc>
          <w:tcPr>
            <w:tcW w:w="2666" w:type="dxa"/>
            <w:gridSpan w:val="7"/>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出租固定资产</w:t>
            </w:r>
          </w:p>
        </w:tc>
        <w:tc>
          <w:tcPr>
            <w:tcW w:w="2363" w:type="dxa"/>
            <w:gridSpan w:val="5"/>
            <w:vMerge w:val="continue"/>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eastAsia"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49" w:hRule="atLeast"/>
          <w:jc w:val="center"/>
        </w:trPr>
        <w:tc>
          <w:tcPr>
            <w:tcW w:w="1700" w:type="dxa"/>
            <w:gridSpan w:val="2"/>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61.3</w:t>
            </w:r>
          </w:p>
        </w:tc>
        <w:tc>
          <w:tcPr>
            <w:tcW w:w="2665"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61.3</w:t>
            </w:r>
          </w:p>
        </w:tc>
        <w:tc>
          <w:tcPr>
            <w:tcW w:w="2666" w:type="dxa"/>
            <w:gridSpan w:val="7"/>
            <w:tcBorders>
              <w:top w:val="single" w:color="000000" w:sz="4" w:space="0"/>
              <w:left w:val="single" w:color="000000" w:sz="4" w:space="0"/>
              <w:bottom w:val="single" w:color="000000" w:sz="4" w:space="0"/>
              <w:right w:val="single" w:color="auto"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0</w:t>
            </w:r>
          </w:p>
        </w:tc>
        <w:tc>
          <w:tcPr>
            <w:tcW w:w="2363" w:type="dxa"/>
            <w:gridSpan w:val="5"/>
            <w:tcBorders>
              <w:top w:val="single" w:color="000000" w:sz="4" w:space="0"/>
              <w:left w:val="single" w:color="auto" w:sz="4" w:space="0"/>
              <w:bottom w:val="single" w:color="000000" w:sz="4" w:space="0"/>
              <w:right w:val="single" w:color="000000" w:sz="4" w:space="0"/>
              <w:tl2br w:val="nil"/>
              <w:tr2bl w:val="nil"/>
            </w:tcBorders>
            <w:noWrap w:val="0"/>
            <w:vAlign w:val="center"/>
          </w:tcPr>
          <w:p>
            <w:pPr>
              <w:autoSpaceDN w:val="0"/>
              <w:spacing w:line="320" w:lineRule="exact"/>
              <w:jc w:val="center"/>
              <w:textAlignment w:val="center"/>
              <w:rPr>
                <w:rFonts w:hint="default" w:ascii="仿宋_GB2312" w:hAnsi="仿宋_GB2312" w:eastAsia="仿宋_GB2312" w:cs="仿宋_GB2312"/>
                <w:color w:val="000000"/>
                <w:sz w:val="24"/>
                <w:szCs w:val="24"/>
                <w:lang w:val="en-US" w:eastAsia="zh-CN"/>
              </w:rPr>
            </w:pPr>
            <w:r>
              <w:rPr>
                <w:rFonts w:hint="default" w:ascii="仿宋_GB2312" w:hAnsi="仿宋_GB2312" w:eastAsia="仿宋_GB2312" w:cs="仿宋_GB2312"/>
                <w:color w:val="000000"/>
                <w:sz w:val="24"/>
                <w:szCs w:val="24"/>
                <w:lang w:val="en-US" w:eastAsia="zh-CN"/>
              </w:rPr>
              <w:t>0</w:t>
            </w:r>
          </w:p>
        </w:tc>
      </w:tr>
    </w:tbl>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B20C31"/>
    <w:multiLevelType w:val="singleLevel"/>
    <w:tmpl w:val="8DB20C31"/>
    <w:lvl w:ilvl="0" w:tentative="0">
      <w:start w:val="6"/>
      <w:numFmt w:val="chineseCounting"/>
      <w:suff w:val="nothing"/>
      <w:lvlText w:val="%1、"/>
      <w:lvlJc w:val="left"/>
      <w:rPr>
        <w:rFonts w:hint="eastAsia"/>
      </w:rPr>
    </w:lvl>
  </w:abstractNum>
  <w:abstractNum w:abstractNumId="1">
    <w:nsid w:val="B16A298D"/>
    <w:multiLevelType w:val="singleLevel"/>
    <w:tmpl w:val="B16A298D"/>
    <w:lvl w:ilvl="0" w:tentative="0">
      <w:start w:val="9"/>
      <w:numFmt w:val="chineseCounting"/>
      <w:suff w:val="nothing"/>
      <w:lvlText w:val="%1、"/>
      <w:lvlJc w:val="left"/>
      <w:rPr>
        <w:rFonts w:hint="eastAsia"/>
      </w:rPr>
    </w:lvl>
  </w:abstractNum>
  <w:abstractNum w:abstractNumId="2">
    <w:nsid w:val="318AEEC8"/>
    <w:multiLevelType w:val="singleLevel"/>
    <w:tmpl w:val="318AEEC8"/>
    <w:lvl w:ilvl="0" w:tentative="0">
      <w:start w:val="2"/>
      <w:numFmt w:val="chineseCounting"/>
      <w:suff w:val="nothing"/>
      <w:lvlText w:val="（%1）"/>
      <w:lvlJc w:val="left"/>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E680C7E"/>
    <w:multiLevelType w:val="singleLevel"/>
    <w:tmpl w:val="5E680C7E"/>
    <w:lvl w:ilvl="0" w:tentative="0">
      <w:start w:val="13"/>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ZDUxZWU3MmZjYjMzYmY2NzljN2E1MTdiZDhiMWI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21561EE"/>
    <w:rsid w:val="041910FB"/>
    <w:rsid w:val="05633A58"/>
    <w:rsid w:val="06B411F0"/>
    <w:rsid w:val="087403E0"/>
    <w:rsid w:val="0AFF3F54"/>
    <w:rsid w:val="0BE56081"/>
    <w:rsid w:val="0ED73425"/>
    <w:rsid w:val="12302C25"/>
    <w:rsid w:val="13692E29"/>
    <w:rsid w:val="13BE003E"/>
    <w:rsid w:val="159B5204"/>
    <w:rsid w:val="1741390F"/>
    <w:rsid w:val="176F5571"/>
    <w:rsid w:val="17A87124"/>
    <w:rsid w:val="1841418E"/>
    <w:rsid w:val="1E06516E"/>
    <w:rsid w:val="25FB65EC"/>
    <w:rsid w:val="27DB542D"/>
    <w:rsid w:val="2B362996"/>
    <w:rsid w:val="366364DD"/>
    <w:rsid w:val="370B6762"/>
    <w:rsid w:val="39356718"/>
    <w:rsid w:val="434223B6"/>
    <w:rsid w:val="45F9639D"/>
    <w:rsid w:val="48ED43E7"/>
    <w:rsid w:val="5148016F"/>
    <w:rsid w:val="5651278D"/>
    <w:rsid w:val="57241220"/>
    <w:rsid w:val="5757582C"/>
    <w:rsid w:val="60A907EA"/>
    <w:rsid w:val="6145544E"/>
    <w:rsid w:val="61A769E7"/>
    <w:rsid w:val="66620D39"/>
    <w:rsid w:val="67114E6F"/>
    <w:rsid w:val="680C6E3B"/>
    <w:rsid w:val="68E365CD"/>
    <w:rsid w:val="6B867263"/>
    <w:rsid w:val="6EAA7A5B"/>
    <w:rsid w:val="711623CE"/>
    <w:rsid w:val="713E75CC"/>
    <w:rsid w:val="766B5AEF"/>
    <w:rsid w:val="7EE53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toc 5"/>
    <w:basedOn w:val="1"/>
    <w:next w:val="1"/>
    <w:qFormat/>
    <w:uiPriority w:val="0"/>
    <w:pPr>
      <w:ind w:left="1680" w:leftChars="800"/>
    </w:pPr>
  </w:style>
  <w:style w:type="paragraph" w:styleId="4">
    <w:name w:val="Normal Indent"/>
    <w:basedOn w:val="1"/>
    <w:unhideWhenUsed/>
    <w:qFormat/>
    <w:uiPriority w:val="0"/>
    <w:pPr>
      <w:ind w:firstLine="420" w:firstLineChars="200"/>
    </w:pPr>
    <w:rPr>
      <w:rFonts w:hint="default"/>
      <w:sz w:val="21"/>
      <w:szCs w:val="24"/>
    </w:rPr>
  </w:style>
  <w:style w:type="paragraph" w:styleId="5">
    <w:name w:val="toa heading"/>
    <w:basedOn w:val="1"/>
    <w:next w:val="1"/>
    <w:unhideWhenUsed/>
    <w:qFormat/>
    <w:uiPriority w:val="99"/>
    <w:pPr>
      <w:spacing w:before="120" w:after="200" w:line="276" w:lineRule="auto"/>
    </w:pPr>
    <w:rPr>
      <w:rFonts w:hint="eastAsia" w:ascii="Arial" w:hAnsi="Arial"/>
      <w:sz w:val="24"/>
      <w:szCs w:val="24"/>
    </w:rPr>
  </w:style>
  <w:style w:type="paragraph" w:styleId="6">
    <w:name w:val="Balloon Text"/>
    <w:basedOn w:val="1"/>
    <w:link w:val="15"/>
    <w:semiHidden/>
    <w:unhideWhenUsed/>
    <w:qFormat/>
    <w:uiPriority w:val="99"/>
    <w:rPr>
      <w:sz w:val="18"/>
      <w:szCs w:val="18"/>
    </w:rPr>
  </w:style>
  <w:style w:type="paragraph" w:styleId="7">
    <w:name w:val="footer"/>
    <w:basedOn w:val="1"/>
    <w:link w:val="12"/>
    <w:unhideWhenUsed/>
    <w:qFormat/>
    <w:uiPriority w:val="99"/>
    <w:pPr>
      <w:tabs>
        <w:tab w:val="center" w:pos="4153"/>
        <w:tab w:val="right" w:pos="8306"/>
      </w:tabs>
      <w:snapToGrid w:val="0"/>
      <w:jc w:val="left"/>
    </w:pPr>
    <w:rPr>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qFormat/>
    <w:uiPriority w:val="99"/>
    <w:rPr>
      <w:sz w:val="18"/>
      <w:szCs w:val="18"/>
    </w:rPr>
  </w:style>
  <w:style w:type="character" w:customStyle="1" w:styleId="12">
    <w:name w:val="页脚 Char"/>
    <w:basedOn w:val="10"/>
    <w:link w:val="7"/>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10"/>
    <w:link w:val="6"/>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22</Pages>
  <Words>8347</Words>
  <Characters>8858</Characters>
  <Lines>69</Lines>
  <Paragraphs>19</Paragraphs>
  <TotalTime>0</TotalTime>
  <ScaleCrop>false</ScaleCrop>
  <LinksUpToDate>false</LinksUpToDate>
  <CharactersWithSpaces>8908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2020-07-02T02:32:00Z</dcterms:created>
  <dc:creator>李航 null</dc:creator>
  <cp:lastModifiedBy>administered</cp:lastModifiedBy>
  <cp:lastPrinted>2022-07-27T12:55:00Z</cp:lastPrinted>
  <dcterms:modified xsi:type="dcterms:W3CDTF">2023-09-22T09:12:32Z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30E0EB5F70C64541B0A29FA3D99BB851</vt:lpwstr>
  </property>
</Properties>
</file>