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ascii="方正小标宋简体" w:hAnsi="方正小标宋简体"/>
          <w:bCs/>
          <w:sz w:val="42"/>
          <w:szCs w:val="42"/>
        </w:rPr>
      </w:pPr>
      <w:r>
        <w:rPr>
          <w:rFonts w:ascii="方正小标宋简体" w:hAnsi="方正小标宋简体"/>
          <w:bCs/>
          <w:sz w:val="42"/>
          <w:szCs w:val="42"/>
        </w:rPr>
        <w:t xml:space="preserve"> </w:t>
      </w:r>
    </w:p>
    <w:p>
      <w:pPr>
        <w:spacing w:line="800" w:lineRule="exact"/>
        <w:jc w:val="center"/>
        <w:rPr>
          <w:rFonts w:ascii="方正小标宋简体" w:hAnsi="方正小标宋简体"/>
          <w:bCs/>
          <w:sz w:val="46"/>
          <w:szCs w:val="46"/>
        </w:rPr>
      </w:pPr>
      <w:r>
        <w:rPr>
          <w:rFonts w:ascii="方正小标宋简体" w:hAnsi="方正小标宋简体"/>
          <w:bCs/>
          <w:sz w:val="46"/>
          <w:szCs w:val="46"/>
        </w:rPr>
        <w:t>岳阳市</w:t>
      </w:r>
      <w:r>
        <w:rPr>
          <w:bCs/>
          <w:sz w:val="46"/>
          <w:szCs w:val="46"/>
        </w:rPr>
        <w:t>20</w:t>
      </w:r>
      <w:r>
        <w:rPr>
          <w:bCs/>
          <w:sz w:val="46"/>
          <w:szCs w:val="46"/>
          <w:u w:val="single"/>
        </w:rPr>
        <w:t>21</w:t>
      </w:r>
      <w:r>
        <w:rPr>
          <w:rFonts w:ascii="方正小标宋简体" w:hAnsi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ascii="方正小标宋简体" w:hAnsi="方正小标宋简体"/>
          <w:bCs/>
          <w:sz w:val="46"/>
          <w:szCs w:val="46"/>
        </w:rPr>
      </w:pPr>
      <w:r>
        <w:rPr>
          <w:rFonts w:ascii="方正小标宋简体" w:hAnsi="方正小标宋简体"/>
          <w:bCs/>
          <w:sz w:val="46"/>
          <w:szCs w:val="46"/>
        </w:rPr>
        <w:t>绩效评价自评报告</w:t>
      </w:r>
    </w:p>
    <w:p>
      <w:pPr>
        <w:rPr>
          <w:rFonts w:ascii="仿宋_GB2312" w:hAns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 xml:space="preserve"> </w:t>
      </w:r>
    </w:p>
    <w:p>
      <w:pPr>
        <w:rPr>
          <w:rFonts w:ascii="仿宋_GB2312" w:hAns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 xml:space="preserve"> </w:t>
      </w:r>
    </w:p>
    <w:p>
      <w:pPr>
        <w:rPr>
          <w:rFonts w:ascii="仿宋_GB2312" w:hAns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 xml:space="preserve"> </w:t>
      </w:r>
    </w:p>
    <w:p>
      <w:pPr>
        <w:spacing w:beforeLines="50" w:line="348" w:lineRule="auto"/>
        <w:ind w:firstLine="480" w:firstLineChars="150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部门</w:t>
      </w:r>
      <w:r>
        <w:rPr>
          <w:sz w:val="32"/>
          <w:szCs w:val="32"/>
        </w:rPr>
        <w:t>(</w:t>
      </w:r>
      <w:r>
        <w:rPr>
          <w:rFonts w:ascii="仿宋_GB2312" w:hAnsi="仿宋_GB2312"/>
          <w:sz w:val="32"/>
          <w:szCs w:val="32"/>
        </w:rPr>
        <w:t>单位</w:t>
      </w:r>
      <w:r>
        <w:rPr>
          <w:sz w:val="32"/>
          <w:szCs w:val="32"/>
        </w:rPr>
        <w:t>)</w:t>
      </w:r>
      <w:r>
        <w:rPr>
          <w:rFonts w:ascii="仿宋_GB2312" w:hAnsi="仿宋_GB2312"/>
          <w:sz w:val="32"/>
          <w:szCs w:val="32"/>
        </w:rPr>
        <w:t>名称：</w:t>
      </w:r>
      <w:r>
        <w:rPr>
          <w:rFonts w:ascii="仿宋_GB2312" w:hAnsi="仿宋_GB2312"/>
          <w:sz w:val="32"/>
          <w:szCs w:val="32"/>
          <w:u w:val="single"/>
        </w:rPr>
        <w:t xml:space="preserve">      岳阳市</w:t>
      </w:r>
      <w:r>
        <w:rPr>
          <w:rFonts w:hint="eastAsia" w:ascii="仿宋_GB2312" w:hAnsi="仿宋_GB2312"/>
          <w:sz w:val="32"/>
          <w:szCs w:val="32"/>
          <w:u w:val="single"/>
        </w:rPr>
        <w:t>体育馆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</w:t>
      </w:r>
    </w:p>
    <w:p>
      <w:pPr>
        <w:spacing w:beforeLines="50" w:line="348" w:lineRule="auto"/>
        <w:ind w:firstLine="480" w:firstLineChars="150"/>
        <w:rPr>
          <w:rFonts w:ascii="仿宋_GB2312" w:hAnsi="仿宋_GB2312"/>
          <w:spacing w:val="20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预</w:t>
      </w:r>
      <w:r>
        <w:rPr>
          <w:rFonts w:ascii="仿宋_GB2312" w:hAnsi="仿宋_GB2312"/>
          <w:spacing w:val="30"/>
          <w:sz w:val="32"/>
          <w:szCs w:val="32"/>
        </w:rPr>
        <w:t xml:space="preserve"> 算 编 码：</w:t>
      </w:r>
      <w:r>
        <w:rPr>
          <w:rFonts w:ascii="仿宋_GB2312" w:hAnsi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/>
          <w:spacing w:val="20"/>
          <w:sz w:val="32"/>
          <w:szCs w:val="32"/>
          <w:u w:val="single"/>
        </w:rPr>
        <w:t>506037</w:t>
      </w:r>
      <w:r>
        <w:rPr>
          <w:spacing w:val="20"/>
          <w:sz w:val="32"/>
          <w:szCs w:val="32"/>
          <w:u w:val="single"/>
        </w:rPr>
        <w:t xml:space="preserve">                 </w:t>
      </w:r>
    </w:p>
    <w:p>
      <w:pPr>
        <w:spacing w:beforeLines="50" w:line="348" w:lineRule="auto"/>
        <w:ind w:firstLine="480" w:firstLineChars="15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80" w:firstLineChars="15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208" w:firstLineChars="69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720" w:lineRule="exact"/>
        <w:ind w:firstLine="2208" w:firstLineChars="69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720" w:lineRule="exact"/>
        <w:ind w:firstLine="2208" w:firstLineChars="69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348" w:lineRule="auto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sz w:val="32"/>
          <w:szCs w:val="32"/>
        </w:rPr>
        <w:t>2022</w:t>
      </w:r>
      <w:r>
        <w:rPr>
          <w:rFonts w:ascii="仿宋_GB2312" w:hAnsi="仿宋_GB2312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ascii="仿宋_GB2312" w:hAnsi="仿宋_GB2312"/>
          <w:sz w:val="32"/>
          <w:szCs w:val="32"/>
        </w:rPr>
        <w:t>月</w:t>
      </w:r>
      <w:r>
        <w:rPr>
          <w:sz w:val="32"/>
          <w:szCs w:val="32"/>
        </w:rPr>
        <w:t>15</w:t>
      </w:r>
      <w:r>
        <w:rPr>
          <w:rFonts w:ascii="仿宋_GB2312" w:hAnsi="仿宋_GB2312"/>
          <w:sz w:val="32"/>
          <w:szCs w:val="32"/>
        </w:rPr>
        <w:t>日</w:t>
      </w:r>
    </w:p>
    <w:p>
      <w:pPr>
        <w:jc w:val="center"/>
        <w:textAlignment w:val="center"/>
      </w:pPr>
      <w:r>
        <w:rPr>
          <w:rFonts w:ascii="仿宋_GB2312" w:hAnsi="仿宋_GB2312"/>
          <w:sz w:val="32"/>
          <w:szCs w:val="32"/>
        </w:rPr>
        <w:t>岳阳市财政局（制）</w:t>
      </w:r>
    </w:p>
    <w:p>
      <w:pPr>
        <w:widowControl/>
        <w:jc w:val="left"/>
        <w:rPr>
          <w:rFonts w:hint="eastAsia" w:ascii="仿宋_GB2312" w:hAnsi="仿宋_GB2312" w:cs="宋体"/>
          <w:sz w:val="32"/>
          <w:szCs w:val="32"/>
        </w:rPr>
        <w:sectPr>
          <w:pgSz w:w="11906" w:h="16838"/>
          <w:pgMar w:top="1588" w:right="1588" w:bottom="1588" w:left="1588" w:header="851" w:footer="992" w:gutter="0"/>
          <w:cols w:space="720" w:num="1"/>
          <w:docGrid w:type="lines" w:linePitch="602" w:charSpace="0"/>
        </w:sectPr>
      </w:pPr>
    </w:p>
    <w:tbl>
      <w:tblPr>
        <w:tblStyle w:val="3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227"/>
        <w:gridCol w:w="993"/>
        <w:gridCol w:w="116"/>
        <w:gridCol w:w="1145"/>
        <w:gridCol w:w="272"/>
        <w:gridCol w:w="735"/>
        <w:gridCol w:w="1778"/>
        <w:gridCol w:w="64"/>
        <w:gridCol w:w="132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柳春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rPr>
                <w:rFonts w:ascii="仿宋_GB2312" w:hAnsi="宋体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要职能分四个方面：一是维护和管理场馆设施，落实《全民健身计划纲要》，为群众性体育健身和竞赛活动以及有关大型社会活动提供场地服务；二是负责承办各类体育比赛，开展全民健身体育活动和体育培训；三是负责青少年运动员的选拔和业余训练；四是开展经营创收，搞好体育产业开发，增强自我发展能力。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年度主要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加强党风廉政建设，</w:t>
            </w:r>
            <w:r>
              <w:rPr>
                <w:rFonts w:ascii="仿宋_GB2312" w:hAnsi="仿宋_GB2312"/>
                <w:sz w:val="24"/>
                <w:szCs w:val="24"/>
              </w:rPr>
              <w:t>实践深入开展“两学一做”学习教育活动，充分发挥党员干部的先锋模范作用。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坚持依法依章，</w:t>
            </w:r>
            <w:r>
              <w:rPr>
                <w:rFonts w:ascii="仿宋_GB2312" w:hAnsi="仿宋_GB2312"/>
                <w:sz w:val="24"/>
                <w:szCs w:val="24"/>
              </w:rPr>
              <w:t>明确管理责任，推动</w:t>
            </w:r>
            <w:r>
              <w:rPr>
                <w:rFonts w:hint="eastAsia" w:ascii="仿宋_GB2312" w:hAnsi="仿宋_GB2312"/>
                <w:sz w:val="24"/>
                <w:szCs w:val="24"/>
              </w:rPr>
              <w:t>事</w:t>
            </w:r>
            <w:r>
              <w:rPr>
                <w:rFonts w:ascii="仿宋_GB2312" w:hAnsi="仿宋_GB2312"/>
                <w:sz w:val="24"/>
                <w:szCs w:val="24"/>
              </w:rPr>
              <w:t>务公开，细化办事流程，把各项工作都纳入依法依规治理的轨道。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完善后勤管理制度，</w:t>
            </w:r>
            <w:r>
              <w:rPr>
                <w:rFonts w:ascii="仿宋_GB2312" w:hAnsi="仿宋_GB2312"/>
                <w:sz w:val="24"/>
                <w:szCs w:val="24"/>
              </w:rPr>
              <w:t>对新增财产进行全面登记造册，对低值易耗物品严格执行发放登记手续，建立物品采购审批和台帐制度，定期进行核对，发现毁损，查明原因，及时追赔。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加强职业信仰教育，引领教职员工树立正确的职业观、人生观和价值观</w:t>
            </w:r>
            <w:r>
              <w:rPr>
                <w:rFonts w:ascii="仿宋_GB2312" w:hAnsi="仿宋_GB2312" w:cs="宋体"/>
                <w:bCs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sz w:val="24"/>
                <w:szCs w:val="24"/>
              </w:rPr>
              <w:t>防范防控安全风险，本着“</w:t>
            </w:r>
            <w:r>
              <w:rPr>
                <w:rFonts w:hint="eastAsia" w:ascii="仿宋_GB2312" w:hAnsi="仿宋_GB2312" w:cs="宋体"/>
                <w:bCs/>
                <w:sz w:val="24"/>
                <w:szCs w:val="24"/>
              </w:rPr>
              <w:t>服务</w:t>
            </w:r>
            <w:r>
              <w:rPr>
                <w:rFonts w:ascii="仿宋_GB2312" w:hAnsi="仿宋_GB2312" w:cs="宋体"/>
                <w:bCs/>
                <w:sz w:val="24"/>
                <w:szCs w:val="24"/>
              </w:rPr>
              <w:t>在先，预防在前”的原则，严格按要求深入开展安全教育周”活动。</w:t>
            </w: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_GB2312" w:hAnsi="宋体"/>
                <w:sz w:val="30"/>
                <w:szCs w:val="30"/>
              </w:rPr>
            </w:pPr>
            <w:r>
              <w:rPr>
                <w:rFonts w:ascii="仿宋_GB2312" w:hAnsi="仿宋_GB2312"/>
                <w:sz w:val="24"/>
                <w:szCs w:val="24"/>
              </w:rPr>
              <w:t>积极落实党中央和教体局党组关于基层党建的新要求，创新党员活动形式，围绕“两学一做”学习教育实践活动，在党员中分支部深入开展党员示范课活动，共计推出党员示范课60余堂，有效破解了党建工作两张皮的难题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_GB2312" w:hAnsi="宋体"/>
                <w:sz w:val="30"/>
                <w:szCs w:val="30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完善常规管理制度，加强劳动纪律管理，全年共开展全劳动纪律检查10余次，检查结果实时公布；在范围内深入开展文明之星、文明办公室、文明班级等各类文明评选活动，以评促建。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加强安全知识教育，今年以来，相继开展了开学安全教育周集中教育活动、防溺水教育活动、禁毒教育活动、反恐演练活动、紧急疏散演练活动、以及预防艾滋病、预防肺结核的学习教育活动，取得了显著的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69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88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公共财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岳阳市</w:t>
            </w:r>
            <w:r>
              <w:rPr>
                <w:rFonts w:hint="eastAsia" w:ascii="仿宋_GB2312" w:hAnsi="仿宋_GB2312"/>
                <w:sz w:val="24"/>
                <w:szCs w:val="24"/>
              </w:rPr>
              <w:t>体育馆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310.98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310.98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58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岳阳市</w:t>
            </w:r>
            <w:r>
              <w:rPr>
                <w:rFonts w:hint="eastAsia" w:ascii="仿宋_GB2312" w:hAnsi="仿宋_GB2312"/>
                <w:sz w:val="24"/>
                <w:szCs w:val="24"/>
              </w:rPr>
              <w:t>体育馆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474.77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262.17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231.37</w:t>
            </w:r>
          </w:p>
        </w:tc>
        <w:tc>
          <w:tcPr>
            <w:tcW w:w="2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212.6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三公经费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岳阳市</w:t>
            </w:r>
            <w:r>
              <w:rPr>
                <w:rFonts w:hint="eastAsia" w:ascii="仿宋_GB2312" w:hAnsi="仿宋_GB2312"/>
                <w:sz w:val="24"/>
                <w:szCs w:val="24"/>
              </w:rPr>
              <w:t>体育馆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固定资产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98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3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岳阳市</w:t>
            </w:r>
            <w:r>
              <w:rPr>
                <w:rFonts w:hint="eastAsia" w:ascii="仿宋_GB2312" w:hAnsi="仿宋_GB2312"/>
                <w:sz w:val="24"/>
                <w:szCs w:val="24"/>
              </w:rPr>
              <w:t>体育馆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6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1.加强队伍建设，提高管理质量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2. 加强后勤保障，提高服务质量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.加强党政工团，提高工作质量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按时完成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整体支出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产出目标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指标1： </w:t>
            </w:r>
            <w:r>
              <w:rPr>
                <w:rFonts w:ascii="仿宋_GB2312" w:hAnsi="仿宋_GB2312"/>
                <w:sz w:val="24"/>
                <w:szCs w:val="24"/>
              </w:rPr>
              <w:t>场馆维修维护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</w:rPr>
            </w:pPr>
          </w:p>
          <w:tbl>
            <w:tblPr>
              <w:tblStyle w:val="3"/>
              <w:tblW w:w="103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07"/>
              <w:gridCol w:w="50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仿宋" w:hAnsi="仿宋"/>
                      <w:sz w:val="24"/>
                      <w:szCs w:val="24"/>
                    </w:rPr>
                  </w:pPr>
                  <w:r>
                    <w:rPr>
                      <w:rFonts w:ascii="仿宋_GB2312" w:hAnsi="仿宋_GB2312"/>
                      <w:sz w:val="24"/>
                      <w:szCs w:val="24"/>
                    </w:rPr>
                    <w:t>场馆维修维护</w:t>
                  </w:r>
                </w:p>
                <w:p>
                  <w:pPr>
                    <w:widowControl/>
                    <w:spacing w:line="240" w:lineRule="exact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/>
                      <w:sz w:val="24"/>
                      <w:szCs w:val="24"/>
                    </w:rPr>
                  </w:pPr>
                  <w:r>
                    <w:rPr>
                      <w:rFonts w:ascii="仿宋_GB2312" w:hAnsi="仿宋_GB2312"/>
                      <w:sz w:val="24"/>
                      <w:szCs w:val="24"/>
                    </w:rPr>
                    <w:t>零星维修</w:t>
                  </w:r>
                </w:p>
                <w:p>
                  <w:pPr>
                    <w:widowControl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ascii="仿宋_GB2312" w:hAnsi="仿宋_GB2312"/>
                <w:sz w:val="24"/>
                <w:szCs w:val="24"/>
              </w:rPr>
              <w:t>场馆服务人员劳务支出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按时完成绩效评价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left"/>
              <w:textAlignment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按时完成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资金使用不超过预算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控制在预算内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效益目标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通过财政预算的实施，激发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职工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工作热情。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财政拨款各项资金得到有效利用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资金合理合法安排、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1.保障职员工工资福利开支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2.保障正常工作开展；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改善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办公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条件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各项工作正常有序开展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公众满意度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均达98%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彭军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馆长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市体育馆</w:t>
            </w: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罗峥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副馆长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市体育馆</w:t>
            </w: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柳春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市体育馆</w:t>
            </w: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评价组组长（签字）：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部门（单位）意见：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部门（单位）负责人（签章）：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财政部门归口业务科室负责人（签章）：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/>
          <w:bCs/>
          <w:sz w:val="28"/>
          <w:szCs w:val="28"/>
        </w:rPr>
        <w:t>填报人（签名）：                       联系电话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40" w:firstLineChars="200"/>
              <w:jc w:val="center"/>
              <w:rPr>
                <w:rFonts w:ascii="仿宋_GB2312" w:hAnsi="仿宋_GB2312"/>
                <w:sz w:val="22"/>
                <w:szCs w:val="22"/>
              </w:rPr>
            </w:pPr>
          </w:p>
          <w:p>
            <w:pPr>
              <w:spacing w:line="480" w:lineRule="exact"/>
              <w:ind w:firstLine="440" w:firstLineChars="200"/>
              <w:jc w:val="center"/>
              <w:rPr>
                <w:rFonts w:ascii="仿宋_GB2312" w:hAnsi="仿宋_GB2312"/>
                <w:sz w:val="22"/>
                <w:szCs w:val="22"/>
              </w:rPr>
            </w:pPr>
            <w:r>
              <w:rPr>
                <w:rFonts w:ascii="仿宋_GB2312" w:hAnsi="仿宋_GB2312"/>
                <w:sz w:val="22"/>
                <w:szCs w:val="22"/>
              </w:rPr>
              <w:t>2021年度部门整体支出绩效评价报告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仿宋_GB2312"/>
                <w:sz w:val="22"/>
                <w:szCs w:val="22"/>
              </w:rPr>
            </w:pPr>
          </w:p>
          <w:p>
            <w:pPr>
              <w:spacing w:line="600" w:lineRule="exact"/>
              <w:ind w:firstLine="640" w:firstLineChars="200"/>
              <w:rPr>
                <w:rFonts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一、基本情况</w:t>
            </w:r>
          </w:p>
          <w:p>
            <w:pPr>
              <w:spacing w:line="600" w:lineRule="exact"/>
              <w:ind w:firstLine="640" w:firstLineChars="200"/>
              <w:rPr>
                <w:rFonts w:eastAsia="楷体_GB2312"/>
                <w:sz w:val="32"/>
                <w:szCs w:val="32"/>
              </w:rPr>
            </w:pPr>
            <w:r>
              <w:rPr>
                <w:rFonts w:ascii="楷体_GB2312" w:hAnsi="楷体_GB2312" w:eastAsia="楷体_GB2312"/>
                <w:sz w:val="32"/>
                <w:szCs w:val="32"/>
              </w:rPr>
              <w:t>（一）部门（单位）基本情</w:t>
            </w:r>
            <w:r>
              <w:rPr>
                <w:rFonts w:hint="eastAsia" w:ascii="宋体" w:hAnsi="宋体" w:cs="宋体"/>
                <w:sz w:val="32"/>
                <w:szCs w:val="32"/>
              </w:rPr>
              <w:t>况</w:t>
            </w:r>
          </w:p>
          <w:p>
            <w:pPr>
              <w:widowControl/>
              <w:spacing w:line="600" w:lineRule="exact"/>
              <w:ind w:firstLine="640" w:firstLineChars="200"/>
              <w:rPr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kern w:val="0"/>
                <w:sz w:val="32"/>
                <w:szCs w:val="32"/>
              </w:rPr>
              <w:t>（一）职能职责</w:t>
            </w:r>
          </w:p>
          <w:p>
            <w:pPr>
              <w:widowControl/>
              <w:spacing w:line="600" w:lineRule="exact"/>
              <w:ind w:firstLine="640" w:firstLineChars="20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1</w:t>
            </w:r>
            <w:r>
              <w:rPr>
                <w:rFonts w:ascii="仿宋_GB2312" w:hAnsi="仿宋_GB2312"/>
                <w:kern w:val="0"/>
                <w:sz w:val="32"/>
                <w:szCs w:val="32"/>
              </w:rPr>
              <w:t>、负责拟定全市全民健身工作规措施并组织实施的行政辅助工作</w:t>
            </w:r>
          </w:p>
          <w:p>
            <w:pPr>
              <w:pStyle w:val="2"/>
              <w:ind w:firstLine="640"/>
              <w:rPr>
                <w:kern w:val="0"/>
                <w:sz w:val="32"/>
                <w:szCs w:val="32"/>
              </w:rPr>
            </w:pPr>
            <w:r>
              <w:rPr>
                <w:rFonts w:cs="Arial"/>
                <w:kern w:val="0"/>
                <w:sz w:val="32"/>
                <w:szCs w:val="32"/>
              </w:rPr>
              <w:t>2</w:t>
            </w:r>
            <w:r>
              <w:rPr>
                <w:rFonts w:ascii="仿宋_GB2312" w:hAnsi="仿宋_GB2312"/>
                <w:kern w:val="0"/>
                <w:sz w:val="32"/>
                <w:szCs w:val="32"/>
              </w:rPr>
              <w:t>、负责全民健身政策、法规宣传以及体育健身科普知识普及等工作</w:t>
            </w:r>
          </w:p>
          <w:p>
            <w:pPr>
              <w:ind w:firstLine="640"/>
            </w:pPr>
            <w:r>
              <w:rPr>
                <w:rFonts w:hint="eastAsia"/>
              </w:rPr>
              <w:t>3</w:t>
            </w:r>
            <w:r>
              <w:rPr>
                <w:rFonts w:hint="eastAsia" w:ascii="宋体" w:hAnsi="宋体"/>
              </w:rPr>
              <w:t>、协调、督促、指导全市公共体育场馆设施按要求开展全民健身活动，实施免费或低收费开放。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 w:cs="Arial"/>
              </w:rPr>
              <w:t>4</w:t>
            </w:r>
            <w:r>
              <w:rPr>
                <w:rFonts w:hint="eastAsia" w:ascii="宋体" w:hAnsi="宋体"/>
              </w:rPr>
              <w:t>、负责全市国民体质检测服务工作并建立国民体质检测数据库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5</w:t>
            </w:r>
            <w:r>
              <w:rPr>
                <w:rFonts w:hint="eastAsia" w:ascii="宋体" w:hAnsi="宋体"/>
              </w:rPr>
              <w:t>、负责全市社会体育指导员管理服务工作，并建立人员档案数据库，规范其从业行为。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 w:cs="Arial"/>
              </w:rPr>
              <w:t>6</w:t>
            </w:r>
            <w:r>
              <w:rPr>
                <w:rFonts w:hint="eastAsia" w:ascii="宋体" w:hAnsi="宋体"/>
              </w:rPr>
              <w:t>、负责为体育产业开发提供指导服务；负责市本级体育彩票发行的日常事务性工作。</w:t>
            </w:r>
          </w:p>
          <w:p>
            <w:pPr>
              <w:widowControl/>
              <w:spacing w:line="600" w:lineRule="exact"/>
              <w:ind w:firstLine="640" w:firstLineChars="200"/>
              <w:rPr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kern w:val="0"/>
                <w:sz w:val="32"/>
                <w:szCs w:val="32"/>
              </w:rPr>
              <w:t>（二）机构设置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1、 机构情况，2021年本单位在编人员为22人。共设有三部一室，为业务部、行管部、培训部及办公室。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ascii="黑体" w:hAnsi="黑体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 xml:space="preserve">、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人员情况。2021年本单位年未实有人数22人。</w:t>
            </w:r>
          </w:p>
          <w:p>
            <w:pPr>
              <w:spacing w:line="600" w:lineRule="exact"/>
              <w:ind w:firstLine="640" w:firstLineChars="200"/>
              <w:rPr>
                <w:rFonts w:hint="eastAsia" w:eastAsia="楷体_GB2312"/>
                <w:sz w:val="32"/>
                <w:szCs w:val="32"/>
              </w:rPr>
            </w:pPr>
            <w:r>
              <w:rPr>
                <w:rFonts w:ascii="楷体_GB2312" w:hAnsi="楷体_GB2312" w:eastAsia="楷体_GB2312"/>
                <w:sz w:val="32"/>
                <w:szCs w:val="32"/>
              </w:rPr>
              <w:t>（二）部门（单位）年度整体支出绩效目标，市级专项资金绩效目标、其他项目支出（除市级专项资金以外）绩效目</w:t>
            </w:r>
            <w:r>
              <w:rPr>
                <w:rFonts w:hint="eastAsia" w:ascii="宋体" w:hAnsi="宋体" w:cs="宋体"/>
                <w:sz w:val="32"/>
                <w:szCs w:val="32"/>
              </w:rPr>
              <w:t>标</w:t>
            </w:r>
          </w:p>
          <w:p>
            <w:pPr>
              <w:pStyle w:val="5"/>
              <w:rPr>
                <w:rFonts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 w:hAnsi="黑体"/>
                <w:b/>
                <w:sz w:val="32"/>
                <w:szCs w:val="32"/>
              </w:rPr>
              <w:t>、收入支出决算总体情况说明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2021年度收、支总计516.49万元。与上年相比，减少58.02万元，减少5%，主要是因为支出减少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 w:hAnsi="黑体"/>
                <w:b/>
                <w:sz w:val="32"/>
                <w:szCs w:val="32"/>
              </w:rPr>
              <w:t>、收入决算情况说明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i/>
                <w:iCs/>
                <w:sz w:val="36"/>
                <w:szCs w:val="36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2021年度收入合计310.98万元，其中：财政拨款收入310.98万元，占100%；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四</w:t>
            </w:r>
            <w:r>
              <w:rPr>
                <w:rFonts w:hint="eastAsia" w:hAnsi="黑体"/>
                <w:b/>
                <w:sz w:val="32"/>
                <w:szCs w:val="32"/>
              </w:rPr>
              <w:t>、支出决算情况说明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2021年度支出合计474.77万元，其中：基本支出262.17万元，占55%；项目支出212.6万元，占45%；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 w:hAnsi="黑体"/>
                <w:b/>
                <w:sz w:val="32"/>
                <w:szCs w:val="32"/>
              </w:rPr>
              <w:t>、财政拨款收入支出决算总体情况说明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 xml:space="preserve">    2021年度财政拨款收、支总计516.49万元，与上年相比，减少58.02万元,减少5%，主要是因为支出减少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 w:hAnsi="黑体"/>
                <w:b/>
                <w:sz w:val="32"/>
                <w:szCs w:val="32"/>
              </w:rPr>
              <w:t>、一般公共预算财政拨款支出决算情况说明</w:t>
            </w:r>
          </w:p>
          <w:p>
            <w:pPr>
              <w:pStyle w:val="5"/>
              <w:ind w:firstLine="643" w:firstLineChars="200"/>
              <w:rPr>
                <w:rFonts w:hint="eastAsia" w:ascii="宋体" w:hAnsi="宋体" w:eastAsia="宋体" w:cs="黑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32"/>
                <w:szCs w:val="32"/>
              </w:rPr>
              <w:t>（一）财政拨款支出决算总体情况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2021年度财政拨款支出447.9万元，占本年支出合计的94%，与上年相比，财政拨款支出增加207.8万元，增长46%，主要是因为人员费用增加。</w:t>
            </w:r>
          </w:p>
          <w:p>
            <w:pPr>
              <w:pStyle w:val="5"/>
              <w:ind w:firstLine="482" w:firstLineChars="150"/>
              <w:rPr>
                <w:rFonts w:hint="eastAsia" w:ascii="宋体" w:hAnsi="宋体" w:eastAsia="宋体" w:cs="黑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32"/>
                <w:szCs w:val="32"/>
              </w:rPr>
              <w:t>（二）财政拨款支出决算结构情况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2021年度财政拨款支出447.9万元，主要用于以下方面：文化旅游体育与传媒支出415.44万元，占92.7%；教育支出0.32万元，占0.3%;社会保障和就业支出22.57万，占5%；卫生健康支出9.57万元，占2%.</w:t>
            </w:r>
          </w:p>
          <w:p>
            <w:pPr>
              <w:pStyle w:val="5"/>
              <w:ind w:firstLine="803" w:firstLineChars="250"/>
              <w:rPr>
                <w:rFonts w:hint="eastAsia" w:ascii="宋体" w:hAnsi="宋体" w:eastAsia="宋体" w:cs="黑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32"/>
                <w:szCs w:val="32"/>
              </w:rPr>
              <w:t>（三）财政拨款支出决算具体情况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2021年度财政拨款支出年初预算数为214.05万元，支出决算数为447.9万元，完成年初预算的209%，其中：</w:t>
            </w:r>
          </w:p>
          <w:p>
            <w:pPr>
              <w:pStyle w:val="5"/>
              <w:numPr>
                <w:ilvl w:val="0"/>
                <w:numId w:val="3"/>
              </w:numPr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文化旅游体育与传媒支出年初预算为</w:t>
            </w:r>
            <w:r>
              <w:rPr>
                <w:rFonts w:ascii="仿宋_GB2312" w:hAnsi="仿宋_GB2312"/>
                <w:sz w:val="28"/>
                <w:szCs w:val="28"/>
              </w:rPr>
              <w:t>163.92</w:t>
            </w:r>
            <w:r>
              <w:rPr>
                <w:rFonts w:hint="eastAsia" w:ascii="宋体" w:hAnsi="宋体" w:eastAsia="宋体" w:cs="黑体"/>
                <w:sz w:val="32"/>
                <w:szCs w:val="32"/>
              </w:rPr>
              <w:t>万元，支出决算为415.44万元,主要是因为人员费用增加；</w:t>
            </w:r>
          </w:p>
          <w:p>
            <w:pPr>
              <w:pStyle w:val="5"/>
              <w:numPr>
                <w:ilvl w:val="0"/>
                <w:numId w:val="3"/>
              </w:numPr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教育支出年初预算为0，支出决算为0.32万元,主要是因为人员费用增加</w:t>
            </w:r>
          </w:p>
          <w:p>
            <w:pPr>
              <w:pStyle w:val="5"/>
              <w:numPr>
                <w:ilvl w:val="0"/>
                <w:numId w:val="3"/>
              </w:numPr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社会保障和就业支出年初预算为</w:t>
            </w:r>
            <w:r>
              <w:rPr>
                <w:rFonts w:ascii="仿宋_GB2312" w:hAnsi="仿宋_GB2312"/>
                <w:sz w:val="28"/>
                <w:szCs w:val="28"/>
              </w:rPr>
              <w:t>23.83</w:t>
            </w:r>
            <w:r>
              <w:rPr>
                <w:rFonts w:hint="eastAsia" w:ascii="宋体" w:hAnsi="宋体" w:eastAsia="宋体" w:cs="黑体"/>
                <w:sz w:val="32"/>
                <w:szCs w:val="32"/>
              </w:rPr>
              <w:t>万元，支出决算为22.57万主要是因为人员费用减少；</w:t>
            </w:r>
          </w:p>
          <w:p>
            <w:pPr>
              <w:pStyle w:val="5"/>
              <w:numPr>
                <w:ilvl w:val="0"/>
                <w:numId w:val="3"/>
              </w:numPr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卫生健康支出年初预算为</w:t>
            </w:r>
            <w:r>
              <w:rPr>
                <w:rFonts w:ascii="仿宋_GB2312" w:hAnsi="仿宋_GB2312"/>
                <w:sz w:val="28"/>
                <w:szCs w:val="28"/>
              </w:rPr>
              <w:t>10.03</w:t>
            </w:r>
            <w:r>
              <w:rPr>
                <w:rFonts w:hint="eastAsia" w:ascii="宋体" w:hAnsi="宋体" w:eastAsia="宋体" w:cs="黑体"/>
                <w:sz w:val="32"/>
                <w:szCs w:val="32"/>
              </w:rPr>
              <w:t>万，支出决算为9.57万元，主要是因为人员费用减少.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 xml:space="preserve"> 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七</w:t>
            </w:r>
            <w:r>
              <w:rPr>
                <w:rFonts w:hint="eastAsia" w:hAnsi="黑体"/>
                <w:b/>
                <w:sz w:val="32"/>
                <w:szCs w:val="32"/>
              </w:rPr>
              <w:t>、一般公共预算财政拨款基本支出决算情况说明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i/>
                <w:color w:val="FF0000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财政拨款基本支出262.17万元，其中：人员经费231.37万元，占基本支出的88%,主要包括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；公用经费30.8万元，占基本支出的12%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八</w:t>
            </w:r>
            <w:r>
              <w:rPr>
                <w:rFonts w:hint="eastAsia" w:hAnsi="黑体"/>
                <w:b/>
                <w:sz w:val="32"/>
                <w:szCs w:val="32"/>
              </w:rPr>
              <w:t>、一般公共预算财政拨款“三公”经费支出决算情况说明</w:t>
            </w:r>
          </w:p>
          <w:p>
            <w:pPr>
              <w:pStyle w:val="5"/>
              <w:rPr>
                <w:rFonts w:hint="eastAsia" w:ascii="宋体" w:hAnsi="宋体" w:eastAsia="宋体" w:cs="黑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32"/>
                <w:szCs w:val="32"/>
              </w:rPr>
              <w:t>（一）“三公”经费财政拨款支出决算总体情况说明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2021年度“三公”经费财政拨款支出预算为0万元，支出决算为0万元，完成预算的0%，其中：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因公出国（境）费支出预算为0万元，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公务接待费支出预算为00万元，支出决算为0万元，完成预算的0%，。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公务用车购置费支出预算为0万元，支出决算为0万元，完成预算的0%。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公务用车运行维护费支出预算为0万元，支出决算为0万元，完成预算的0%。</w:t>
            </w:r>
          </w:p>
          <w:p>
            <w:pPr>
              <w:pStyle w:val="5"/>
              <w:rPr>
                <w:rFonts w:hint="eastAsia" w:ascii="宋体" w:hAnsi="宋体" w:eastAsia="宋体" w:cs="黑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32"/>
                <w:szCs w:val="32"/>
              </w:rPr>
              <w:t>（二）“三公”经费财政拨款支出决算具体情况说明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2021年度“三公”经费财政拨款支出决算中，公务接待费支出决算0万元，占0%,因公出国（境）费支出决算0万元，占0%,截止2021年12月31日，我单位开支财政拨款的公务用车保有量为0辆，更新公务用车0辆。其中：</w:t>
            </w:r>
          </w:p>
          <w:p>
            <w:pPr>
              <w:pStyle w:val="5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1、因公出国（境）费支出决算0万元，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2、公务接待费支出决算为0万元0。</w:t>
            </w:r>
          </w:p>
          <w:p>
            <w:pPr>
              <w:ind w:firstLine="800" w:firstLineChars="25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3、公务用车购置费及运行维护费支出决算为0万元，0</w:t>
            </w:r>
          </w:p>
          <w:p>
            <w:pPr>
              <w:pStyle w:val="5"/>
              <w:rPr>
                <w:rFonts w:hint="eastAsia" w:hAnsi="黑体"/>
                <w:b/>
                <w:sz w:val="32"/>
                <w:szCs w:val="32"/>
              </w:rPr>
            </w:pPr>
            <w:r>
              <w:rPr>
                <w:rFonts w:hint="eastAsia" w:hAnsi="黑体"/>
                <w:b/>
                <w:sz w:val="32"/>
                <w:szCs w:val="32"/>
                <w:lang w:eastAsia="zh-CN"/>
              </w:rPr>
              <w:t>九</w:t>
            </w:r>
            <w:r>
              <w:rPr>
                <w:rFonts w:hint="eastAsia" w:hAnsi="黑体"/>
                <w:b/>
                <w:sz w:val="32"/>
                <w:szCs w:val="32"/>
              </w:rPr>
              <w:t>、政府性基金预算收入支出决算情况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2021年度政府性基金预算财政拨款收入0万元；年初结转和结余26.87万元；支出26.87万元，其中基本支出0万元，项目支出26.87万元；年末结转和结余0万元。具体情况如下：</w:t>
            </w:r>
          </w:p>
          <w:p>
            <w:pPr>
              <w:pStyle w:val="5"/>
              <w:ind w:firstLine="640" w:firstLineChars="20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1、彩票公益金安排的支出。</w:t>
            </w:r>
          </w:p>
          <w:p>
            <w:pPr>
              <w:pStyle w:val="5"/>
              <w:ind w:firstLine="800" w:firstLineChars="250"/>
              <w:rPr>
                <w:rFonts w:hint="eastAsia" w:ascii="宋体" w:hAnsi="宋体" w:eastAsia="宋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黑体"/>
                <w:sz w:val="32"/>
                <w:szCs w:val="32"/>
              </w:rPr>
              <w:t>年初预算为0万元，支出决算为26.87万元。</w:t>
            </w:r>
          </w:p>
          <w:p>
            <w:pPr>
              <w:pStyle w:val="5"/>
              <w:jc w:val="both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hAnsi="黑体"/>
                <w:sz w:val="32"/>
                <w:szCs w:val="32"/>
                <w:lang w:eastAsia="zh-CN"/>
              </w:rPr>
              <w:t>十</w:t>
            </w:r>
            <w:r>
              <w:rPr>
                <w:rFonts w:hAnsi="黑体"/>
                <w:sz w:val="32"/>
                <w:szCs w:val="32"/>
              </w:rPr>
              <w:t>、存在的问题及原因分析</w:t>
            </w:r>
          </w:p>
          <w:p>
            <w:pPr>
              <w:spacing w:line="400" w:lineRule="exact"/>
              <w:ind w:firstLine="440" w:firstLineChars="200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Ansi="仿宋_GB2312"/>
                <w:sz w:val="22"/>
                <w:szCs w:val="22"/>
              </w:rPr>
              <w:t>主要存在问题一是在使用公务卡方面需要进一步加强；二是对个别项目资金使用方面撑控不力，出现实际支出数超出了预算申报数；三是固定资产的管理存在不严的情况，资产损坏更换没有及时办理相关手续。</w:t>
            </w:r>
          </w:p>
          <w:p>
            <w:pPr>
              <w:pStyle w:val="6"/>
              <w:numPr>
                <w:numId w:val="0"/>
              </w:numPr>
              <w:spacing w:line="600" w:lineRule="exact"/>
              <w:ind w:leftChars="0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十一、</w:t>
            </w:r>
            <w:bookmarkStart w:id="0" w:name="_GoBack"/>
            <w:bookmarkEnd w:id="0"/>
            <w:r>
              <w:rPr>
                <w:rFonts w:ascii="黑体" w:hAnsi="黑体" w:eastAsia="黑体"/>
                <w:sz w:val="32"/>
                <w:szCs w:val="32"/>
              </w:rPr>
              <w:t>下一步改进措施</w:t>
            </w:r>
          </w:p>
          <w:p>
            <w:pPr>
              <w:spacing w:line="400" w:lineRule="exact"/>
              <w:ind w:firstLine="440" w:firstLineChars="200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Ansi="仿宋_GB2312"/>
                <w:sz w:val="22"/>
                <w:szCs w:val="22"/>
              </w:rPr>
              <w:t>一是加大对公务卡的使用力度；二是进一步控制项目经费支出，在确保各项任务完成的同时，力争把成本降底；三是加强固定资产的管理，及时办理固定资产的处置和购置手续。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仿宋_GB2312"/>
                <w:sz w:val="22"/>
                <w:szCs w:val="22"/>
              </w:rPr>
            </w:pPr>
          </w:p>
        </w:tc>
      </w:tr>
    </w:tbl>
    <w:p>
      <w:pPr>
        <w:spacing w:line="348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31EAF"/>
    <w:multiLevelType w:val="multilevel"/>
    <w:tmpl w:val="13431EAF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D95B51"/>
    <w:multiLevelType w:val="multilevel"/>
    <w:tmpl w:val="3ED95B5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AC075D5"/>
    <w:multiLevelType w:val="multilevel"/>
    <w:tmpl w:val="4AC075D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lOWFiOGQzMjcxY2RmMDUyZDNmYjdkODM4YTUxNjcifQ=="/>
  </w:docVars>
  <w:rsids>
    <w:rsidRoot w:val="00ED389B"/>
    <w:rsid w:val="00040117"/>
    <w:rsid w:val="000520FB"/>
    <w:rsid w:val="0008328D"/>
    <w:rsid w:val="00290AF8"/>
    <w:rsid w:val="00333F83"/>
    <w:rsid w:val="005E546D"/>
    <w:rsid w:val="00B620DF"/>
    <w:rsid w:val="00CB5DF2"/>
    <w:rsid w:val="00CC7DA0"/>
    <w:rsid w:val="00E60D26"/>
    <w:rsid w:val="00EA3ECA"/>
    <w:rsid w:val="00ED389B"/>
    <w:rsid w:val="1F9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3" w:lineRule="auto"/>
    </w:pPr>
    <w:rPr>
      <w:rFonts w:ascii="Arial" w:hAnsi="Arial"/>
      <w:sz w:val="24"/>
      <w:szCs w:val="24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Calibri" w:eastAsia="黑体" w:cs="宋体"/>
      <w:color w:val="000000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3641</Words>
  <Characters>3931</Characters>
  <Lines>33</Lines>
  <Paragraphs>9</Paragraphs>
  <TotalTime>46</TotalTime>
  <ScaleCrop>false</ScaleCrop>
  <LinksUpToDate>false</LinksUpToDate>
  <CharactersWithSpaces>4352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2023-09-05T07:38:00Z</dcterms:created>
  <dc:creator>微软用户</dc:creator>
  <cp:lastModifiedBy>河柳春风</cp:lastModifiedBy>
  <dcterms:modified xsi:type="dcterms:W3CDTF">2023-09-05T08:33:45Z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9086A046006347D587BFB49FD6C53540_12</vt:lpwstr>
  </property>
</Properties>
</file>