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both"/>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附件1</w:t>
      </w:r>
    </w:p>
    <w:p>
      <w:pPr>
        <w:widowControl/>
        <w:spacing w:line="600" w:lineRule="exact"/>
        <w:ind w:left="-280" w:leftChars="-100" w:firstLine="1440" w:firstLineChars="400"/>
        <w:jc w:val="left"/>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202</w:t>
      </w:r>
      <w:r>
        <w:rPr>
          <w:rFonts w:hint="eastAsia" w:ascii="方正小标宋简体" w:hAnsi="方正小标宋简体" w:eastAsia="方正小标宋简体" w:cs="方正小标宋简体"/>
          <w:color w:val="auto"/>
          <w:sz w:val="36"/>
          <w:szCs w:val="36"/>
          <w:lang w:val="en-US" w:eastAsia="zh-CN"/>
        </w:rPr>
        <w:t>2</w:t>
      </w:r>
      <w:r>
        <w:rPr>
          <w:rFonts w:hint="eastAsia" w:ascii="方正小标宋简体" w:hAnsi="方正小标宋简体" w:eastAsia="方正小标宋简体" w:cs="方正小标宋简体"/>
          <w:color w:val="auto"/>
          <w:sz w:val="36"/>
          <w:szCs w:val="36"/>
        </w:rPr>
        <w:t>年度部门整体支出绩效评价基础数据表</w:t>
      </w:r>
    </w:p>
    <w:tbl>
      <w:tblPr>
        <w:tblStyle w:val="9"/>
        <w:tblW w:w="9878" w:type="dxa"/>
        <w:jc w:val="center"/>
        <w:tblLayout w:type="fixed"/>
        <w:tblCellMar>
          <w:top w:w="0" w:type="dxa"/>
          <w:left w:w="108" w:type="dxa"/>
          <w:bottom w:w="0" w:type="dxa"/>
          <w:right w:w="108" w:type="dxa"/>
        </w:tblCellMar>
      </w:tblPr>
      <w:tblGrid>
        <w:gridCol w:w="3354"/>
        <w:gridCol w:w="1112"/>
        <w:gridCol w:w="1095"/>
        <w:gridCol w:w="885"/>
        <w:gridCol w:w="1321"/>
        <w:gridCol w:w="1004"/>
        <w:gridCol w:w="1107"/>
      </w:tblGrid>
      <w:tr>
        <w:tblPrEx>
          <w:tblCellMar>
            <w:top w:w="0" w:type="dxa"/>
            <w:left w:w="108" w:type="dxa"/>
            <w:bottom w:w="0" w:type="dxa"/>
            <w:right w:w="108" w:type="dxa"/>
          </w:tblCellMar>
        </w:tblPrEx>
        <w:trPr>
          <w:trHeight w:val="92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财政供养人员情况（人）</w:t>
            </w:r>
          </w:p>
        </w:tc>
        <w:tc>
          <w:tcPr>
            <w:tcW w:w="2207"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编制数</w:t>
            </w:r>
          </w:p>
        </w:tc>
        <w:tc>
          <w:tcPr>
            <w:tcW w:w="2206"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202</w:t>
            </w: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年实际在职人数</w:t>
            </w:r>
          </w:p>
        </w:tc>
        <w:tc>
          <w:tcPr>
            <w:tcW w:w="211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控制率</w:t>
            </w:r>
          </w:p>
        </w:tc>
      </w:tr>
      <w:tr>
        <w:tblPrEx>
          <w:tblCellMar>
            <w:top w:w="0" w:type="dxa"/>
            <w:left w:w="108" w:type="dxa"/>
            <w:bottom w:w="0" w:type="dxa"/>
            <w:right w:w="108" w:type="dxa"/>
          </w:tblCellMar>
        </w:tblPrEx>
        <w:trPr>
          <w:trHeight w:val="56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b/>
                <w:bCs/>
                <w:color w:val="auto"/>
                <w:sz w:val="21"/>
                <w:szCs w:val="21"/>
              </w:rPr>
            </w:pPr>
          </w:p>
        </w:tc>
        <w:tc>
          <w:tcPr>
            <w:tcW w:w="2207"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w:t>
            </w:r>
          </w:p>
        </w:tc>
        <w:tc>
          <w:tcPr>
            <w:tcW w:w="2206"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w:t>
            </w:r>
          </w:p>
        </w:tc>
        <w:tc>
          <w:tcPr>
            <w:tcW w:w="211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55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
                <w:bCs/>
                <w:color w:val="auto"/>
                <w:sz w:val="21"/>
                <w:szCs w:val="21"/>
              </w:rPr>
            </w:pPr>
            <w:bookmarkStart w:id="0" w:name="OLE_LINK1" w:colFirst="0" w:colLast="3"/>
            <w:r>
              <w:rPr>
                <w:rFonts w:hint="eastAsia" w:ascii="宋体" w:hAnsi="宋体" w:eastAsia="宋体" w:cs="宋体"/>
                <w:b/>
                <w:bCs/>
                <w:color w:val="auto"/>
                <w:sz w:val="21"/>
                <w:szCs w:val="21"/>
              </w:rPr>
              <w:t>经费控制情况（万元）</w:t>
            </w:r>
          </w:p>
        </w:tc>
        <w:tc>
          <w:tcPr>
            <w:tcW w:w="220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202</w:t>
            </w: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rPr>
              <w:t>年决算数</w:t>
            </w:r>
          </w:p>
        </w:tc>
        <w:tc>
          <w:tcPr>
            <w:tcW w:w="22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202</w:t>
            </w: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年预算数</w:t>
            </w:r>
          </w:p>
        </w:tc>
        <w:tc>
          <w:tcPr>
            <w:tcW w:w="211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202</w:t>
            </w: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年决算数</w:t>
            </w:r>
          </w:p>
        </w:tc>
      </w:tr>
      <w:bookmarkEnd w:id="0"/>
      <w:tr>
        <w:tblPrEx>
          <w:tblCellMar>
            <w:top w:w="0" w:type="dxa"/>
            <w:left w:w="108" w:type="dxa"/>
            <w:bottom w:w="0" w:type="dxa"/>
            <w:right w:w="108" w:type="dxa"/>
          </w:tblCellMar>
        </w:tblPrEx>
        <w:trPr>
          <w:trHeight w:val="61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三公经费</w:t>
            </w:r>
          </w:p>
        </w:tc>
        <w:tc>
          <w:tcPr>
            <w:tcW w:w="220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0.11</w:t>
            </w:r>
          </w:p>
        </w:tc>
        <w:tc>
          <w:tcPr>
            <w:tcW w:w="22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0.15</w:t>
            </w:r>
          </w:p>
        </w:tc>
        <w:tc>
          <w:tcPr>
            <w:tcW w:w="211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0.15</w:t>
            </w:r>
          </w:p>
        </w:tc>
      </w:tr>
      <w:tr>
        <w:tblPrEx>
          <w:tblCellMar>
            <w:top w:w="0" w:type="dxa"/>
            <w:left w:w="108" w:type="dxa"/>
            <w:bottom w:w="0" w:type="dxa"/>
            <w:right w:w="108" w:type="dxa"/>
          </w:tblCellMar>
        </w:tblPrEx>
        <w:trPr>
          <w:trHeight w:val="60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1、公务用车购置和维护经费</w:t>
            </w:r>
          </w:p>
        </w:tc>
        <w:tc>
          <w:tcPr>
            <w:tcW w:w="220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22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211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CellMar>
            <w:top w:w="0" w:type="dxa"/>
            <w:left w:w="108" w:type="dxa"/>
            <w:bottom w:w="0" w:type="dxa"/>
            <w:right w:w="108" w:type="dxa"/>
          </w:tblCellMar>
        </w:tblPrEx>
        <w:trPr>
          <w:trHeight w:val="51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其中：公车购置</w:t>
            </w:r>
          </w:p>
        </w:tc>
        <w:tc>
          <w:tcPr>
            <w:tcW w:w="220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22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211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CellMar>
            <w:top w:w="0" w:type="dxa"/>
            <w:left w:w="108" w:type="dxa"/>
            <w:bottom w:w="0" w:type="dxa"/>
            <w:right w:w="108" w:type="dxa"/>
          </w:tblCellMar>
        </w:tblPrEx>
        <w:trPr>
          <w:trHeight w:val="46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公车运行维护</w:t>
            </w:r>
          </w:p>
        </w:tc>
        <w:tc>
          <w:tcPr>
            <w:tcW w:w="220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22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211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CellMar>
            <w:top w:w="0" w:type="dxa"/>
            <w:left w:w="108" w:type="dxa"/>
            <w:bottom w:w="0" w:type="dxa"/>
            <w:right w:w="108" w:type="dxa"/>
          </w:tblCellMar>
        </w:tblPrEx>
        <w:trPr>
          <w:trHeight w:val="46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2、出国经费</w:t>
            </w:r>
          </w:p>
        </w:tc>
        <w:tc>
          <w:tcPr>
            <w:tcW w:w="220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22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211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CellMar>
            <w:top w:w="0" w:type="dxa"/>
            <w:left w:w="108" w:type="dxa"/>
            <w:bottom w:w="0" w:type="dxa"/>
            <w:right w:w="108" w:type="dxa"/>
          </w:tblCellMar>
        </w:tblPrEx>
        <w:trPr>
          <w:trHeight w:val="48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3、公务接待</w:t>
            </w:r>
          </w:p>
        </w:tc>
        <w:tc>
          <w:tcPr>
            <w:tcW w:w="220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0.11</w:t>
            </w:r>
          </w:p>
        </w:tc>
        <w:tc>
          <w:tcPr>
            <w:tcW w:w="22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0.15</w:t>
            </w:r>
          </w:p>
        </w:tc>
        <w:tc>
          <w:tcPr>
            <w:tcW w:w="211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0.15</w:t>
            </w:r>
          </w:p>
        </w:tc>
      </w:tr>
      <w:tr>
        <w:tblPrEx>
          <w:tblCellMar>
            <w:top w:w="0" w:type="dxa"/>
            <w:left w:w="108" w:type="dxa"/>
            <w:bottom w:w="0" w:type="dxa"/>
            <w:right w:w="108" w:type="dxa"/>
          </w:tblCellMar>
        </w:tblPrEx>
        <w:trPr>
          <w:trHeight w:val="63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项目支出：</w:t>
            </w:r>
          </w:p>
        </w:tc>
        <w:tc>
          <w:tcPr>
            <w:tcW w:w="220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74.43</w:t>
            </w:r>
          </w:p>
        </w:tc>
        <w:tc>
          <w:tcPr>
            <w:tcW w:w="22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w:t>
            </w:r>
          </w:p>
        </w:tc>
        <w:tc>
          <w:tcPr>
            <w:tcW w:w="211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35.90</w:t>
            </w:r>
          </w:p>
        </w:tc>
      </w:tr>
      <w:tr>
        <w:tblPrEx>
          <w:tblCellMar>
            <w:top w:w="0" w:type="dxa"/>
            <w:left w:w="108" w:type="dxa"/>
            <w:bottom w:w="0" w:type="dxa"/>
            <w:right w:w="108" w:type="dxa"/>
          </w:tblCellMar>
        </w:tblPrEx>
        <w:trPr>
          <w:trHeight w:val="57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1、业务工作经费</w:t>
            </w:r>
          </w:p>
        </w:tc>
        <w:tc>
          <w:tcPr>
            <w:tcW w:w="220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74.43</w:t>
            </w:r>
          </w:p>
        </w:tc>
        <w:tc>
          <w:tcPr>
            <w:tcW w:w="22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36</w:t>
            </w:r>
          </w:p>
        </w:tc>
        <w:tc>
          <w:tcPr>
            <w:tcW w:w="211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35.90</w:t>
            </w:r>
          </w:p>
        </w:tc>
      </w:tr>
      <w:tr>
        <w:tblPrEx>
          <w:tblCellMar>
            <w:top w:w="0" w:type="dxa"/>
            <w:left w:w="108" w:type="dxa"/>
            <w:bottom w:w="0" w:type="dxa"/>
            <w:right w:w="108" w:type="dxa"/>
          </w:tblCellMar>
        </w:tblPrEx>
        <w:trPr>
          <w:trHeight w:val="46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2、运行维护经费</w:t>
            </w:r>
          </w:p>
        </w:tc>
        <w:tc>
          <w:tcPr>
            <w:tcW w:w="220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p>
        </w:tc>
        <w:tc>
          <w:tcPr>
            <w:tcW w:w="22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kern w:val="0"/>
                <w:sz w:val="21"/>
                <w:szCs w:val="21"/>
                <w:lang w:val="en-US" w:eastAsia="zh-CN" w:bidi="ar-SA"/>
              </w:rPr>
            </w:pPr>
          </w:p>
        </w:tc>
        <w:tc>
          <w:tcPr>
            <w:tcW w:w="211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kern w:val="0"/>
                <w:sz w:val="21"/>
                <w:szCs w:val="21"/>
                <w:lang w:val="en-US" w:eastAsia="zh-CN" w:bidi="ar-SA"/>
              </w:rPr>
            </w:pPr>
          </w:p>
        </w:tc>
      </w:tr>
      <w:tr>
        <w:tblPrEx>
          <w:tblCellMar>
            <w:top w:w="0" w:type="dxa"/>
            <w:left w:w="108" w:type="dxa"/>
            <w:bottom w:w="0" w:type="dxa"/>
            <w:right w:w="108" w:type="dxa"/>
          </w:tblCellMar>
        </w:tblPrEx>
        <w:trPr>
          <w:trHeight w:val="57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市级</w:t>
            </w:r>
            <w:r>
              <w:rPr>
                <w:rFonts w:hint="eastAsia" w:ascii="宋体" w:hAnsi="宋体" w:eastAsia="宋体" w:cs="宋体"/>
                <w:color w:val="auto"/>
                <w:sz w:val="21"/>
                <w:szCs w:val="21"/>
              </w:rPr>
              <w:t>专项资金（一个专项一行）</w:t>
            </w:r>
          </w:p>
        </w:tc>
        <w:tc>
          <w:tcPr>
            <w:tcW w:w="220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74.43</w:t>
            </w:r>
            <w:r>
              <w:rPr>
                <w:rFonts w:hint="eastAsia" w:ascii="宋体" w:hAnsi="宋体" w:eastAsia="宋体" w:cs="宋体"/>
                <w:color w:val="auto"/>
                <w:sz w:val="21"/>
                <w:szCs w:val="21"/>
              </w:rPr>
              <w:t>　</w:t>
            </w:r>
          </w:p>
        </w:tc>
        <w:tc>
          <w:tcPr>
            <w:tcW w:w="22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w:t>
            </w:r>
          </w:p>
        </w:tc>
        <w:tc>
          <w:tcPr>
            <w:tcW w:w="211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35.90</w:t>
            </w:r>
          </w:p>
        </w:tc>
      </w:tr>
      <w:tr>
        <w:tblPrEx>
          <w:tblCellMar>
            <w:top w:w="0" w:type="dxa"/>
            <w:left w:w="108" w:type="dxa"/>
            <w:bottom w:w="0" w:type="dxa"/>
            <w:right w:w="108" w:type="dxa"/>
          </w:tblCellMar>
        </w:tblPrEx>
        <w:trPr>
          <w:trHeight w:val="54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房地产市场调控</w:t>
            </w:r>
          </w:p>
        </w:tc>
        <w:tc>
          <w:tcPr>
            <w:tcW w:w="220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74.43</w:t>
            </w:r>
          </w:p>
        </w:tc>
        <w:tc>
          <w:tcPr>
            <w:tcW w:w="22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kern w:val="0"/>
                <w:sz w:val="21"/>
                <w:szCs w:val="21"/>
                <w:lang w:val="en-US" w:eastAsia="zh-CN" w:bidi="ar-SA"/>
              </w:rPr>
            </w:pPr>
          </w:p>
        </w:tc>
        <w:tc>
          <w:tcPr>
            <w:tcW w:w="211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kern w:val="0"/>
                <w:sz w:val="21"/>
                <w:szCs w:val="21"/>
                <w:lang w:val="en-US" w:eastAsia="zh-CN" w:bidi="ar-SA"/>
              </w:rPr>
            </w:pPr>
          </w:p>
        </w:tc>
      </w:tr>
      <w:tr>
        <w:tblPrEx>
          <w:tblCellMar>
            <w:top w:w="0" w:type="dxa"/>
            <w:left w:w="108" w:type="dxa"/>
            <w:bottom w:w="0" w:type="dxa"/>
            <w:right w:w="108" w:type="dxa"/>
          </w:tblCellMar>
        </w:tblPrEx>
        <w:trPr>
          <w:trHeight w:val="66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房产开发事务管理经费</w:t>
            </w:r>
          </w:p>
        </w:tc>
        <w:tc>
          <w:tcPr>
            <w:tcW w:w="220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宋体" w:hAnsi="宋体" w:eastAsia="宋体" w:cs="宋体"/>
                <w:color w:val="auto"/>
                <w:sz w:val="21"/>
                <w:szCs w:val="21"/>
              </w:rPr>
            </w:pPr>
          </w:p>
        </w:tc>
        <w:tc>
          <w:tcPr>
            <w:tcW w:w="22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36</w:t>
            </w:r>
          </w:p>
        </w:tc>
        <w:tc>
          <w:tcPr>
            <w:tcW w:w="211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35.90</w:t>
            </w:r>
          </w:p>
        </w:tc>
      </w:tr>
      <w:tr>
        <w:tblPrEx>
          <w:tblCellMar>
            <w:top w:w="0" w:type="dxa"/>
            <w:left w:w="108" w:type="dxa"/>
            <w:bottom w:w="0" w:type="dxa"/>
            <w:right w:w="108" w:type="dxa"/>
          </w:tblCellMar>
        </w:tblPrEx>
        <w:trPr>
          <w:trHeight w:val="56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公用经费</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11.34</w:t>
            </w:r>
          </w:p>
        </w:tc>
        <w:tc>
          <w:tcPr>
            <w:tcW w:w="220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12.37</w:t>
            </w:r>
          </w:p>
        </w:tc>
        <w:tc>
          <w:tcPr>
            <w:tcW w:w="211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17.25</w:t>
            </w:r>
          </w:p>
        </w:tc>
      </w:tr>
      <w:tr>
        <w:tblPrEx>
          <w:tblCellMar>
            <w:top w:w="0" w:type="dxa"/>
            <w:left w:w="108" w:type="dxa"/>
            <w:bottom w:w="0" w:type="dxa"/>
            <w:right w:w="108" w:type="dxa"/>
          </w:tblCellMar>
        </w:tblPrEx>
        <w:trPr>
          <w:trHeight w:val="56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其中：办公经费</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1.97</w:t>
            </w:r>
          </w:p>
        </w:tc>
        <w:tc>
          <w:tcPr>
            <w:tcW w:w="220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8.59</w:t>
            </w:r>
          </w:p>
        </w:tc>
        <w:tc>
          <w:tcPr>
            <w:tcW w:w="211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3.75</w:t>
            </w:r>
          </w:p>
        </w:tc>
      </w:tr>
      <w:tr>
        <w:tblPrEx>
          <w:tblCellMar>
            <w:top w:w="0" w:type="dxa"/>
            <w:left w:w="108" w:type="dxa"/>
            <w:bottom w:w="0" w:type="dxa"/>
            <w:right w:w="108" w:type="dxa"/>
          </w:tblCellMar>
        </w:tblPrEx>
        <w:trPr>
          <w:trHeight w:val="56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水费、电费、差旅费</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 w:val="0"/>
                <w:bCs w:val="0"/>
                <w:color w:val="auto"/>
                <w:sz w:val="21"/>
                <w:szCs w:val="21"/>
                <w:lang w:val="en-US" w:eastAsia="zh-CN"/>
              </w:rPr>
            </w:pPr>
          </w:p>
        </w:tc>
        <w:tc>
          <w:tcPr>
            <w:tcW w:w="220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kern w:val="0"/>
                <w:sz w:val="21"/>
                <w:szCs w:val="21"/>
                <w:lang w:val="en-US" w:eastAsia="zh-CN" w:bidi="ar-SA"/>
              </w:rPr>
            </w:pPr>
          </w:p>
        </w:tc>
        <w:tc>
          <w:tcPr>
            <w:tcW w:w="211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545"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会议费、培训费</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p>
        </w:tc>
        <w:tc>
          <w:tcPr>
            <w:tcW w:w="220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kern w:val="0"/>
                <w:sz w:val="21"/>
                <w:szCs w:val="21"/>
                <w:lang w:val="en-US" w:eastAsia="zh-CN" w:bidi="ar-SA"/>
              </w:rPr>
            </w:pPr>
          </w:p>
        </w:tc>
        <w:tc>
          <w:tcPr>
            <w:tcW w:w="211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0.35</w:t>
            </w:r>
          </w:p>
        </w:tc>
      </w:tr>
      <w:tr>
        <w:tblPrEx>
          <w:tblCellMar>
            <w:top w:w="0" w:type="dxa"/>
            <w:left w:w="108" w:type="dxa"/>
            <w:bottom w:w="0" w:type="dxa"/>
            <w:right w:w="108" w:type="dxa"/>
          </w:tblCellMar>
        </w:tblPrEx>
        <w:trPr>
          <w:trHeight w:val="575"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政府采购金额</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220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1"/>
                <w:szCs w:val="21"/>
              </w:rPr>
            </w:pPr>
          </w:p>
        </w:tc>
        <w:tc>
          <w:tcPr>
            <w:tcW w:w="211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775"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部门基本支出预算调整 </w:t>
            </w:r>
          </w:p>
        </w:tc>
        <w:tc>
          <w:tcPr>
            <w:tcW w:w="220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22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p>
        </w:tc>
        <w:tc>
          <w:tcPr>
            <w:tcW w:w="211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884"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楼堂馆所控制情况</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年完工项目）</w:t>
            </w:r>
          </w:p>
        </w:tc>
        <w:tc>
          <w:tcPr>
            <w:tcW w:w="1112"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批复规模</w:t>
            </w:r>
            <w:r>
              <w:rPr>
                <w:rFonts w:hint="eastAsia" w:ascii="宋体" w:hAnsi="宋体" w:eastAsia="宋体" w:cs="宋体"/>
                <w:bCs/>
                <w:color w:val="auto"/>
                <w:sz w:val="21"/>
                <w:szCs w:val="21"/>
              </w:rPr>
              <w:br w:type="textWrapping"/>
            </w:r>
            <w:r>
              <w:rPr>
                <w:rFonts w:hint="eastAsia" w:ascii="宋体" w:hAnsi="宋体" w:eastAsia="宋体" w:cs="宋体"/>
                <w:bCs/>
                <w:color w:val="auto"/>
                <w:sz w:val="21"/>
                <w:szCs w:val="21"/>
              </w:rPr>
              <w:t>（㎡）</w:t>
            </w:r>
          </w:p>
        </w:tc>
        <w:tc>
          <w:tcPr>
            <w:tcW w:w="1095"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实际规模（㎡）</w:t>
            </w:r>
          </w:p>
        </w:tc>
        <w:tc>
          <w:tcPr>
            <w:tcW w:w="885"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规模控制率</w:t>
            </w:r>
          </w:p>
        </w:tc>
        <w:tc>
          <w:tcPr>
            <w:tcW w:w="1321"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预算投资（万元）</w:t>
            </w:r>
          </w:p>
        </w:tc>
        <w:tc>
          <w:tcPr>
            <w:tcW w:w="1004"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实际投资（万元）</w:t>
            </w:r>
          </w:p>
        </w:tc>
        <w:tc>
          <w:tcPr>
            <w:tcW w:w="110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投资概算控制率</w:t>
            </w:r>
          </w:p>
        </w:tc>
      </w:tr>
      <w:tr>
        <w:tblPrEx>
          <w:tblCellMar>
            <w:top w:w="0" w:type="dxa"/>
            <w:left w:w="108" w:type="dxa"/>
            <w:bottom w:w="0" w:type="dxa"/>
            <w:right w:w="108" w:type="dxa"/>
          </w:tblCellMar>
        </w:tblPrEx>
        <w:trPr>
          <w:trHeight w:val="735"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auto"/>
                <w:sz w:val="21"/>
                <w:szCs w:val="21"/>
              </w:rPr>
            </w:pPr>
          </w:p>
        </w:tc>
        <w:tc>
          <w:tcPr>
            <w:tcW w:w="111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1095"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885"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132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100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1107"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CellMar>
            <w:top w:w="0" w:type="dxa"/>
            <w:left w:w="108" w:type="dxa"/>
            <w:bottom w:w="0" w:type="dxa"/>
            <w:right w:w="108" w:type="dxa"/>
          </w:tblCellMar>
        </w:tblPrEx>
        <w:trPr>
          <w:trHeight w:val="322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厉行节约保障措施</w:t>
            </w:r>
          </w:p>
        </w:tc>
        <w:tc>
          <w:tcPr>
            <w:tcW w:w="6524"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1.党员干部起模范带头作用，精打细算、</w:t>
            </w:r>
            <w:r>
              <w:rPr>
                <w:rFonts w:hint="eastAsia" w:ascii="宋体" w:hAnsi="宋体" w:eastAsia="宋体" w:cs="宋体"/>
                <w:color w:val="auto"/>
                <w:sz w:val="21"/>
                <w:szCs w:val="21"/>
              </w:rPr>
              <w:t>厉行节约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主要控制了三公经费、会议费、办公费等日常经费开支。2022年以上费用比2021年支出减少，严格控制公用经费支出。</w:t>
            </w:r>
          </w:p>
          <w:p>
            <w:pPr>
              <w:widowControl/>
              <w:spacing w:line="360" w:lineRule="exact"/>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2.健全管理制度，抓制度落实，控制费用增长。</w:t>
            </w:r>
          </w:p>
          <w:p>
            <w:pPr>
              <w:widowControl/>
              <w:spacing w:line="36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加强对预算管理及财务收支管理。严格遵照“先有预算后有支出”预算管理要求，控制经费预算，对超预算资金严格管控；加强财务收支管理，对支出每笔费认真审核，对不合规费用拒绝支付，把控资金支付合规性、合法性、准确性。</w:t>
            </w:r>
          </w:p>
        </w:tc>
      </w:tr>
    </w:tbl>
    <w:p>
      <w:pPr>
        <w:widowControl/>
        <w:spacing w:afterLines="0"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说明：“项目支出”需要填报基本支出以外的所有项目支出情况，“公用经费”填报基本支出中的一般商品和服务支出。</w:t>
      </w:r>
    </w:p>
    <w:p>
      <w:pPr>
        <w:widowControl/>
        <w:spacing w:after="0" w:afterLines="0" w:line="400" w:lineRule="exact"/>
        <w:jc w:val="left"/>
        <w:rPr>
          <w:rFonts w:hint="eastAsia" w:ascii="黑体" w:hAnsi="黑体" w:eastAsia="黑体" w:cs="黑体"/>
          <w:color w:val="auto"/>
          <w:sz w:val="32"/>
          <w:szCs w:val="32"/>
          <w:lang w:eastAsia="zh-CN"/>
        </w:rPr>
      </w:pPr>
      <w:r>
        <w:rPr>
          <w:rFonts w:hint="eastAsia" w:ascii="宋体" w:hAnsi="宋体" w:eastAsia="宋体" w:cs="宋体"/>
          <w:color w:val="auto"/>
          <w:sz w:val="21"/>
          <w:szCs w:val="21"/>
        </w:rPr>
        <w:t>填表人：</w:t>
      </w:r>
      <w:r>
        <w:rPr>
          <w:rFonts w:hint="eastAsia" w:ascii="宋体" w:hAnsi="宋体" w:eastAsia="宋体" w:cs="宋体"/>
          <w:color w:val="auto"/>
          <w:sz w:val="21"/>
          <w:szCs w:val="21"/>
          <w:lang w:val="en-US" w:eastAsia="zh-CN"/>
        </w:rPr>
        <w:t>李佳</w:t>
      </w:r>
      <w:r>
        <w:rPr>
          <w:rFonts w:hint="eastAsia" w:ascii="宋体" w:hAnsi="宋体" w:eastAsia="宋体" w:cs="宋体"/>
          <w:color w:val="auto"/>
          <w:sz w:val="21"/>
          <w:szCs w:val="21"/>
        </w:rPr>
        <w:t xml:space="preserve">   填报日期：</w:t>
      </w:r>
      <w:r>
        <w:rPr>
          <w:rFonts w:hint="eastAsia" w:ascii="宋体" w:hAnsi="宋体" w:eastAsia="宋体" w:cs="宋体"/>
          <w:color w:val="auto"/>
          <w:sz w:val="21"/>
          <w:szCs w:val="21"/>
          <w:lang w:val="en-US" w:eastAsia="zh-CN"/>
        </w:rPr>
        <w:t>2023年7月14日</w:t>
      </w:r>
      <w:r>
        <w:rPr>
          <w:rFonts w:hint="eastAsia" w:ascii="宋体" w:hAnsi="宋体" w:eastAsia="宋体" w:cs="宋体"/>
          <w:color w:val="auto"/>
          <w:sz w:val="21"/>
          <w:szCs w:val="21"/>
        </w:rPr>
        <w:t xml:space="preserve">  联系电话：</w:t>
      </w:r>
      <w:r>
        <w:rPr>
          <w:rFonts w:hint="eastAsia" w:ascii="宋体" w:hAnsi="宋体" w:eastAsia="宋体" w:cs="宋体"/>
          <w:color w:val="auto"/>
          <w:sz w:val="21"/>
          <w:szCs w:val="21"/>
          <w:lang w:val="en-US" w:eastAsia="zh-CN"/>
        </w:rPr>
        <w:t xml:space="preserve">8758088  </w:t>
      </w:r>
      <w:r>
        <w:rPr>
          <w:rFonts w:hint="eastAsia" w:ascii="宋体" w:hAnsi="宋体" w:eastAsia="宋体" w:cs="宋体"/>
          <w:color w:val="auto"/>
          <w:sz w:val="21"/>
          <w:szCs w:val="21"/>
        </w:rPr>
        <w:t xml:space="preserve"> 单位负责人签字：</w:t>
      </w:r>
      <w:r>
        <w:rPr>
          <w:rFonts w:hint="default" w:ascii="Times New Roman" w:hAnsi="Times New Roman" w:eastAsia="仿宋_GB2312" w:cs="Times New Roman"/>
          <w:color w:val="auto"/>
          <w:sz w:val="22"/>
        </w:rPr>
        <w:br w:type="page"/>
      </w:r>
      <w:r>
        <w:rPr>
          <w:rFonts w:hint="eastAsia" w:ascii="方正小标宋简体" w:hAnsi="方正小标宋简体" w:eastAsia="方正小标宋简体" w:cs="方正小标宋简体"/>
          <w:color w:val="auto"/>
          <w:sz w:val="32"/>
          <w:szCs w:val="32"/>
        </w:rPr>
        <w:t>附件</w:t>
      </w:r>
      <w:r>
        <w:rPr>
          <w:rFonts w:hint="eastAsia" w:ascii="方正小标宋简体" w:hAnsi="方正小标宋简体" w:eastAsia="方正小标宋简体" w:cs="方正小标宋简体"/>
          <w:color w:val="auto"/>
          <w:sz w:val="32"/>
          <w:szCs w:val="32"/>
          <w:lang w:val="en-US" w:eastAsia="zh-CN"/>
        </w:rPr>
        <w:t>2</w:t>
      </w:r>
    </w:p>
    <w:p>
      <w:pPr>
        <w:spacing w:after="120" w:afterLines="50" w:line="600" w:lineRule="exact"/>
        <w:jc w:val="center"/>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202</w:t>
      </w:r>
      <w:r>
        <w:rPr>
          <w:rFonts w:hint="eastAsia" w:ascii="方正小标宋简体" w:hAnsi="方正小标宋简体" w:eastAsia="方正小标宋简体" w:cs="方正小标宋简体"/>
          <w:color w:val="auto"/>
          <w:sz w:val="40"/>
          <w:szCs w:val="40"/>
          <w:lang w:val="en-US" w:eastAsia="zh-CN"/>
        </w:rPr>
        <w:t>2</w:t>
      </w:r>
      <w:r>
        <w:rPr>
          <w:rFonts w:hint="eastAsia" w:ascii="方正小标宋简体" w:hAnsi="方正小标宋简体" w:eastAsia="方正小标宋简体" w:cs="方正小标宋简体"/>
          <w:color w:val="auto"/>
          <w:sz w:val="40"/>
          <w:szCs w:val="40"/>
        </w:rPr>
        <w:t>年度部门整体支出绩效自评表</w:t>
      </w:r>
    </w:p>
    <w:tbl>
      <w:tblPr>
        <w:tblStyle w:val="9"/>
        <w:tblW w:w="10079" w:type="dxa"/>
        <w:jc w:val="center"/>
        <w:tblLayout w:type="fixed"/>
        <w:tblCellMar>
          <w:top w:w="0" w:type="dxa"/>
          <w:left w:w="108" w:type="dxa"/>
          <w:bottom w:w="0" w:type="dxa"/>
          <w:right w:w="108" w:type="dxa"/>
        </w:tblCellMar>
      </w:tblPr>
      <w:tblGrid>
        <w:gridCol w:w="663"/>
        <w:gridCol w:w="523"/>
        <w:gridCol w:w="485"/>
        <w:gridCol w:w="2793"/>
        <w:gridCol w:w="1445"/>
        <w:gridCol w:w="1254"/>
        <w:gridCol w:w="597"/>
        <w:gridCol w:w="749"/>
        <w:gridCol w:w="1570"/>
      </w:tblGrid>
      <w:tr>
        <w:tblPrEx>
          <w:tblCellMar>
            <w:top w:w="0" w:type="dxa"/>
            <w:left w:w="108" w:type="dxa"/>
            <w:bottom w:w="0" w:type="dxa"/>
            <w:right w:w="108" w:type="dxa"/>
          </w:tblCellMar>
        </w:tblPrEx>
        <w:trPr>
          <w:jc w:val="center"/>
        </w:trPr>
        <w:tc>
          <w:tcPr>
            <w:tcW w:w="6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市</w:t>
            </w:r>
            <w:r>
              <w:rPr>
                <w:rFonts w:hint="eastAsia" w:ascii="宋体" w:hAnsi="宋体" w:eastAsia="宋体" w:cs="宋体"/>
                <w:b/>
                <w:bCs/>
                <w:color w:val="auto"/>
                <w:sz w:val="21"/>
                <w:szCs w:val="21"/>
              </w:rPr>
              <w:t>级预算部门名称</w:t>
            </w:r>
          </w:p>
        </w:tc>
        <w:tc>
          <w:tcPr>
            <w:tcW w:w="9416"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岳阳市房地产市场服务中心</w:t>
            </w:r>
            <w:r>
              <w:rPr>
                <w:rFonts w:hint="eastAsia" w:ascii="宋体" w:hAnsi="宋体" w:eastAsia="宋体" w:cs="宋体"/>
                <w:b/>
                <w:bCs/>
                <w:color w:val="auto"/>
                <w:sz w:val="21"/>
                <w:szCs w:val="21"/>
              </w:rPr>
              <w:t>　</w:t>
            </w:r>
          </w:p>
        </w:tc>
      </w:tr>
      <w:tr>
        <w:tblPrEx>
          <w:tblCellMar>
            <w:top w:w="0" w:type="dxa"/>
            <w:left w:w="108" w:type="dxa"/>
            <w:bottom w:w="0" w:type="dxa"/>
            <w:right w:w="108" w:type="dxa"/>
          </w:tblCellMar>
        </w:tblPrEx>
        <w:trPr>
          <w:trHeight w:val="628" w:hRule="atLeast"/>
          <w:jc w:val="center"/>
        </w:trPr>
        <w:tc>
          <w:tcPr>
            <w:tcW w:w="663"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年度预</w:t>
            </w:r>
          </w:p>
          <w:p>
            <w:pPr>
              <w:widowControl/>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算申请</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（万元）</w:t>
            </w:r>
          </w:p>
        </w:tc>
        <w:tc>
          <w:tcPr>
            <w:tcW w:w="100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b/>
                <w:bCs/>
                <w:color w:val="auto"/>
                <w:sz w:val="21"/>
                <w:szCs w:val="21"/>
              </w:rPr>
            </w:pPr>
          </w:p>
        </w:tc>
        <w:tc>
          <w:tcPr>
            <w:tcW w:w="2793"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年初预算数</w:t>
            </w:r>
          </w:p>
        </w:tc>
        <w:tc>
          <w:tcPr>
            <w:tcW w:w="1445"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全年预算数</w:t>
            </w:r>
          </w:p>
        </w:tc>
        <w:tc>
          <w:tcPr>
            <w:tcW w:w="1254"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全年执行数</w:t>
            </w:r>
          </w:p>
        </w:tc>
        <w:tc>
          <w:tcPr>
            <w:tcW w:w="597"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分值</w:t>
            </w:r>
          </w:p>
        </w:tc>
        <w:tc>
          <w:tcPr>
            <w:tcW w:w="749"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执行率</w:t>
            </w:r>
          </w:p>
        </w:tc>
        <w:tc>
          <w:tcPr>
            <w:tcW w:w="1570"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得分</w:t>
            </w:r>
          </w:p>
        </w:tc>
      </w:tr>
      <w:tr>
        <w:tblPrEx>
          <w:tblCellMar>
            <w:top w:w="0" w:type="dxa"/>
            <w:left w:w="108" w:type="dxa"/>
            <w:bottom w:w="0" w:type="dxa"/>
            <w:right w:w="108" w:type="dxa"/>
          </w:tblCellMar>
        </w:tblPrEx>
        <w:trPr>
          <w:trHeight w:val="638" w:hRule="atLeast"/>
          <w:jc w:val="center"/>
        </w:trPr>
        <w:tc>
          <w:tcPr>
            <w:tcW w:w="663"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sz w:val="21"/>
                <w:szCs w:val="21"/>
              </w:rPr>
            </w:pPr>
          </w:p>
        </w:tc>
        <w:tc>
          <w:tcPr>
            <w:tcW w:w="100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年度资金总额</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万元）</w:t>
            </w:r>
          </w:p>
        </w:tc>
        <w:tc>
          <w:tcPr>
            <w:tcW w:w="2793"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204.49</w:t>
            </w:r>
          </w:p>
        </w:tc>
        <w:tc>
          <w:tcPr>
            <w:tcW w:w="1445"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253.24</w:t>
            </w:r>
          </w:p>
        </w:tc>
        <w:tc>
          <w:tcPr>
            <w:tcW w:w="1254"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253.24</w:t>
            </w:r>
          </w:p>
        </w:tc>
        <w:tc>
          <w:tcPr>
            <w:tcW w:w="597"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749"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w:t>
            </w:r>
          </w:p>
        </w:tc>
        <w:tc>
          <w:tcPr>
            <w:tcW w:w="1570"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r>
        <w:tblPrEx>
          <w:tblCellMar>
            <w:top w:w="0" w:type="dxa"/>
            <w:left w:w="108" w:type="dxa"/>
            <w:bottom w:w="0" w:type="dxa"/>
            <w:right w:w="108" w:type="dxa"/>
          </w:tblCellMar>
        </w:tblPrEx>
        <w:trPr>
          <w:trHeight w:val="627" w:hRule="atLeast"/>
          <w:jc w:val="center"/>
        </w:trPr>
        <w:tc>
          <w:tcPr>
            <w:tcW w:w="663" w:type="dxa"/>
            <w:vMerge w:val="continue"/>
            <w:tcBorders>
              <w:left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sz w:val="21"/>
                <w:szCs w:val="21"/>
              </w:rPr>
            </w:pPr>
          </w:p>
        </w:tc>
        <w:tc>
          <w:tcPr>
            <w:tcW w:w="5246"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t>按收入性质分：</w:t>
            </w:r>
          </w:p>
        </w:tc>
        <w:tc>
          <w:tcPr>
            <w:tcW w:w="417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按支出性质分：</w:t>
            </w:r>
          </w:p>
        </w:tc>
      </w:tr>
      <w:tr>
        <w:tblPrEx>
          <w:tblCellMar>
            <w:top w:w="0" w:type="dxa"/>
            <w:left w:w="108" w:type="dxa"/>
            <w:bottom w:w="0" w:type="dxa"/>
            <w:right w:w="108" w:type="dxa"/>
          </w:tblCellMar>
        </w:tblPrEx>
        <w:trPr>
          <w:trHeight w:val="690" w:hRule="atLeast"/>
          <w:jc w:val="center"/>
        </w:trPr>
        <w:tc>
          <w:tcPr>
            <w:tcW w:w="663" w:type="dxa"/>
            <w:vMerge w:val="continue"/>
            <w:tcBorders>
              <w:left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sz w:val="21"/>
                <w:szCs w:val="21"/>
              </w:rPr>
            </w:pPr>
          </w:p>
        </w:tc>
        <w:tc>
          <w:tcPr>
            <w:tcW w:w="5246"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sz w:val="21"/>
                <w:szCs w:val="21"/>
                <w:lang w:val="en-US"/>
              </w:rPr>
            </w:pPr>
            <w:r>
              <w:rPr>
                <w:rFonts w:hint="eastAsia" w:ascii="宋体" w:hAnsi="宋体" w:eastAsia="宋体" w:cs="宋体"/>
                <w:color w:val="auto"/>
                <w:sz w:val="21"/>
                <w:szCs w:val="21"/>
              </w:rPr>
              <w:t xml:space="preserve">  其中：  一般公共预算：</w:t>
            </w:r>
            <w:r>
              <w:rPr>
                <w:rFonts w:hint="eastAsia" w:ascii="宋体" w:hAnsi="宋体" w:eastAsia="宋体" w:cs="宋体"/>
                <w:color w:val="auto"/>
                <w:sz w:val="21"/>
                <w:szCs w:val="21"/>
                <w:lang w:val="en-US" w:eastAsia="zh-CN"/>
              </w:rPr>
              <w:t xml:space="preserve">    253.24       </w:t>
            </w:r>
          </w:p>
        </w:tc>
        <w:tc>
          <w:tcPr>
            <w:tcW w:w="417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其中：基本支出：</w:t>
            </w:r>
            <w:r>
              <w:rPr>
                <w:rFonts w:hint="eastAsia" w:ascii="宋体" w:hAnsi="宋体" w:eastAsia="宋体" w:cs="宋体"/>
                <w:color w:val="auto"/>
                <w:sz w:val="21"/>
                <w:szCs w:val="21"/>
                <w:lang w:val="en-US" w:eastAsia="zh-CN"/>
              </w:rPr>
              <w:t>217.99</w:t>
            </w:r>
          </w:p>
        </w:tc>
      </w:tr>
      <w:tr>
        <w:tblPrEx>
          <w:tblCellMar>
            <w:top w:w="0" w:type="dxa"/>
            <w:left w:w="108" w:type="dxa"/>
            <w:bottom w:w="0" w:type="dxa"/>
            <w:right w:w="108" w:type="dxa"/>
          </w:tblCellMar>
        </w:tblPrEx>
        <w:trPr>
          <w:trHeight w:val="565" w:hRule="atLeast"/>
          <w:jc w:val="center"/>
        </w:trPr>
        <w:tc>
          <w:tcPr>
            <w:tcW w:w="663" w:type="dxa"/>
            <w:vMerge w:val="continue"/>
            <w:tcBorders>
              <w:left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sz w:val="21"/>
                <w:szCs w:val="21"/>
              </w:rPr>
            </w:pPr>
          </w:p>
        </w:tc>
        <w:tc>
          <w:tcPr>
            <w:tcW w:w="5246" w:type="dxa"/>
            <w:gridSpan w:val="4"/>
            <w:tcBorders>
              <w:top w:val="nil"/>
              <w:left w:val="nil"/>
              <w:bottom w:val="single" w:color="auto" w:sz="4" w:space="0"/>
              <w:right w:val="single" w:color="auto" w:sz="4" w:space="0"/>
            </w:tcBorders>
            <w:noWrap w:val="0"/>
            <w:vAlign w:val="center"/>
          </w:tcPr>
          <w:p>
            <w:pPr>
              <w:widowControl/>
              <w:spacing w:line="240" w:lineRule="exact"/>
              <w:ind w:firstLine="1050" w:firstLineChars="5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政府性基金拨款：</w:t>
            </w:r>
            <w:r>
              <w:rPr>
                <w:rFonts w:hint="eastAsia" w:ascii="宋体" w:hAnsi="宋体" w:eastAsia="宋体" w:cs="宋体"/>
                <w:color w:val="auto"/>
                <w:sz w:val="21"/>
                <w:szCs w:val="21"/>
                <w:lang w:val="en-US" w:eastAsia="zh-CN"/>
              </w:rPr>
              <w:t xml:space="preserve">   0                </w:t>
            </w:r>
          </w:p>
        </w:tc>
        <w:tc>
          <w:tcPr>
            <w:tcW w:w="4170" w:type="dxa"/>
            <w:gridSpan w:val="4"/>
            <w:tcBorders>
              <w:top w:val="nil"/>
              <w:left w:val="nil"/>
              <w:bottom w:val="single" w:color="auto" w:sz="4" w:space="0"/>
              <w:right w:val="single" w:color="auto" w:sz="4" w:space="0"/>
            </w:tcBorders>
            <w:noWrap w:val="0"/>
            <w:vAlign w:val="center"/>
          </w:tcPr>
          <w:p>
            <w:pPr>
              <w:widowControl/>
              <w:spacing w:line="240" w:lineRule="exact"/>
              <w:ind w:firstLine="630" w:firstLineChars="3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项目支出：</w:t>
            </w:r>
            <w:r>
              <w:rPr>
                <w:rFonts w:hint="eastAsia" w:ascii="宋体" w:hAnsi="宋体" w:eastAsia="宋体" w:cs="宋体"/>
                <w:color w:val="auto"/>
                <w:sz w:val="21"/>
                <w:szCs w:val="21"/>
                <w:lang w:val="en-US" w:eastAsia="zh-CN"/>
              </w:rPr>
              <w:t>35.9</w:t>
            </w:r>
          </w:p>
        </w:tc>
      </w:tr>
      <w:tr>
        <w:tblPrEx>
          <w:tblCellMar>
            <w:top w:w="0" w:type="dxa"/>
            <w:left w:w="108" w:type="dxa"/>
            <w:bottom w:w="0" w:type="dxa"/>
            <w:right w:w="108" w:type="dxa"/>
          </w:tblCellMar>
        </w:tblPrEx>
        <w:trPr>
          <w:trHeight w:val="614" w:hRule="atLeast"/>
          <w:jc w:val="center"/>
        </w:trPr>
        <w:tc>
          <w:tcPr>
            <w:tcW w:w="663" w:type="dxa"/>
            <w:vMerge w:val="continue"/>
            <w:tcBorders>
              <w:left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sz w:val="21"/>
                <w:szCs w:val="21"/>
              </w:rPr>
            </w:pPr>
          </w:p>
        </w:tc>
        <w:tc>
          <w:tcPr>
            <w:tcW w:w="5246"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纳入专户管理的非税收入拨款：</w:t>
            </w:r>
            <w:r>
              <w:rPr>
                <w:rFonts w:hint="eastAsia" w:ascii="宋体" w:hAnsi="宋体" w:eastAsia="宋体" w:cs="宋体"/>
                <w:color w:val="auto"/>
                <w:sz w:val="21"/>
                <w:szCs w:val="21"/>
                <w:lang w:val="en-US" w:eastAsia="zh-CN"/>
              </w:rPr>
              <w:t xml:space="preserve">   0             </w:t>
            </w:r>
          </w:p>
        </w:tc>
        <w:tc>
          <w:tcPr>
            <w:tcW w:w="417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555" w:hRule="atLeast"/>
          <w:jc w:val="center"/>
        </w:trPr>
        <w:tc>
          <w:tcPr>
            <w:tcW w:w="663"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宋体" w:hAnsi="宋体" w:eastAsia="宋体" w:cs="宋体"/>
                <w:color w:val="auto"/>
                <w:sz w:val="21"/>
                <w:szCs w:val="21"/>
              </w:rPr>
            </w:pPr>
          </w:p>
        </w:tc>
        <w:tc>
          <w:tcPr>
            <w:tcW w:w="5246" w:type="dxa"/>
            <w:gridSpan w:val="4"/>
            <w:tcBorders>
              <w:top w:val="nil"/>
              <w:left w:val="nil"/>
              <w:bottom w:val="single" w:color="auto" w:sz="4" w:space="0"/>
              <w:right w:val="single" w:color="auto" w:sz="4" w:space="0"/>
            </w:tcBorders>
            <w:noWrap w:val="0"/>
            <w:vAlign w:val="center"/>
          </w:tcPr>
          <w:p>
            <w:pPr>
              <w:widowControl/>
              <w:spacing w:line="240" w:lineRule="exact"/>
              <w:ind w:firstLine="1050" w:firstLineChars="5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其他资金：</w:t>
            </w:r>
            <w:r>
              <w:rPr>
                <w:rFonts w:hint="eastAsia" w:ascii="宋体" w:hAnsi="宋体" w:eastAsia="宋体" w:cs="宋体"/>
                <w:color w:val="auto"/>
                <w:sz w:val="21"/>
                <w:szCs w:val="21"/>
                <w:lang w:val="en-US" w:eastAsia="zh-CN"/>
              </w:rPr>
              <w:t xml:space="preserve">      0.15          </w:t>
            </w:r>
          </w:p>
        </w:tc>
        <w:tc>
          <w:tcPr>
            <w:tcW w:w="417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92" w:hRule="atLeast"/>
          <w:jc w:val="center"/>
        </w:trPr>
        <w:tc>
          <w:tcPr>
            <w:tcW w:w="663"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年度总体目标</w:t>
            </w:r>
          </w:p>
        </w:tc>
        <w:tc>
          <w:tcPr>
            <w:tcW w:w="5246"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预期目标</w:t>
            </w:r>
          </w:p>
        </w:tc>
        <w:tc>
          <w:tcPr>
            <w:tcW w:w="417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实际完成情况　</w:t>
            </w:r>
          </w:p>
        </w:tc>
      </w:tr>
      <w:tr>
        <w:tblPrEx>
          <w:tblCellMar>
            <w:top w:w="0" w:type="dxa"/>
            <w:left w:w="108" w:type="dxa"/>
            <w:bottom w:w="0" w:type="dxa"/>
            <w:right w:w="108" w:type="dxa"/>
          </w:tblCellMar>
        </w:tblPrEx>
        <w:trPr>
          <w:trHeight w:val="1001" w:hRule="atLeast"/>
          <w:jc w:val="center"/>
        </w:trPr>
        <w:tc>
          <w:tcPr>
            <w:tcW w:w="66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sz w:val="21"/>
                <w:szCs w:val="21"/>
              </w:rPr>
            </w:pPr>
          </w:p>
        </w:tc>
        <w:tc>
          <w:tcPr>
            <w:tcW w:w="5246"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　加强房地产法律、法规、政策的宣传力度，引导市场预期，促进房地产市场健康 平稳发展；根据“最多跑一次”工作要求，缩短房地产开发企业资质申请、商品房预售许可初审、报批的办结时限，实行即来即办；严格执行房地产开发项目资本金，商品房预售款的管理，做到及时足额缴存、拨付；妥善处理房地产开发经营市场纠纷和信访回复。</w:t>
            </w:r>
          </w:p>
          <w:p>
            <w:pPr>
              <w:widowControl/>
              <w:spacing w:line="240" w:lineRule="exact"/>
              <w:jc w:val="left"/>
              <w:rPr>
                <w:rFonts w:hint="eastAsia" w:ascii="宋体" w:hAnsi="宋体" w:eastAsia="宋体" w:cs="宋体"/>
                <w:color w:val="auto"/>
                <w:sz w:val="21"/>
                <w:szCs w:val="21"/>
              </w:rPr>
            </w:pPr>
          </w:p>
        </w:tc>
        <w:tc>
          <w:tcPr>
            <w:tcW w:w="417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　</w:t>
            </w:r>
          </w:p>
          <w:p>
            <w:pPr>
              <w:widowControl/>
              <w:spacing w:line="24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制定了《关于进一步促进岳阳市城区房地产市场平稳健康发展的若干措施（试行）》，并出台了关于落实《十五条》实施细则。</w:t>
            </w:r>
            <w:r>
              <w:rPr>
                <w:rFonts w:hint="eastAsia" w:ascii="宋体" w:hAnsi="宋体" w:eastAsia="宋体" w:cs="宋体"/>
                <w:color w:val="auto"/>
                <w:sz w:val="21"/>
                <w:szCs w:val="21"/>
              </w:rPr>
              <w:t>根据“最多跑一次”工作要求，缩短房地产开发企业资质申请、商品房预售许可初审、报批的办结时限，实行即来即办；严格执行房地产开发项目资本金，商品房预售款的管理，做到及时足额缴存、拨付；妥善处理房地产开发经营市场纠纷和信访回复。</w:t>
            </w:r>
          </w:p>
          <w:p>
            <w:pPr>
              <w:widowControl/>
              <w:spacing w:line="240" w:lineRule="exact"/>
              <w:jc w:val="left"/>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jc w:val="center"/>
        </w:trPr>
        <w:tc>
          <w:tcPr>
            <w:tcW w:w="66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绩</w:t>
            </w:r>
          </w:p>
          <w:p>
            <w:pPr>
              <w:widowControl/>
              <w:spacing w:line="2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效</w:t>
            </w:r>
          </w:p>
          <w:p>
            <w:pPr>
              <w:widowControl/>
              <w:spacing w:line="2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指</w:t>
            </w:r>
          </w:p>
          <w:p>
            <w:pPr>
              <w:widowControl/>
              <w:spacing w:line="240" w:lineRule="exact"/>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标</w:t>
            </w:r>
          </w:p>
          <w:p>
            <w:pPr>
              <w:widowControl/>
              <w:spacing w:line="240" w:lineRule="exact"/>
              <w:jc w:val="center"/>
              <w:rPr>
                <w:rFonts w:hint="eastAsia" w:ascii="宋体" w:hAnsi="宋体" w:eastAsia="宋体" w:cs="宋体"/>
                <w:color w:val="auto"/>
                <w:sz w:val="21"/>
                <w:szCs w:val="21"/>
              </w:rPr>
            </w:pPr>
          </w:p>
          <w:p>
            <w:pPr>
              <w:widowControl/>
              <w:spacing w:line="240" w:lineRule="exact"/>
              <w:jc w:val="both"/>
              <w:rPr>
                <w:rFonts w:hint="eastAsia" w:ascii="宋体" w:hAnsi="宋体" w:eastAsia="宋体" w:cs="宋体"/>
                <w:color w:val="auto"/>
                <w:sz w:val="21"/>
                <w:szCs w:val="21"/>
              </w:rPr>
            </w:pPr>
          </w:p>
          <w:p>
            <w:pPr>
              <w:widowControl/>
              <w:spacing w:line="240" w:lineRule="exact"/>
              <w:jc w:val="center"/>
              <w:rPr>
                <w:rFonts w:hint="eastAsia" w:ascii="宋体" w:hAnsi="宋体" w:eastAsia="宋体" w:cs="宋体"/>
                <w:color w:val="auto"/>
                <w:sz w:val="21"/>
                <w:szCs w:val="21"/>
              </w:rPr>
            </w:pPr>
          </w:p>
          <w:p>
            <w:pPr>
              <w:widowControl/>
              <w:spacing w:line="240" w:lineRule="exact"/>
              <w:jc w:val="center"/>
              <w:rPr>
                <w:rFonts w:hint="eastAsia" w:ascii="宋体" w:hAnsi="宋体" w:eastAsia="宋体" w:cs="宋体"/>
                <w:color w:val="auto"/>
                <w:sz w:val="21"/>
                <w:szCs w:val="21"/>
              </w:rPr>
            </w:pPr>
          </w:p>
          <w:p>
            <w:pPr>
              <w:widowControl/>
              <w:spacing w:line="240" w:lineRule="exact"/>
              <w:jc w:val="center"/>
              <w:rPr>
                <w:rFonts w:hint="eastAsia" w:ascii="宋体" w:hAnsi="宋体" w:eastAsia="宋体" w:cs="宋体"/>
                <w:color w:val="auto"/>
                <w:sz w:val="21"/>
                <w:szCs w:val="21"/>
              </w:rPr>
            </w:pPr>
          </w:p>
          <w:p>
            <w:pPr>
              <w:widowControl/>
              <w:spacing w:line="240" w:lineRule="exact"/>
              <w:jc w:val="center"/>
              <w:rPr>
                <w:rFonts w:hint="eastAsia" w:ascii="宋体" w:hAnsi="宋体" w:eastAsia="宋体" w:cs="宋体"/>
                <w:color w:val="auto"/>
                <w:sz w:val="21"/>
                <w:szCs w:val="21"/>
              </w:rPr>
            </w:pPr>
          </w:p>
          <w:p>
            <w:pPr>
              <w:widowControl/>
              <w:spacing w:line="240" w:lineRule="exact"/>
              <w:jc w:val="center"/>
              <w:rPr>
                <w:rFonts w:hint="eastAsia" w:ascii="宋体" w:hAnsi="宋体" w:eastAsia="宋体" w:cs="宋体"/>
                <w:color w:val="auto"/>
                <w:sz w:val="21"/>
                <w:szCs w:val="21"/>
              </w:rPr>
            </w:pPr>
          </w:p>
          <w:p>
            <w:pPr>
              <w:widowControl/>
              <w:spacing w:line="240" w:lineRule="exact"/>
              <w:jc w:val="center"/>
              <w:rPr>
                <w:rFonts w:hint="eastAsia" w:ascii="宋体" w:hAnsi="宋体" w:eastAsia="宋体" w:cs="宋体"/>
                <w:color w:val="auto"/>
                <w:sz w:val="21"/>
                <w:szCs w:val="21"/>
              </w:rPr>
            </w:pPr>
          </w:p>
          <w:p>
            <w:pPr>
              <w:widowControl/>
              <w:spacing w:line="240" w:lineRule="exact"/>
              <w:jc w:val="center"/>
              <w:rPr>
                <w:rFonts w:hint="eastAsia" w:ascii="宋体" w:hAnsi="宋体" w:eastAsia="宋体" w:cs="宋体"/>
                <w:color w:val="auto"/>
                <w:sz w:val="21"/>
                <w:szCs w:val="21"/>
              </w:rPr>
            </w:pPr>
          </w:p>
          <w:p>
            <w:pPr>
              <w:widowControl/>
              <w:spacing w:line="240" w:lineRule="exact"/>
              <w:jc w:val="center"/>
              <w:rPr>
                <w:rFonts w:hint="eastAsia" w:ascii="宋体" w:hAnsi="宋体" w:eastAsia="宋体" w:cs="宋体"/>
                <w:color w:val="auto"/>
                <w:sz w:val="21"/>
                <w:szCs w:val="21"/>
              </w:rPr>
            </w:pPr>
          </w:p>
          <w:p>
            <w:pPr>
              <w:widowControl/>
              <w:spacing w:line="240" w:lineRule="exact"/>
              <w:jc w:val="center"/>
              <w:rPr>
                <w:rFonts w:hint="eastAsia" w:ascii="宋体" w:hAnsi="宋体" w:eastAsia="宋体" w:cs="宋体"/>
                <w:color w:val="auto"/>
                <w:sz w:val="21"/>
                <w:szCs w:val="21"/>
              </w:rPr>
            </w:pPr>
          </w:p>
          <w:p>
            <w:pPr>
              <w:widowControl/>
              <w:spacing w:line="240" w:lineRule="exact"/>
              <w:jc w:val="center"/>
              <w:rPr>
                <w:rFonts w:hint="eastAsia" w:ascii="宋体" w:hAnsi="宋体" w:eastAsia="宋体" w:cs="宋体"/>
                <w:color w:val="auto"/>
                <w:sz w:val="21"/>
                <w:szCs w:val="21"/>
              </w:rPr>
            </w:pPr>
          </w:p>
          <w:p>
            <w:pPr>
              <w:widowControl/>
              <w:spacing w:line="240" w:lineRule="exact"/>
              <w:jc w:val="center"/>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绩</w:t>
            </w:r>
          </w:p>
          <w:p>
            <w:pPr>
              <w:widowControl/>
              <w:spacing w:line="2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效</w:t>
            </w:r>
          </w:p>
          <w:p>
            <w:pPr>
              <w:widowControl/>
              <w:spacing w:line="2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指</w:t>
            </w:r>
          </w:p>
          <w:p>
            <w:pPr>
              <w:widowControl/>
              <w:spacing w:line="2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标</w:t>
            </w:r>
          </w:p>
          <w:p>
            <w:pPr>
              <w:widowControl/>
              <w:spacing w:line="240" w:lineRule="exact"/>
              <w:jc w:val="center"/>
              <w:rPr>
                <w:rFonts w:hint="eastAsia" w:ascii="宋体" w:hAnsi="宋体" w:eastAsia="宋体" w:cs="宋体"/>
                <w:b/>
                <w:bCs/>
                <w:color w:val="auto"/>
                <w:sz w:val="21"/>
                <w:szCs w:val="21"/>
              </w:rPr>
            </w:pPr>
          </w:p>
          <w:tbl>
            <w:tblPr>
              <w:tblStyle w:val="10"/>
              <w:tblW w:w="324"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 w:hRule="atLeast"/>
              </w:trPr>
              <w:tc>
                <w:tcPr>
                  <w:tcW w:w="324" w:type="dxa"/>
                </w:tcPr>
                <w:p>
                  <w:pPr>
                    <w:widowControl/>
                    <w:spacing w:line="240" w:lineRule="exact"/>
                    <w:jc w:val="both"/>
                    <w:rPr>
                      <w:rFonts w:hint="eastAsia" w:ascii="宋体" w:hAnsi="宋体" w:eastAsia="宋体" w:cs="宋体"/>
                      <w:color w:val="auto"/>
                      <w:sz w:val="21"/>
                      <w:szCs w:val="21"/>
                      <w:vertAlign w:val="baseline"/>
                    </w:rPr>
                  </w:pPr>
                </w:p>
              </w:tc>
            </w:tr>
          </w:tbl>
          <w:p>
            <w:pPr>
              <w:widowControl/>
              <w:spacing w:line="240" w:lineRule="exact"/>
              <w:jc w:val="both"/>
              <w:rPr>
                <w:rFonts w:hint="eastAsia" w:ascii="宋体" w:hAnsi="宋体" w:eastAsia="宋体" w:cs="宋体"/>
                <w:color w:val="auto"/>
                <w:sz w:val="21"/>
                <w:szCs w:val="21"/>
              </w:rPr>
            </w:pPr>
          </w:p>
        </w:tc>
        <w:tc>
          <w:tcPr>
            <w:tcW w:w="52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一级指标</w:t>
            </w:r>
          </w:p>
        </w:tc>
        <w:tc>
          <w:tcPr>
            <w:tcW w:w="4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二级指标</w:t>
            </w: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三级指标</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年度指标值</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实际完成值</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分值</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得分</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偏差原因分析及改进措施</w:t>
            </w:r>
          </w:p>
        </w:tc>
      </w:tr>
      <w:tr>
        <w:tblPrEx>
          <w:tblCellMar>
            <w:top w:w="0" w:type="dxa"/>
            <w:left w:w="108" w:type="dxa"/>
            <w:bottom w:w="0" w:type="dxa"/>
            <w:right w:w="108" w:type="dxa"/>
          </w:tblCellMar>
        </w:tblPrEx>
        <w:trPr>
          <w:trHeight w:val="765"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auto"/>
                <w:sz w:val="21"/>
                <w:szCs w:val="21"/>
              </w:rPr>
            </w:pPr>
          </w:p>
        </w:tc>
        <w:tc>
          <w:tcPr>
            <w:tcW w:w="52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b/>
                <w:bCs/>
                <w:color w:val="auto"/>
                <w:sz w:val="21"/>
                <w:szCs w:val="21"/>
              </w:rPr>
            </w:pPr>
          </w:p>
          <w:p>
            <w:pPr>
              <w:widowControl/>
              <w:spacing w:line="240" w:lineRule="exact"/>
              <w:jc w:val="center"/>
              <w:rPr>
                <w:rFonts w:hint="eastAsia" w:ascii="宋体" w:hAnsi="宋体" w:eastAsia="宋体" w:cs="宋体"/>
                <w:b w:val="0"/>
                <w:bCs w:val="0"/>
                <w:color w:val="auto"/>
                <w:sz w:val="21"/>
                <w:szCs w:val="21"/>
              </w:rPr>
            </w:pPr>
            <w:r>
              <w:rPr>
                <w:rFonts w:hint="eastAsia" w:ascii="宋体" w:hAnsi="宋体" w:eastAsia="宋体" w:cs="宋体"/>
                <w:b/>
                <w:bCs/>
                <w:color w:val="auto"/>
                <w:sz w:val="21"/>
                <w:szCs w:val="21"/>
              </w:rPr>
              <w:t>产出指标</w:t>
            </w:r>
          </w:p>
          <w:p>
            <w:pPr>
              <w:widowControl/>
              <w:spacing w:line="240" w:lineRule="exact"/>
              <w:jc w:val="center"/>
              <w:rPr>
                <w:rFonts w:hint="eastAsia" w:ascii="宋体" w:hAnsi="宋体" w:eastAsia="宋体" w:cs="宋体"/>
                <w:b w:val="0"/>
                <w:bCs w:val="0"/>
                <w:color w:val="auto"/>
                <w:sz w:val="21"/>
                <w:szCs w:val="21"/>
              </w:rPr>
            </w:pPr>
          </w:p>
          <w:p>
            <w:pPr>
              <w:widowControl/>
              <w:spacing w:line="2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(50分)</w:t>
            </w:r>
          </w:p>
          <w:p>
            <w:pPr>
              <w:widowControl/>
              <w:spacing w:line="240" w:lineRule="exact"/>
              <w:jc w:val="both"/>
              <w:rPr>
                <w:rFonts w:hint="eastAsia" w:ascii="宋体" w:hAnsi="宋体" w:eastAsia="宋体" w:cs="宋体"/>
                <w:color w:val="auto"/>
                <w:sz w:val="21"/>
                <w:szCs w:val="21"/>
              </w:rPr>
            </w:pPr>
          </w:p>
        </w:tc>
        <w:tc>
          <w:tcPr>
            <w:tcW w:w="4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b/>
                <w:bCs/>
                <w:color w:val="auto"/>
                <w:sz w:val="21"/>
                <w:szCs w:val="21"/>
              </w:rPr>
            </w:pPr>
          </w:p>
          <w:p>
            <w:pPr>
              <w:widowControl/>
              <w:spacing w:line="240" w:lineRule="exact"/>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t>数量指标</w:t>
            </w:r>
          </w:p>
          <w:p>
            <w:pPr>
              <w:widowControl/>
              <w:spacing w:line="240" w:lineRule="exact"/>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20分</w:t>
            </w:r>
          </w:p>
          <w:p>
            <w:pPr>
              <w:widowControl/>
              <w:spacing w:line="240" w:lineRule="exact"/>
              <w:jc w:val="both"/>
              <w:rPr>
                <w:rFonts w:hint="eastAsia" w:ascii="宋体" w:hAnsi="宋体" w:eastAsia="宋体" w:cs="宋体"/>
                <w:color w:val="auto"/>
                <w:sz w:val="21"/>
                <w:szCs w:val="21"/>
                <w:lang w:val="en-US" w:eastAsia="zh-CN"/>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预售款监管比例达90%</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90%</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100%</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制定政策、运用信息系统加强监管</w:t>
            </w:r>
          </w:p>
        </w:tc>
      </w:tr>
      <w:tr>
        <w:tblPrEx>
          <w:tblCellMar>
            <w:top w:w="0" w:type="dxa"/>
            <w:left w:w="108" w:type="dxa"/>
            <w:bottom w:w="0" w:type="dxa"/>
            <w:right w:w="108" w:type="dxa"/>
          </w:tblCellMar>
        </w:tblPrEx>
        <w:trPr>
          <w:trHeight w:val="664"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auto"/>
                <w:sz w:val="21"/>
                <w:szCs w:val="21"/>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sz w:val="21"/>
                <w:szCs w:val="21"/>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sz w:val="21"/>
                <w:szCs w:val="21"/>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资本金缴存、拨付达100%</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100%</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100%</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制定政策、运用信息系统加强监管</w:t>
            </w:r>
          </w:p>
        </w:tc>
      </w:tr>
      <w:tr>
        <w:tblPrEx>
          <w:tblCellMar>
            <w:top w:w="0" w:type="dxa"/>
            <w:left w:w="108" w:type="dxa"/>
            <w:bottom w:w="0" w:type="dxa"/>
            <w:right w:w="108" w:type="dxa"/>
          </w:tblCellMar>
        </w:tblPrEx>
        <w:trPr>
          <w:trHeight w:val="600"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auto"/>
                <w:sz w:val="21"/>
                <w:szCs w:val="21"/>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sz w:val="21"/>
                <w:szCs w:val="21"/>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sz w:val="21"/>
                <w:szCs w:val="21"/>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妥善处理房地产开发经营市场纠纷和信访回复,回复率达95%</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95%</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100%</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健全制度、安排专人及时接待回复</w:t>
            </w:r>
          </w:p>
        </w:tc>
      </w:tr>
      <w:tr>
        <w:tblPrEx>
          <w:tblCellMar>
            <w:top w:w="0" w:type="dxa"/>
            <w:left w:w="108" w:type="dxa"/>
            <w:bottom w:w="0" w:type="dxa"/>
            <w:right w:w="108" w:type="dxa"/>
          </w:tblCellMar>
        </w:tblPrEx>
        <w:trPr>
          <w:trHeight w:val="95"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auto"/>
                <w:sz w:val="21"/>
                <w:szCs w:val="21"/>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auto"/>
                <w:sz w:val="21"/>
                <w:szCs w:val="21"/>
              </w:rPr>
            </w:pPr>
          </w:p>
        </w:tc>
        <w:tc>
          <w:tcPr>
            <w:tcW w:w="4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rPr>
              <w:t>质量指标</w:t>
            </w:r>
            <w:r>
              <w:rPr>
                <w:rFonts w:hint="eastAsia" w:ascii="宋体" w:hAnsi="宋体" w:eastAsia="宋体" w:cs="宋体"/>
                <w:b/>
                <w:bCs/>
                <w:color w:val="auto"/>
                <w:sz w:val="21"/>
                <w:szCs w:val="21"/>
                <w:lang w:val="en-US" w:eastAsia="zh-CN"/>
              </w:rPr>
              <w:t>15分</w:t>
            </w: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开发企业资质、商品房预售许可初审、报批，实现天天受理、天天审批、天天发证</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限时办结</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rPr>
            </w:pPr>
            <w:r>
              <w:rPr>
                <w:rFonts w:hint="eastAsia" w:ascii="宋体" w:hAnsi="宋体" w:eastAsia="宋体" w:cs="宋体"/>
                <w:i w:val="0"/>
                <w:iCs w:val="0"/>
                <w:color w:val="auto"/>
                <w:kern w:val="0"/>
                <w:sz w:val="21"/>
                <w:szCs w:val="21"/>
                <w:u w:val="none"/>
                <w:lang w:val="en-US" w:eastAsia="zh-CN" w:bidi="ar"/>
              </w:rPr>
              <w:t>限时办结</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633"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auto"/>
                <w:sz w:val="21"/>
                <w:szCs w:val="21"/>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auto"/>
                <w:sz w:val="21"/>
                <w:szCs w:val="21"/>
              </w:rPr>
            </w:pPr>
          </w:p>
        </w:tc>
        <w:tc>
          <w:tcPr>
            <w:tcW w:w="4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时效指标</w:t>
            </w:r>
          </w:p>
          <w:p>
            <w:pPr>
              <w:widowControl/>
              <w:spacing w:line="240" w:lineRule="exact"/>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10分</w:t>
            </w: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在当年度内完成</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2022-12-31</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2022-12-31</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p>
        </w:tc>
      </w:tr>
      <w:tr>
        <w:tblPrEx>
          <w:tblCellMar>
            <w:top w:w="0" w:type="dxa"/>
            <w:left w:w="108" w:type="dxa"/>
            <w:bottom w:w="0" w:type="dxa"/>
            <w:right w:w="108" w:type="dxa"/>
          </w:tblCellMar>
        </w:tblPrEx>
        <w:trPr>
          <w:trHeight w:val="678"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auto"/>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auto"/>
                <w:sz w:val="20"/>
                <w:szCs w:val="20"/>
              </w:rPr>
            </w:pPr>
          </w:p>
        </w:tc>
        <w:tc>
          <w:tcPr>
            <w:tcW w:w="4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rPr>
              <w:t>成本指标</w:t>
            </w:r>
            <w:r>
              <w:rPr>
                <w:rFonts w:hint="eastAsia" w:ascii="宋体" w:hAnsi="宋体" w:eastAsia="宋体" w:cs="宋体"/>
                <w:b/>
                <w:bCs/>
                <w:color w:val="auto"/>
                <w:sz w:val="20"/>
                <w:szCs w:val="20"/>
                <w:lang w:val="en-US" w:eastAsia="zh-CN"/>
              </w:rPr>
              <w:t>5分</w:t>
            </w: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在预算内完成</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204.49万元</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253.24万元</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增加了在编在岗人员</w:t>
            </w:r>
          </w:p>
        </w:tc>
      </w:tr>
      <w:tr>
        <w:tblPrEx>
          <w:tblCellMar>
            <w:top w:w="0" w:type="dxa"/>
            <w:left w:w="108" w:type="dxa"/>
            <w:bottom w:w="0" w:type="dxa"/>
            <w:right w:w="108" w:type="dxa"/>
          </w:tblCellMar>
        </w:tblPrEx>
        <w:trPr>
          <w:trHeight w:val="537" w:hRule="atLeast"/>
          <w:jc w:val="center"/>
        </w:trPr>
        <w:tc>
          <w:tcPr>
            <w:tcW w:w="663" w:type="dxa"/>
            <w:vMerge w:val="continue"/>
            <w:tcBorders>
              <w:top w:val="single" w:color="auto" w:sz="4" w:space="0"/>
              <w:left w:val="single" w:color="auto" w:sz="4" w:space="0"/>
              <w:right w:val="single" w:color="auto" w:sz="4" w:space="0"/>
            </w:tcBorders>
            <w:noWrap w:val="0"/>
            <w:vAlign w:val="center"/>
          </w:tcPr>
          <w:p>
            <w:pPr>
              <w:spacing w:line="240" w:lineRule="exact"/>
              <w:jc w:val="left"/>
              <w:rPr>
                <w:rFonts w:hint="eastAsia" w:ascii="宋体" w:hAnsi="宋体" w:eastAsia="宋体" w:cs="宋体"/>
                <w:color w:val="auto"/>
                <w:sz w:val="20"/>
                <w:szCs w:val="20"/>
              </w:rPr>
            </w:pPr>
          </w:p>
        </w:tc>
        <w:tc>
          <w:tcPr>
            <w:tcW w:w="52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b/>
                <w:bCs/>
                <w:color w:val="auto"/>
                <w:sz w:val="20"/>
                <w:szCs w:val="20"/>
              </w:rPr>
            </w:pPr>
            <w:r>
              <w:rPr>
                <w:rFonts w:hint="eastAsia" w:ascii="宋体" w:hAnsi="宋体" w:eastAsia="宋体" w:cs="宋体"/>
                <w:b/>
                <w:bCs/>
                <w:color w:val="auto"/>
                <w:sz w:val="20"/>
                <w:szCs w:val="20"/>
              </w:rPr>
              <w:t>效益指标</w:t>
            </w:r>
          </w:p>
          <w:p>
            <w:pPr>
              <w:widowControl/>
              <w:spacing w:line="240" w:lineRule="exact"/>
              <w:jc w:val="left"/>
              <w:rPr>
                <w:rFonts w:hint="eastAsia" w:ascii="宋体" w:hAnsi="宋体" w:eastAsia="宋体" w:cs="宋体"/>
                <w:b/>
                <w:bCs/>
                <w:color w:val="auto"/>
                <w:sz w:val="20"/>
                <w:szCs w:val="20"/>
              </w:rPr>
            </w:pPr>
          </w:p>
          <w:p>
            <w:pPr>
              <w:widowControl/>
              <w:spacing w:line="240" w:lineRule="exact"/>
              <w:jc w:val="left"/>
              <w:rPr>
                <w:rFonts w:hint="eastAsia" w:ascii="宋体" w:hAnsi="宋体" w:eastAsia="宋体" w:cs="宋体"/>
                <w:color w:val="auto"/>
                <w:sz w:val="15"/>
                <w:szCs w:val="15"/>
              </w:rPr>
            </w:pPr>
            <w:r>
              <w:rPr>
                <w:rFonts w:hint="eastAsia" w:ascii="宋体" w:hAnsi="宋体" w:eastAsia="宋体" w:cs="宋体"/>
                <w:b/>
                <w:bCs/>
                <w:color w:val="auto"/>
                <w:sz w:val="15"/>
                <w:szCs w:val="15"/>
              </w:rPr>
              <w:t>（30分）</w:t>
            </w:r>
          </w:p>
          <w:p>
            <w:pPr>
              <w:widowControl/>
              <w:spacing w:line="240" w:lineRule="exact"/>
              <w:jc w:val="left"/>
              <w:rPr>
                <w:rFonts w:hint="eastAsia" w:ascii="宋体" w:hAnsi="宋体" w:eastAsia="宋体" w:cs="宋体"/>
                <w:color w:val="auto"/>
                <w:sz w:val="20"/>
                <w:szCs w:val="20"/>
              </w:rPr>
            </w:pPr>
            <w:r>
              <w:rPr>
                <w:rFonts w:hint="eastAsia" w:ascii="宋体" w:hAnsi="宋体" w:eastAsia="宋体" w:cs="宋体"/>
                <w:color w:val="auto"/>
                <w:sz w:val="20"/>
                <w:szCs w:val="20"/>
              </w:rPr>
              <w:t>　</w:t>
            </w:r>
          </w:p>
        </w:tc>
        <w:tc>
          <w:tcPr>
            <w:tcW w:w="4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bCs/>
                <w:color w:val="auto"/>
                <w:sz w:val="20"/>
                <w:szCs w:val="20"/>
              </w:rPr>
            </w:pPr>
            <w:r>
              <w:rPr>
                <w:rFonts w:hint="eastAsia" w:ascii="宋体" w:hAnsi="宋体" w:eastAsia="宋体" w:cs="宋体"/>
                <w:b/>
                <w:bCs/>
                <w:color w:val="auto"/>
                <w:sz w:val="20"/>
                <w:szCs w:val="20"/>
              </w:rPr>
              <w:t>经济效</w:t>
            </w:r>
          </w:p>
          <w:p>
            <w:pPr>
              <w:widowControl/>
              <w:spacing w:line="240" w:lineRule="exact"/>
              <w:jc w:val="center"/>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rPr>
              <w:t>益指标</w:t>
            </w:r>
            <w:r>
              <w:rPr>
                <w:rFonts w:hint="eastAsia" w:ascii="宋体" w:hAnsi="宋体" w:eastAsia="宋体" w:cs="宋体"/>
                <w:b/>
                <w:bCs/>
                <w:color w:val="auto"/>
                <w:sz w:val="20"/>
                <w:szCs w:val="20"/>
                <w:lang w:val="en-US" w:eastAsia="zh-CN"/>
              </w:rPr>
              <w:t>分10分</w:t>
            </w: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积极协税、护税，确保房地产税收及时足额入库</w:t>
            </w:r>
          </w:p>
        </w:tc>
        <w:tc>
          <w:tcPr>
            <w:tcW w:w="144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根据市财源办下达的指标完成　</w:t>
            </w:r>
          </w:p>
        </w:tc>
        <w:tc>
          <w:tcPr>
            <w:tcW w:w="125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3.44亿</w:t>
            </w:r>
          </w:p>
        </w:tc>
        <w:tc>
          <w:tcPr>
            <w:tcW w:w="5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w:t>
            </w:r>
          </w:p>
        </w:tc>
        <w:tc>
          <w:tcPr>
            <w:tcW w:w="7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w:t>
            </w:r>
          </w:p>
        </w:tc>
        <w:tc>
          <w:tcPr>
            <w:tcW w:w="15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p>
        </w:tc>
      </w:tr>
      <w:tr>
        <w:tblPrEx>
          <w:tblCellMar>
            <w:top w:w="0" w:type="dxa"/>
            <w:left w:w="108" w:type="dxa"/>
            <w:bottom w:w="0" w:type="dxa"/>
            <w:right w:w="108" w:type="dxa"/>
          </w:tblCellMar>
        </w:tblPrEx>
        <w:trPr>
          <w:trHeight w:val="427" w:hRule="atLeast"/>
          <w:jc w:val="center"/>
        </w:trPr>
        <w:tc>
          <w:tcPr>
            <w:tcW w:w="663" w:type="dxa"/>
            <w:vMerge w:val="continue"/>
            <w:tcBorders>
              <w:left w:val="single" w:color="auto" w:sz="4" w:space="0"/>
              <w:right w:val="single" w:color="auto" w:sz="4" w:space="0"/>
            </w:tcBorders>
            <w:noWrap w:val="0"/>
            <w:vAlign w:val="center"/>
          </w:tcPr>
          <w:p>
            <w:pPr>
              <w:spacing w:line="240" w:lineRule="exact"/>
              <w:jc w:val="left"/>
              <w:rPr>
                <w:rFonts w:hint="eastAsia" w:ascii="宋体" w:hAnsi="宋体" w:eastAsia="宋体" w:cs="宋体"/>
                <w:color w:val="auto"/>
                <w:sz w:val="20"/>
                <w:szCs w:val="20"/>
              </w:rPr>
            </w:pPr>
          </w:p>
        </w:tc>
        <w:tc>
          <w:tcPr>
            <w:tcW w:w="523" w:type="dxa"/>
            <w:vMerge w:val="continue"/>
            <w:tcBorders>
              <w:left w:val="single" w:color="auto" w:sz="4" w:space="0"/>
              <w:right w:val="single" w:color="auto" w:sz="4" w:space="0"/>
            </w:tcBorders>
            <w:noWrap w:val="0"/>
            <w:vAlign w:val="center"/>
          </w:tcPr>
          <w:p>
            <w:pPr>
              <w:spacing w:line="240" w:lineRule="exact"/>
              <w:jc w:val="left"/>
              <w:rPr>
                <w:rFonts w:hint="eastAsia" w:ascii="宋体" w:hAnsi="宋体" w:eastAsia="宋体" w:cs="宋体"/>
                <w:color w:val="auto"/>
                <w:sz w:val="20"/>
                <w:szCs w:val="20"/>
              </w:rPr>
            </w:pPr>
          </w:p>
        </w:tc>
        <w:tc>
          <w:tcPr>
            <w:tcW w:w="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bCs/>
                <w:color w:val="auto"/>
                <w:sz w:val="20"/>
                <w:szCs w:val="20"/>
              </w:rPr>
            </w:pPr>
            <w:r>
              <w:rPr>
                <w:rFonts w:hint="eastAsia" w:ascii="宋体" w:hAnsi="宋体" w:eastAsia="宋体" w:cs="宋体"/>
                <w:b/>
                <w:bCs/>
                <w:color w:val="auto"/>
                <w:sz w:val="20"/>
                <w:szCs w:val="20"/>
              </w:rPr>
              <w:t>社会效</w:t>
            </w:r>
          </w:p>
          <w:p>
            <w:pPr>
              <w:widowControl/>
              <w:spacing w:line="240" w:lineRule="exact"/>
              <w:jc w:val="center"/>
              <w:rPr>
                <w:rFonts w:hint="eastAsia" w:ascii="宋体" w:hAnsi="宋体" w:eastAsia="宋体" w:cs="宋体"/>
                <w:color w:val="auto"/>
              </w:rPr>
            </w:pPr>
            <w:r>
              <w:rPr>
                <w:rFonts w:hint="eastAsia" w:ascii="宋体" w:hAnsi="宋体" w:eastAsia="宋体" w:cs="宋体"/>
                <w:b/>
                <w:bCs/>
                <w:color w:val="auto"/>
                <w:sz w:val="20"/>
                <w:szCs w:val="20"/>
              </w:rPr>
              <w:t>益指标</w:t>
            </w:r>
          </w:p>
          <w:p>
            <w:pPr>
              <w:widowControl/>
              <w:spacing w:line="240" w:lineRule="exact"/>
              <w:jc w:val="center"/>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10分</w:t>
            </w:r>
          </w:p>
        </w:tc>
        <w:tc>
          <w:tcPr>
            <w:tcW w:w="279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地产市场发展、商品房价格增幅在70个大中城市中排名不靠前</w:t>
            </w:r>
          </w:p>
        </w:tc>
        <w:tc>
          <w:tcPr>
            <w:tcW w:w="144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健康、平稳、合理范围</w:t>
            </w:r>
          </w:p>
        </w:tc>
        <w:tc>
          <w:tcPr>
            <w:tcW w:w="125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健康、平稳、合理范围</w:t>
            </w: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w:t>
            </w:r>
          </w:p>
        </w:tc>
        <w:tc>
          <w:tcPr>
            <w:tcW w:w="7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w:t>
            </w:r>
          </w:p>
        </w:tc>
        <w:tc>
          <w:tcPr>
            <w:tcW w:w="15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p>
        </w:tc>
      </w:tr>
      <w:tr>
        <w:tblPrEx>
          <w:tblCellMar>
            <w:top w:w="0" w:type="dxa"/>
            <w:left w:w="108" w:type="dxa"/>
            <w:bottom w:w="0" w:type="dxa"/>
            <w:right w:w="108" w:type="dxa"/>
          </w:tblCellMar>
        </w:tblPrEx>
        <w:trPr>
          <w:trHeight w:val="1490" w:hRule="atLeast"/>
          <w:jc w:val="center"/>
        </w:trPr>
        <w:tc>
          <w:tcPr>
            <w:tcW w:w="663" w:type="dxa"/>
            <w:vMerge w:val="continue"/>
            <w:tcBorders>
              <w:left w:val="single" w:color="auto" w:sz="4" w:space="0"/>
              <w:right w:val="single" w:color="auto" w:sz="4" w:space="0"/>
            </w:tcBorders>
            <w:noWrap w:val="0"/>
            <w:vAlign w:val="center"/>
          </w:tcPr>
          <w:p>
            <w:pPr>
              <w:spacing w:line="240" w:lineRule="exact"/>
              <w:jc w:val="left"/>
              <w:rPr>
                <w:rFonts w:hint="eastAsia" w:ascii="宋体" w:hAnsi="宋体" w:eastAsia="宋体" w:cs="宋体"/>
                <w:color w:val="auto"/>
                <w:sz w:val="20"/>
                <w:szCs w:val="20"/>
              </w:rPr>
            </w:pPr>
          </w:p>
        </w:tc>
        <w:tc>
          <w:tcPr>
            <w:tcW w:w="523" w:type="dxa"/>
            <w:vMerge w:val="continue"/>
            <w:tcBorders>
              <w:left w:val="single" w:color="auto" w:sz="4" w:space="0"/>
              <w:right w:val="single" w:color="auto" w:sz="4" w:space="0"/>
            </w:tcBorders>
            <w:noWrap w:val="0"/>
            <w:vAlign w:val="center"/>
          </w:tcPr>
          <w:p>
            <w:pPr>
              <w:spacing w:line="240" w:lineRule="exact"/>
              <w:jc w:val="left"/>
              <w:rPr>
                <w:rFonts w:hint="eastAsia" w:ascii="宋体" w:hAnsi="宋体" w:eastAsia="宋体" w:cs="宋体"/>
                <w:color w:val="auto"/>
                <w:sz w:val="20"/>
                <w:szCs w:val="20"/>
              </w:rPr>
            </w:pPr>
          </w:p>
        </w:tc>
        <w:tc>
          <w:tcPr>
            <w:tcW w:w="485" w:type="dxa"/>
            <w:tcBorders>
              <w:top w:val="single" w:color="auto" w:sz="4" w:space="0"/>
              <w:left w:val="nil"/>
              <w:right w:val="single" w:color="auto" w:sz="4" w:space="0"/>
            </w:tcBorders>
            <w:noWrap w:val="0"/>
            <w:vAlign w:val="center"/>
          </w:tcPr>
          <w:p>
            <w:pPr>
              <w:widowControl/>
              <w:spacing w:line="240" w:lineRule="exact"/>
              <w:jc w:val="both"/>
              <w:rPr>
                <w:rFonts w:hint="eastAsia" w:ascii="宋体" w:hAnsi="宋体" w:eastAsia="宋体" w:cs="宋体"/>
                <w:b/>
                <w:bCs/>
                <w:color w:val="auto"/>
                <w:sz w:val="20"/>
                <w:szCs w:val="20"/>
              </w:rPr>
            </w:pPr>
            <w:r>
              <w:rPr>
                <w:rFonts w:hint="eastAsia" w:ascii="宋体" w:hAnsi="宋体" w:eastAsia="宋体" w:cs="宋体"/>
                <w:b/>
                <w:bCs/>
                <w:color w:val="auto"/>
                <w:sz w:val="20"/>
                <w:szCs w:val="20"/>
              </w:rPr>
              <w:t>生态效</w:t>
            </w:r>
          </w:p>
          <w:p>
            <w:pPr>
              <w:widowControl/>
              <w:spacing w:line="240" w:lineRule="exact"/>
              <w:jc w:val="center"/>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rPr>
              <w:t>益指标</w:t>
            </w:r>
          </w:p>
        </w:tc>
        <w:tc>
          <w:tcPr>
            <w:tcW w:w="279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不适用</w:t>
            </w:r>
          </w:p>
        </w:tc>
        <w:tc>
          <w:tcPr>
            <w:tcW w:w="144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不适用</w:t>
            </w:r>
          </w:p>
        </w:tc>
        <w:tc>
          <w:tcPr>
            <w:tcW w:w="125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p>
        </w:tc>
        <w:tc>
          <w:tcPr>
            <w:tcW w:w="7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p>
        </w:tc>
        <w:tc>
          <w:tcPr>
            <w:tcW w:w="15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p>
        </w:tc>
      </w:tr>
      <w:tr>
        <w:tblPrEx>
          <w:tblCellMar>
            <w:top w:w="0" w:type="dxa"/>
            <w:left w:w="108" w:type="dxa"/>
            <w:bottom w:w="0" w:type="dxa"/>
            <w:right w:w="108" w:type="dxa"/>
          </w:tblCellMar>
        </w:tblPrEx>
        <w:trPr>
          <w:trHeight w:val="540" w:hRule="atLeast"/>
          <w:jc w:val="center"/>
        </w:trPr>
        <w:tc>
          <w:tcPr>
            <w:tcW w:w="663"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sz w:val="20"/>
                <w:szCs w:val="20"/>
              </w:rPr>
            </w:pPr>
          </w:p>
        </w:tc>
        <w:tc>
          <w:tcPr>
            <w:tcW w:w="523"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sz w:val="20"/>
                <w:szCs w:val="20"/>
              </w:rPr>
            </w:pPr>
          </w:p>
        </w:tc>
        <w:tc>
          <w:tcPr>
            <w:tcW w:w="4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bCs/>
                <w:color w:val="auto"/>
                <w:sz w:val="20"/>
                <w:szCs w:val="20"/>
              </w:rPr>
            </w:pPr>
            <w:r>
              <w:rPr>
                <w:rFonts w:hint="eastAsia" w:ascii="宋体" w:hAnsi="宋体" w:eastAsia="宋体" w:cs="宋体"/>
                <w:b/>
                <w:bCs/>
                <w:color w:val="auto"/>
                <w:sz w:val="20"/>
                <w:szCs w:val="20"/>
              </w:rPr>
              <w:t>可持续影响指标</w:t>
            </w:r>
          </w:p>
          <w:p>
            <w:pPr>
              <w:widowControl/>
              <w:spacing w:line="240" w:lineRule="exact"/>
              <w:jc w:val="center"/>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10分</w:t>
            </w: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建立房地产市场调控长效机制，落实“一城一策”城市主体责任</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可持续性</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可持续性</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p>
        </w:tc>
      </w:tr>
      <w:tr>
        <w:tblPrEx>
          <w:tblCellMar>
            <w:top w:w="0" w:type="dxa"/>
            <w:left w:w="108" w:type="dxa"/>
            <w:bottom w:w="0" w:type="dxa"/>
            <w:right w:w="108" w:type="dxa"/>
          </w:tblCellMar>
        </w:tblPrEx>
        <w:trPr>
          <w:trHeight w:val="1642" w:hRule="atLeast"/>
          <w:jc w:val="center"/>
        </w:trPr>
        <w:tc>
          <w:tcPr>
            <w:tcW w:w="663" w:type="dxa"/>
            <w:vMerge w:val="continue"/>
            <w:tcBorders>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auto"/>
                <w:sz w:val="20"/>
                <w:szCs w:val="20"/>
              </w:rPr>
            </w:pPr>
          </w:p>
        </w:tc>
        <w:tc>
          <w:tcPr>
            <w:tcW w:w="52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bCs/>
                <w:color w:val="auto"/>
                <w:sz w:val="20"/>
                <w:szCs w:val="20"/>
              </w:rPr>
            </w:pPr>
            <w:r>
              <w:rPr>
                <w:rFonts w:hint="eastAsia" w:ascii="宋体" w:hAnsi="宋体" w:eastAsia="宋体" w:cs="宋体"/>
                <w:b/>
                <w:bCs/>
                <w:color w:val="auto"/>
                <w:sz w:val="20"/>
                <w:szCs w:val="20"/>
              </w:rPr>
              <w:t>满意度</w:t>
            </w:r>
          </w:p>
          <w:p>
            <w:pPr>
              <w:widowControl/>
              <w:spacing w:line="240" w:lineRule="exact"/>
              <w:jc w:val="center"/>
              <w:rPr>
                <w:rFonts w:hint="eastAsia" w:ascii="宋体" w:hAnsi="宋体" w:eastAsia="宋体" w:cs="宋体"/>
                <w:b/>
                <w:bCs/>
                <w:color w:val="auto"/>
                <w:sz w:val="20"/>
                <w:szCs w:val="20"/>
              </w:rPr>
            </w:pPr>
            <w:r>
              <w:rPr>
                <w:rFonts w:hint="eastAsia" w:ascii="宋体" w:hAnsi="宋体" w:eastAsia="宋体" w:cs="宋体"/>
                <w:b/>
                <w:bCs/>
                <w:color w:val="auto"/>
                <w:sz w:val="20"/>
                <w:szCs w:val="20"/>
              </w:rPr>
              <w:t>指标</w:t>
            </w:r>
          </w:p>
          <w:p>
            <w:pPr>
              <w:widowControl/>
              <w:spacing w:line="240" w:lineRule="exact"/>
              <w:jc w:val="center"/>
              <w:rPr>
                <w:rFonts w:hint="eastAsia" w:ascii="宋体" w:hAnsi="宋体" w:eastAsia="宋体" w:cs="宋体"/>
                <w:color w:val="auto"/>
                <w:sz w:val="20"/>
                <w:szCs w:val="20"/>
              </w:rPr>
            </w:pPr>
            <w:r>
              <w:rPr>
                <w:rFonts w:hint="eastAsia" w:ascii="宋体" w:hAnsi="宋体" w:eastAsia="宋体" w:cs="宋体"/>
                <w:b/>
                <w:bCs/>
                <w:color w:val="auto"/>
                <w:sz w:val="15"/>
                <w:szCs w:val="15"/>
              </w:rPr>
              <w:t>（10分）</w:t>
            </w:r>
          </w:p>
        </w:tc>
        <w:tc>
          <w:tcPr>
            <w:tcW w:w="485"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rPr>
              <w:t>服务对象满意度指标</w:t>
            </w:r>
            <w:r>
              <w:rPr>
                <w:rFonts w:hint="eastAsia" w:ascii="宋体" w:hAnsi="宋体" w:eastAsia="宋体" w:cs="宋体"/>
                <w:b/>
                <w:bCs/>
                <w:color w:val="auto"/>
                <w:sz w:val="20"/>
                <w:szCs w:val="20"/>
                <w:lang w:val="en-US" w:eastAsia="zh-CN"/>
              </w:rPr>
              <w:t>10分</w:t>
            </w:r>
          </w:p>
        </w:tc>
        <w:tc>
          <w:tcPr>
            <w:tcW w:w="279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受益对象满意度</w:t>
            </w:r>
          </w:p>
        </w:tc>
        <w:tc>
          <w:tcPr>
            <w:tcW w:w="144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≥95%</w:t>
            </w:r>
          </w:p>
        </w:tc>
        <w:tc>
          <w:tcPr>
            <w:tcW w:w="125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≥95%</w:t>
            </w: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w:t>
            </w:r>
          </w:p>
        </w:tc>
        <w:tc>
          <w:tcPr>
            <w:tcW w:w="7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w:t>
            </w:r>
          </w:p>
        </w:tc>
        <w:tc>
          <w:tcPr>
            <w:tcW w:w="15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21"/>
                <w:szCs w:val="21"/>
                <w:lang w:val="en-US" w:eastAsia="zh-CN"/>
              </w:rPr>
            </w:pPr>
          </w:p>
        </w:tc>
      </w:tr>
      <w:tr>
        <w:tblPrEx>
          <w:tblCellMar>
            <w:top w:w="0" w:type="dxa"/>
            <w:left w:w="108" w:type="dxa"/>
            <w:bottom w:w="0" w:type="dxa"/>
            <w:right w:w="108" w:type="dxa"/>
          </w:tblCellMar>
        </w:tblPrEx>
        <w:trPr>
          <w:trHeight w:val="466" w:hRule="atLeast"/>
          <w:jc w:val="center"/>
        </w:trPr>
        <w:tc>
          <w:tcPr>
            <w:tcW w:w="7163"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总分</w:t>
            </w:r>
          </w:p>
        </w:tc>
        <w:tc>
          <w:tcPr>
            <w:tcW w:w="5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100</w:t>
            </w:r>
          </w:p>
        </w:tc>
        <w:tc>
          <w:tcPr>
            <w:tcW w:w="7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100</w:t>
            </w:r>
          </w:p>
        </w:tc>
        <w:tc>
          <w:tcPr>
            <w:tcW w:w="15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w:t>
            </w:r>
          </w:p>
        </w:tc>
      </w:tr>
    </w:tbl>
    <w:p>
      <w:pPr>
        <w:widowControl/>
        <w:spacing w:line="600" w:lineRule="exact"/>
        <w:ind w:left="-280" w:leftChars="-100" w:firstLine="0" w:firstLineChars="0"/>
        <w:jc w:val="left"/>
        <w:rPr>
          <w:rFonts w:hint="eastAsia" w:ascii="Times New Roman" w:hAnsi="Times New Roman" w:eastAsia="黑体" w:cs="Times New Roman"/>
          <w:color w:val="auto"/>
          <w:sz w:val="32"/>
          <w:szCs w:val="32"/>
          <w:lang w:eastAsia="zh-CN"/>
        </w:rPr>
      </w:pPr>
      <w:r>
        <w:rPr>
          <w:rFonts w:hint="eastAsia" w:ascii="宋体" w:hAnsi="宋体" w:eastAsia="宋体" w:cs="宋体"/>
          <w:color w:val="auto"/>
          <w:sz w:val="22"/>
          <w:szCs w:val="22"/>
        </w:rPr>
        <w:t>填表人：</w:t>
      </w:r>
      <w:r>
        <w:rPr>
          <w:rFonts w:hint="eastAsia" w:ascii="宋体" w:hAnsi="宋体" w:eastAsia="宋体" w:cs="宋体"/>
          <w:color w:val="auto"/>
          <w:sz w:val="22"/>
          <w:szCs w:val="22"/>
          <w:lang w:val="en-US" w:eastAsia="zh-CN"/>
        </w:rPr>
        <w:t>李佳</w:t>
      </w:r>
      <w:r>
        <w:rPr>
          <w:rFonts w:hint="eastAsia" w:ascii="宋体" w:hAnsi="宋体" w:eastAsia="宋体" w:cs="宋体"/>
          <w:color w:val="auto"/>
          <w:sz w:val="22"/>
          <w:szCs w:val="22"/>
        </w:rPr>
        <w:t xml:space="preserve"> </w:t>
      </w:r>
      <w:r>
        <w:rPr>
          <w:rFonts w:hint="eastAsia" w:ascii="宋体" w:hAnsi="宋体" w:eastAsia="宋体" w:cs="宋体"/>
          <w:color w:val="auto"/>
          <w:sz w:val="22"/>
          <w:szCs w:val="22"/>
          <w:lang w:val="en-US" w:eastAsia="zh-CN"/>
        </w:rPr>
        <w:t xml:space="preserve"> </w:t>
      </w:r>
      <w:r>
        <w:rPr>
          <w:rFonts w:hint="eastAsia" w:ascii="宋体" w:hAnsi="宋体" w:eastAsia="宋体" w:cs="宋体"/>
          <w:color w:val="auto"/>
          <w:sz w:val="22"/>
          <w:szCs w:val="22"/>
        </w:rPr>
        <w:t>填报日期：</w:t>
      </w:r>
      <w:r>
        <w:rPr>
          <w:rFonts w:hint="eastAsia" w:ascii="宋体" w:hAnsi="宋体" w:eastAsia="宋体" w:cs="宋体"/>
          <w:color w:val="auto"/>
          <w:sz w:val="22"/>
          <w:szCs w:val="22"/>
          <w:lang w:val="en-US" w:eastAsia="zh-CN"/>
        </w:rPr>
        <w:t>2023年7月14日</w:t>
      </w:r>
      <w:r>
        <w:rPr>
          <w:rFonts w:hint="eastAsia" w:ascii="宋体" w:hAnsi="宋体" w:eastAsia="宋体" w:cs="宋体"/>
          <w:color w:val="auto"/>
          <w:sz w:val="22"/>
          <w:szCs w:val="22"/>
        </w:rPr>
        <w:t xml:space="preserve"> </w:t>
      </w:r>
      <w:r>
        <w:rPr>
          <w:rFonts w:hint="eastAsia" w:ascii="宋体" w:hAnsi="宋体" w:eastAsia="宋体" w:cs="宋体"/>
          <w:color w:val="auto"/>
          <w:sz w:val="22"/>
          <w:szCs w:val="22"/>
          <w:lang w:val="en-US" w:eastAsia="zh-CN"/>
        </w:rPr>
        <w:t xml:space="preserve"> </w:t>
      </w:r>
      <w:r>
        <w:rPr>
          <w:rFonts w:hint="eastAsia" w:ascii="宋体" w:hAnsi="宋体" w:eastAsia="宋体" w:cs="宋体"/>
          <w:color w:val="auto"/>
          <w:sz w:val="22"/>
          <w:szCs w:val="22"/>
        </w:rPr>
        <w:t>联系电话：</w:t>
      </w:r>
      <w:r>
        <w:rPr>
          <w:rFonts w:hint="eastAsia" w:ascii="宋体" w:hAnsi="宋体" w:eastAsia="宋体" w:cs="宋体"/>
          <w:color w:val="auto"/>
          <w:sz w:val="22"/>
          <w:szCs w:val="22"/>
          <w:lang w:val="en-US" w:eastAsia="zh-CN"/>
        </w:rPr>
        <w:t xml:space="preserve">8758088   </w:t>
      </w:r>
      <w:r>
        <w:rPr>
          <w:rFonts w:hint="eastAsia" w:ascii="宋体" w:hAnsi="宋体" w:eastAsia="宋体" w:cs="宋体"/>
          <w:color w:val="auto"/>
          <w:sz w:val="22"/>
          <w:szCs w:val="22"/>
        </w:rPr>
        <w:t>单位负责人签字：</w:t>
      </w:r>
      <w:r>
        <w:rPr>
          <w:rFonts w:hint="default" w:ascii="Times New Roman" w:hAnsi="Times New Roman" w:eastAsia="仿宋_GB2312" w:cs="Times New Roman"/>
          <w:color w:val="auto"/>
          <w:sz w:val="22"/>
          <w:szCs w:val="22"/>
        </w:rPr>
        <w:br w:type="page"/>
      </w: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p>
    <w:p>
      <w:pPr>
        <w:widowControl/>
        <w:spacing w:line="600" w:lineRule="exact"/>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202</w:t>
      </w:r>
      <w:r>
        <w:rPr>
          <w:rFonts w:hint="eastAsia" w:ascii="方正小标宋简体" w:hAnsi="方正小标宋简体" w:eastAsia="方正小标宋简体" w:cs="方正小标宋简体"/>
          <w:color w:val="auto"/>
          <w:sz w:val="36"/>
          <w:szCs w:val="36"/>
          <w:lang w:val="en-US" w:eastAsia="zh-CN"/>
        </w:rPr>
        <w:t>2</w:t>
      </w:r>
      <w:r>
        <w:rPr>
          <w:rFonts w:hint="eastAsia" w:ascii="方正小标宋简体" w:hAnsi="方正小标宋简体" w:eastAsia="方正小标宋简体" w:cs="方正小标宋简体"/>
          <w:color w:val="auto"/>
          <w:sz w:val="36"/>
          <w:szCs w:val="36"/>
        </w:rPr>
        <w:t>年度项目支出绩效自评表</w:t>
      </w:r>
    </w:p>
    <w:tbl>
      <w:tblPr>
        <w:tblStyle w:val="9"/>
        <w:tblW w:w="9981" w:type="dxa"/>
        <w:jc w:val="center"/>
        <w:tblLayout w:type="autofit"/>
        <w:tblCellMar>
          <w:top w:w="0" w:type="dxa"/>
          <w:left w:w="108" w:type="dxa"/>
          <w:bottom w:w="0" w:type="dxa"/>
          <w:right w:w="108" w:type="dxa"/>
        </w:tblCellMar>
      </w:tblPr>
      <w:tblGrid>
        <w:gridCol w:w="1045"/>
        <w:gridCol w:w="1047"/>
        <w:gridCol w:w="1030"/>
        <w:gridCol w:w="1177"/>
        <w:gridCol w:w="1266"/>
        <w:gridCol w:w="1266"/>
        <w:gridCol w:w="804"/>
        <w:gridCol w:w="870"/>
        <w:gridCol w:w="1476"/>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出名称</w:t>
            </w:r>
          </w:p>
        </w:tc>
        <w:tc>
          <w:tcPr>
            <w:tcW w:w="8936"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房产开发事务管理经费　</w:t>
            </w:r>
          </w:p>
        </w:tc>
      </w:tr>
      <w:tr>
        <w:tblPrEx>
          <w:tblCellMar>
            <w:top w:w="0" w:type="dxa"/>
            <w:left w:w="108" w:type="dxa"/>
            <w:bottom w:w="0" w:type="dxa"/>
            <w:right w:w="108" w:type="dxa"/>
          </w:tblCellMar>
        </w:tblPrEx>
        <w:trPr>
          <w:jc w:val="center"/>
        </w:trPr>
        <w:tc>
          <w:tcPr>
            <w:tcW w:w="104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主管部门</w:t>
            </w:r>
          </w:p>
        </w:tc>
        <w:tc>
          <w:tcPr>
            <w:tcW w:w="452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岳阳市住房和城乡建设局</w:t>
            </w:r>
          </w:p>
        </w:tc>
        <w:tc>
          <w:tcPr>
            <w:tcW w:w="1266"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实施单位</w:t>
            </w:r>
          </w:p>
        </w:tc>
        <w:tc>
          <w:tcPr>
            <w:tcW w:w="315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w:t>
            </w:r>
            <w:r>
              <w:rPr>
                <w:rFonts w:hint="eastAsia" w:ascii="宋体" w:hAnsi="宋体" w:eastAsia="宋体" w:cs="宋体"/>
                <w:color w:val="auto"/>
                <w:sz w:val="21"/>
                <w:szCs w:val="21"/>
                <w:lang w:val="en-US" w:eastAsia="zh-CN"/>
              </w:rPr>
              <w:t>岳阳市房地产市场服务中心</w:t>
            </w:r>
          </w:p>
        </w:tc>
      </w:tr>
      <w:tr>
        <w:tblPrEx>
          <w:tblCellMar>
            <w:top w:w="0" w:type="dxa"/>
            <w:left w:w="108" w:type="dxa"/>
            <w:bottom w:w="0" w:type="dxa"/>
            <w:right w:w="108" w:type="dxa"/>
          </w:tblCellMar>
        </w:tblPrEx>
        <w:trPr>
          <w:jc w:val="center"/>
        </w:trPr>
        <w:tc>
          <w:tcPr>
            <w:tcW w:w="1045"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项目资金</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（万元）</w:t>
            </w:r>
          </w:p>
        </w:tc>
        <w:tc>
          <w:tcPr>
            <w:tcW w:w="207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1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预算数</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预算数</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执行数</w:t>
            </w:r>
          </w:p>
        </w:tc>
        <w:tc>
          <w:tcPr>
            <w:tcW w:w="80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执行率</w:t>
            </w:r>
          </w:p>
        </w:tc>
        <w:tc>
          <w:tcPr>
            <w:tcW w:w="147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得分</w:t>
            </w:r>
          </w:p>
        </w:tc>
      </w:tr>
      <w:tr>
        <w:tblPrEx>
          <w:tblCellMar>
            <w:top w:w="0" w:type="dxa"/>
            <w:left w:w="108" w:type="dxa"/>
            <w:bottom w:w="0" w:type="dxa"/>
            <w:right w:w="108" w:type="dxa"/>
          </w:tblCellMar>
        </w:tblPrEx>
        <w:trPr>
          <w:jc w:val="center"/>
        </w:trPr>
        <w:tc>
          <w:tcPr>
            <w:tcW w:w="104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rPr>
            </w:pPr>
          </w:p>
        </w:tc>
        <w:tc>
          <w:tcPr>
            <w:tcW w:w="207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年度资金总额</w:t>
            </w:r>
          </w:p>
        </w:tc>
        <w:tc>
          <w:tcPr>
            <w:tcW w:w="11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35.9</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35.9</w:t>
            </w:r>
          </w:p>
        </w:tc>
        <w:tc>
          <w:tcPr>
            <w:tcW w:w="8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99.72%</w:t>
            </w:r>
          </w:p>
        </w:tc>
        <w:tc>
          <w:tcPr>
            <w:tcW w:w="14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9.97</w:t>
            </w:r>
          </w:p>
        </w:tc>
      </w:tr>
      <w:tr>
        <w:tblPrEx>
          <w:tblCellMar>
            <w:top w:w="0" w:type="dxa"/>
            <w:left w:w="108" w:type="dxa"/>
            <w:bottom w:w="0" w:type="dxa"/>
            <w:right w:w="108" w:type="dxa"/>
          </w:tblCellMar>
        </w:tblPrEx>
        <w:trPr>
          <w:jc w:val="center"/>
        </w:trPr>
        <w:tc>
          <w:tcPr>
            <w:tcW w:w="104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rPr>
            </w:pPr>
          </w:p>
        </w:tc>
        <w:tc>
          <w:tcPr>
            <w:tcW w:w="207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其中：当年财政拨款</w:t>
            </w:r>
          </w:p>
        </w:tc>
        <w:tc>
          <w:tcPr>
            <w:tcW w:w="11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35.9</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35.9</w:t>
            </w:r>
          </w:p>
        </w:tc>
        <w:tc>
          <w:tcPr>
            <w:tcW w:w="8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99.72</w:t>
            </w:r>
          </w:p>
        </w:tc>
        <w:tc>
          <w:tcPr>
            <w:tcW w:w="14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9.97</w:t>
            </w:r>
          </w:p>
        </w:tc>
      </w:tr>
      <w:tr>
        <w:tblPrEx>
          <w:tblCellMar>
            <w:top w:w="0" w:type="dxa"/>
            <w:left w:w="108" w:type="dxa"/>
            <w:bottom w:w="0" w:type="dxa"/>
            <w:right w:w="108" w:type="dxa"/>
          </w:tblCellMar>
        </w:tblPrEx>
        <w:trPr>
          <w:jc w:val="center"/>
        </w:trPr>
        <w:tc>
          <w:tcPr>
            <w:tcW w:w="104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rPr>
            </w:pPr>
          </w:p>
        </w:tc>
        <w:tc>
          <w:tcPr>
            <w:tcW w:w="207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上年结转资金</w:t>
            </w:r>
          </w:p>
        </w:tc>
        <w:tc>
          <w:tcPr>
            <w:tcW w:w="11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p>
        </w:tc>
        <w:tc>
          <w:tcPr>
            <w:tcW w:w="8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tc>
        <w:tc>
          <w:tcPr>
            <w:tcW w:w="14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tc>
      </w:tr>
      <w:tr>
        <w:tblPrEx>
          <w:tblCellMar>
            <w:top w:w="0" w:type="dxa"/>
            <w:left w:w="108" w:type="dxa"/>
            <w:bottom w:w="0" w:type="dxa"/>
            <w:right w:w="108" w:type="dxa"/>
          </w:tblCellMar>
        </w:tblPrEx>
        <w:trPr>
          <w:jc w:val="center"/>
        </w:trPr>
        <w:tc>
          <w:tcPr>
            <w:tcW w:w="104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rPr>
            </w:pPr>
          </w:p>
        </w:tc>
        <w:tc>
          <w:tcPr>
            <w:tcW w:w="207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其他资金</w:t>
            </w:r>
          </w:p>
        </w:tc>
        <w:tc>
          <w:tcPr>
            <w:tcW w:w="11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p>
        </w:tc>
        <w:tc>
          <w:tcPr>
            <w:tcW w:w="8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tc>
        <w:tc>
          <w:tcPr>
            <w:tcW w:w="14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tc>
      </w:tr>
      <w:tr>
        <w:tblPrEx>
          <w:tblCellMar>
            <w:top w:w="0" w:type="dxa"/>
            <w:left w:w="108" w:type="dxa"/>
            <w:bottom w:w="0" w:type="dxa"/>
            <w:right w:w="108" w:type="dxa"/>
          </w:tblCellMar>
        </w:tblPrEx>
        <w:trPr>
          <w:jc w:val="center"/>
        </w:trPr>
        <w:tc>
          <w:tcPr>
            <w:tcW w:w="1045"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年度总体目标</w:t>
            </w:r>
          </w:p>
        </w:tc>
        <w:tc>
          <w:tcPr>
            <w:tcW w:w="4520"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预期目标</w:t>
            </w:r>
          </w:p>
        </w:tc>
        <w:tc>
          <w:tcPr>
            <w:tcW w:w="441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实际完成情况　</w:t>
            </w:r>
          </w:p>
        </w:tc>
      </w:tr>
      <w:tr>
        <w:tblPrEx>
          <w:tblCellMar>
            <w:top w:w="0" w:type="dxa"/>
            <w:left w:w="108" w:type="dxa"/>
            <w:bottom w:w="0" w:type="dxa"/>
            <w:right w:w="108" w:type="dxa"/>
          </w:tblCellMar>
        </w:tblPrEx>
        <w:trPr>
          <w:jc w:val="center"/>
        </w:trPr>
        <w:tc>
          <w:tcPr>
            <w:tcW w:w="104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rPr>
            </w:pPr>
          </w:p>
        </w:tc>
        <w:tc>
          <w:tcPr>
            <w:tcW w:w="4520"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完成市政府下达化解信访突出问题楼盘办证工作。</w:t>
            </w:r>
            <w:r>
              <w:rPr>
                <w:rFonts w:hint="eastAsia" w:ascii="宋体" w:hAnsi="宋体" w:eastAsia="宋体" w:cs="宋体"/>
                <w:color w:val="auto"/>
                <w:sz w:val="21"/>
                <w:szCs w:val="21"/>
              </w:rPr>
              <w:t>　　</w:t>
            </w:r>
          </w:p>
        </w:tc>
        <w:tc>
          <w:tcPr>
            <w:tcW w:w="441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及时</w:t>
            </w:r>
            <w:r>
              <w:rPr>
                <w:rFonts w:hint="eastAsia" w:ascii="宋体" w:hAnsi="宋体" w:eastAsia="宋体" w:cs="宋体"/>
                <w:color w:val="auto"/>
                <w:sz w:val="21"/>
                <w:szCs w:val="21"/>
              </w:rPr>
              <w:t>完成</w:t>
            </w:r>
            <w:r>
              <w:rPr>
                <w:rFonts w:hint="eastAsia" w:ascii="宋体" w:hAnsi="宋体" w:eastAsia="宋体" w:cs="宋体"/>
                <w:color w:val="auto"/>
                <w:sz w:val="21"/>
                <w:szCs w:val="21"/>
                <w:lang w:val="en-US" w:eastAsia="zh-CN"/>
              </w:rPr>
              <w:t>了</w:t>
            </w:r>
            <w:r>
              <w:rPr>
                <w:rFonts w:hint="eastAsia" w:ascii="宋体" w:hAnsi="宋体" w:eastAsia="宋体" w:cs="宋体"/>
                <w:color w:val="auto"/>
                <w:sz w:val="21"/>
                <w:szCs w:val="21"/>
              </w:rPr>
              <w:t>市政府下达化解信访突出问题楼盘办证工作。</w:t>
            </w:r>
          </w:p>
        </w:tc>
      </w:tr>
      <w:tr>
        <w:tblPrEx>
          <w:tblCellMar>
            <w:top w:w="0" w:type="dxa"/>
            <w:left w:w="108" w:type="dxa"/>
            <w:bottom w:w="0" w:type="dxa"/>
            <w:right w:w="108" w:type="dxa"/>
          </w:tblCellMar>
        </w:tblPrEx>
        <w:trPr>
          <w:trHeight w:val="707" w:hRule="atLeast"/>
          <w:jc w:val="center"/>
        </w:trPr>
        <w:tc>
          <w:tcPr>
            <w:tcW w:w="1045"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标</w:t>
            </w:r>
          </w:p>
        </w:tc>
        <w:tc>
          <w:tcPr>
            <w:tcW w:w="104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一级指标</w:t>
            </w:r>
          </w:p>
        </w:tc>
        <w:tc>
          <w:tcPr>
            <w:tcW w:w="10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二级指标</w:t>
            </w:r>
          </w:p>
        </w:tc>
        <w:tc>
          <w:tcPr>
            <w:tcW w:w="11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三级指标</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指标值</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完成值</w:t>
            </w:r>
          </w:p>
        </w:tc>
        <w:tc>
          <w:tcPr>
            <w:tcW w:w="8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得分</w:t>
            </w:r>
          </w:p>
        </w:tc>
        <w:tc>
          <w:tcPr>
            <w:tcW w:w="14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偏差原因分析及改进措施</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tc>
        <w:tc>
          <w:tcPr>
            <w:tcW w:w="1047"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(50分)</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数量</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20分</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建立住房领域统一业务服务平台</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8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14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tc>
        <w:tc>
          <w:tcPr>
            <w:tcW w:w="1047"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质量指标</w:t>
            </w:r>
            <w:r>
              <w:rPr>
                <w:rFonts w:hint="eastAsia" w:ascii="宋体" w:hAnsi="宋体" w:eastAsia="宋体" w:cs="宋体"/>
                <w:color w:val="auto"/>
                <w:sz w:val="21"/>
                <w:szCs w:val="21"/>
                <w:lang w:val="en-US" w:eastAsia="zh-CN"/>
              </w:rPr>
              <w:t>15分</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房地产办证及时率</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≥95%</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w:t>
            </w:r>
          </w:p>
        </w:tc>
        <w:tc>
          <w:tcPr>
            <w:tcW w:w="8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14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tc>
        <w:tc>
          <w:tcPr>
            <w:tcW w:w="1047"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时效指标</w:t>
            </w:r>
            <w:r>
              <w:rPr>
                <w:rFonts w:hint="eastAsia" w:ascii="宋体" w:hAnsi="宋体" w:eastAsia="宋体" w:cs="宋体"/>
                <w:color w:val="auto"/>
                <w:sz w:val="21"/>
                <w:szCs w:val="21"/>
                <w:lang w:val="en-US" w:eastAsia="zh-CN"/>
              </w:rPr>
              <w:t>10分</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在当年度内完成</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2022/12/31日之前</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2022/12/31日之前</w:t>
            </w:r>
          </w:p>
        </w:tc>
        <w:tc>
          <w:tcPr>
            <w:tcW w:w="8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4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tc>
        <w:tc>
          <w:tcPr>
            <w:tcW w:w="1047"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成本指标</w:t>
            </w:r>
            <w:r>
              <w:rPr>
                <w:rFonts w:hint="eastAsia" w:ascii="宋体" w:hAnsi="宋体" w:eastAsia="宋体" w:cs="宋体"/>
                <w:color w:val="auto"/>
                <w:sz w:val="21"/>
                <w:szCs w:val="21"/>
                <w:lang w:val="en-US" w:eastAsia="zh-CN"/>
              </w:rPr>
              <w:t>5分</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在预算内完成</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36万元</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35.9万元</w:t>
            </w:r>
          </w:p>
        </w:tc>
        <w:tc>
          <w:tcPr>
            <w:tcW w:w="8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4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tc>
        <w:tc>
          <w:tcPr>
            <w:tcW w:w="1047"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效益指标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（30分）</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益指标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10分</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反向促进经济发展</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经济平稳发展</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经济平稳发展</w:t>
            </w:r>
          </w:p>
        </w:tc>
        <w:tc>
          <w:tcPr>
            <w:tcW w:w="8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p>
        </w:tc>
        <w:tc>
          <w:tcPr>
            <w:tcW w:w="14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tc>
        <w:tc>
          <w:tcPr>
            <w:tcW w:w="1047"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益指标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10分</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补贴/奖励人群生活改善情况</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有所提升</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有所提升</w:t>
            </w:r>
          </w:p>
        </w:tc>
        <w:tc>
          <w:tcPr>
            <w:tcW w:w="8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4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tc>
        <w:tc>
          <w:tcPr>
            <w:tcW w:w="1047"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益指标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5分</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生态环境改善情况</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有所改善</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有所改善</w:t>
            </w:r>
          </w:p>
        </w:tc>
        <w:tc>
          <w:tcPr>
            <w:tcW w:w="8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p>
        </w:tc>
        <w:tc>
          <w:tcPr>
            <w:tcW w:w="14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tc>
        <w:tc>
          <w:tcPr>
            <w:tcW w:w="1047"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可持续影响指标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5分</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建立房地产市场调控长效机制，落实“一城一策”城市主体责任</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可持续性</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可持续性</w:t>
            </w: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tc>
        <w:tc>
          <w:tcPr>
            <w:tcW w:w="1047"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（10分）</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服务对象满意度指标</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益对象满意度</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≥95%</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w:t>
            </w:r>
          </w:p>
        </w:tc>
        <w:tc>
          <w:tcPr>
            <w:tcW w:w="8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p>
        </w:tc>
        <w:tc>
          <w:tcPr>
            <w:tcW w:w="14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tc>
      </w:tr>
      <w:tr>
        <w:tblPrEx>
          <w:tblCellMar>
            <w:top w:w="0" w:type="dxa"/>
            <w:left w:w="108" w:type="dxa"/>
            <w:bottom w:w="0" w:type="dxa"/>
            <w:right w:w="108" w:type="dxa"/>
          </w:tblCellMar>
        </w:tblPrEx>
        <w:trPr>
          <w:jc w:val="center"/>
        </w:trPr>
        <w:tc>
          <w:tcPr>
            <w:tcW w:w="6831"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总分</w:t>
            </w:r>
          </w:p>
        </w:tc>
        <w:tc>
          <w:tcPr>
            <w:tcW w:w="8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99.97</w:t>
            </w:r>
          </w:p>
        </w:tc>
        <w:tc>
          <w:tcPr>
            <w:tcW w:w="14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p>
        </w:tc>
      </w:tr>
    </w:tbl>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备注：一个一级项目支出一张表。</w:t>
      </w:r>
      <w:r>
        <w:rPr>
          <w:rFonts w:hint="eastAsia" w:ascii="宋体" w:hAnsi="宋体" w:eastAsia="宋体" w:cs="宋体"/>
          <w:color w:val="auto"/>
          <w:sz w:val="21"/>
          <w:szCs w:val="21"/>
          <w:lang w:eastAsia="zh-CN"/>
        </w:rPr>
        <w:t>如，</w:t>
      </w:r>
      <w:r>
        <w:rPr>
          <w:rFonts w:hint="eastAsia" w:ascii="宋体" w:hAnsi="宋体" w:eastAsia="宋体" w:cs="宋体"/>
          <w:color w:val="auto"/>
          <w:sz w:val="21"/>
          <w:szCs w:val="21"/>
        </w:rPr>
        <w:t>业务工作经费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运行维护经费</w:t>
      </w:r>
      <w:r>
        <w:rPr>
          <w:rFonts w:hint="eastAsia" w:ascii="宋体" w:hAnsi="宋体" w:eastAsia="宋体" w:cs="宋体"/>
          <w:color w:val="auto"/>
          <w:sz w:val="21"/>
          <w:szCs w:val="21"/>
          <w:lang w:eastAsia="zh-CN"/>
        </w:rPr>
        <w:t>，其他事业发展类资金…各一张表。</w:t>
      </w:r>
    </w:p>
    <w:p>
      <w:pPr>
        <w:rPr>
          <w:rFonts w:hint="default" w:ascii="Times New Roman" w:hAnsi="Times New Roman" w:eastAsia="仿宋_GB2312" w:cs="Times New Roman"/>
          <w:color w:val="auto"/>
          <w:sz w:val="22"/>
          <w:szCs w:val="22"/>
        </w:rPr>
      </w:pPr>
      <w:r>
        <w:rPr>
          <w:rFonts w:hint="eastAsia" w:ascii="宋体" w:hAnsi="宋体" w:eastAsia="宋体" w:cs="宋体"/>
          <w:color w:val="auto"/>
          <w:sz w:val="21"/>
          <w:szCs w:val="21"/>
        </w:rPr>
        <w:t>填表人：</w:t>
      </w:r>
      <w:r>
        <w:rPr>
          <w:rFonts w:hint="eastAsia" w:ascii="宋体" w:hAnsi="宋体" w:cs="宋体"/>
          <w:color w:val="auto"/>
          <w:sz w:val="21"/>
          <w:szCs w:val="21"/>
          <w:lang w:val="en-US" w:eastAsia="zh-CN"/>
        </w:rPr>
        <w:t>李佳</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填报日期：</w:t>
      </w:r>
      <w:r>
        <w:rPr>
          <w:rFonts w:hint="eastAsia" w:ascii="宋体" w:hAnsi="宋体" w:cs="宋体"/>
          <w:color w:val="auto"/>
          <w:sz w:val="21"/>
          <w:szCs w:val="21"/>
          <w:lang w:val="en-US" w:eastAsia="zh-CN"/>
        </w:rPr>
        <w:t>2023年7月14日</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联系电话：</w:t>
      </w:r>
      <w:r>
        <w:rPr>
          <w:rFonts w:hint="eastAsia" w:ascii="宋体" w:hAnsi="宋体" w:cs="宋体"/>
          <w:color w:val="auto"/>
          <w:sz w:val="21"/>
          <w:szCs w:val="21"/>
          <w:lang w:val="en-US" w:eastAsia="zh-CN"/>
        </w:rPr>
        <w:t>8758088</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单位负责人签字：</w:t>
      </w:r>
    </w:p>
    <w:p>
      <w:pPr>
        <w:spacing w:before="104" w:line="224" w:lineRule="auto"/>
        <w:ind w:left="54"/>
        <w:rPr>
          <w:rFonts w:ascii="黑体" w:hAnsi="黑体" w:eastAsia="黑体" w:cs="黑体"/>
          <w:color w:val="auto"/>
          <w:sz w:val="32"/>
          <w:szCs w:val="32"/>
        </w:rPr>
      </w:pPr>
      <w:r>
        <w:rPr>
          <w:rFonts w:ascii="黑体" w:hAnsi="黑体" w:eastAsia="黑体" w:cs="黑体"/>
          <w:b/>
          <w:bCs/>
          <w:color w:val="auto"/>
          <w:spacing w:val="15"/>
          <w:sz w:val="32"/>
          <w:szCs w:val="32"/>
        </w:rPr>
        <w:t>附件4</w:t>
      </w:r>
    </w:p>
    <w:p>
      <w:pPr>
        <w:spacing w:line="317" w:lineRule="auto"/>
        <w:rPr>
          <w:rFonts w:ascii="Arial"/>
          <w:color w:val="auto"/>
          <w:sz w:val="21"/>
        </w:rPr>
      </w:pPr>
    </w:p>
    <w:p>
      <w:pPr>
        <w:spacing w:line="317" w:lineRule="auto"/>
        <w:rPr>
          <w:rFonts w:ascii="Arial"/>
          <w:color w:val="auto"/>
          <w:sz w:val="21"/>
        </w:rPr>
      </w:pPr>
    </w:p>
    <w:p>
      <w:pPr>
        <w:spacing w:line="317" w:lineRule="auto"/>
        <w:rPr>
          <w:rFonts w:ascii="Arial"/>
          <w:color w:val="auto"/>
          <w:sz w:val="21"/>
        </w:rPr>
      </w:pPr>
    </w:p>
    <w:p>
      <w:pPr>
        <w:spacing w:before="143" w:line="767" w:lineRule="exact"/>
        <w:jc w:val="center"/>
        <w:rPr>
          <w:rFonts w:hint="eastAsia" w:ascii="方正小标宋简体" w:hAnsi="方正小标宋简体" w:eastAsia="方正小标宋简体" w:cs="方正小标宋简体"/>
          <w:b w:val="0"/>
          <w:bCs w:val="0"/>
          <w:color w:val="auto"/>
          <w:spacing w:val="22"/>
          <w:position w:val="23"/>
          <w:sz w:val="44"/>
          <w:szCs w:val="44"/>
          <w:lang w:val="en-US" w:eastAsia="zh-CN"/>
        </w:rPr>
      </w:pPr>
      <w:r>
        <w:rPr>
          <w:rFonts w:hint="eastAsia" w:ascii="方正小标宋简体" w:hAnsi="方正小标宋简体" w:eastAsia="方正小标宋简体" w:cs="方正小标宋简体"/>
          <w:b w:val="0"/>
          <w:bCs w:val="0"/>
          <w:color w:val="auto"/>
          <w:spacing w:val="22"/>
          <w:position w:val="23"/>
          <w:sz w:val="44"/>
          <w:szCs w:val="44"/>
        </w:rPr>
        <w:t>2022年度</w:t>
      </w:r>
      <w:r>
        <w:rPr>
          <w:rFonts w:hint="eastAsia" w:ascii="方正小标宋简体" w:hAnsi="方正小标宋简体" w:eastAsia="方正小标宋简体" w:cs="方正小标宋简体"/>
          <w:b w:val="0"/>
          <w:bCs w:val="0"/>
          <w:color w:val="auto"/>
          <w:spacing w:val="22"/>
          <w:position w:val="23"/>
          <w:sz w:val="44"/>
          <w:szCs w:val="44"/>
          <w:lang w:val="en-US" w:eastAsia="zh-CN"/>
        </w:rPr>
        <w:t>岳阳市房地产市场服务中心</w:t>
      </w:r>
    </w:p>
    <w:p>
      <w:pPr>
        <w:spacing w:before="143" w:line="767"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pacing w:val="22"/>
          <w:position w:val="23"/>
          <w:sz w:val="44"/>
          <w:szCs w:val="44"/>
        </w:rPr>
        <w:t>部门(单位)整体支出</w:t>
      </w:r>
    </w:p>
    <w:p>
      <w:pPr>
        <w:spacing w:before="2" w:line="217" w:lineRule="auto"/>
        <w:ind w:left="3076" w:firstLine="848" w:firstLineChars="200"/>
        <w:jc w:val="both"/>
        <w:rPr>
          <w:rFonts w:hint="eastAsia" w:ascii="方正小标宋简体" w:hAnsi="方正小标宋简体" w:eastAsia="方正小标宋简体" w:cs="方正小标宋简体"/>
          <w:b w:val="0"/>
          <w:bCs w:val="0"/>
          <w:color w:val="auto"/>
          <w:spacing w:val="-8"/>
          <w:sz w:val="44"/>
          <w:szCs w:val="44"/>
        </w:rPr>
      </w:pPr>
    </w:p>
    <w:p>
      <w:pPr>
        <w:spacing w:before="2" w:line="217" w:lineRule="auto"/>
        <w:ind w:left="3076" w:firstLine="848" w:firstLineChars="200"/>
        <w:jc w:val="both"/>
        <w:rPr>
          <w:rFonts w:hint="eastAsia" w:ascii="方正小标宋简体" w:hAnsi="方正小标宋简体" w:eastAsia="方正小标宋简体" w:cs="方正小标宋简体"/>
          <w:b w:val="0"/>
          <w:bCs w:val="0"/>
          <w:color w:val="auto"/>
          <w:spacing w:val="-8"/>
          <w:sz w:val="44"/>
          <w:szCs w:val="44"/>
        </w:rPr>
      </w:pPr>
      <w:r>
        <w:rPr>
          <w:rFonts w:hint="eastAsia" w:ascii="方正小标宋简体" w:hAnsi="方正小标宋简体" w:eastAsia="方正小标宋简体" w:cs="方正小标宋简体"/>
          <w:b w:val="0"/>
          <w:bCs w:val="0"/>
          <w:color w:val="auto"/>
          <w:spacing w:val="-8"/>
          <w:sz w:val="44"/>
          <w:szCs w:val="44"/>
        </w:rPr>
        <w:t>绩</w:t>
      </w:r>
    </w:p>
    <w:p>
      <w:pPr>
        <w:spacing w:before="2" w:line="217" w:lineRule="auto"/>
        <w:ind w:left="3076" w:firstLine="848" w:firstLineChars="200"/>
        <w:jc w:val="both"/>
        <w:rPr>
          <w:rFonts w:hint="eastAsia" w:ascii="方正小标宋简体" w:hAnsi="方正小标宋简体" w:eastAsia="方正小标宋简体" w:cs="方正小标宋简体"/>
          <w:b w:val="0"/>
          <w:bCs w:val="0"/>
          <w:color w:val="auto"/>
          <w:spacing w:val="-8"/>
          <w:sz w:val="44"/>
          <w:szCs w:val="44"/>
        </w:rPr>
      </w:pPr>
      <w:r>
        <w:rPr>
          <w:rFonts w:hint="eastAsia" w:ascii="方正小标宋简体" w:hAnsi="方正小标宋简体" w:eastAsia="方正小标宋简体" w:cs="方正小标宋简体"/>
          <w:b w:val="0"/>
          <w:bCs w:val="0"/>
          <w:color w:val="auto"/>
          <w:spacing w:val="-8"/>
          <w:sz w:val="44"/>
          <w:szCs w:val="44"/>
        </w:rPr>
        <w:t>效</w:t>
      </w:r>
    </w:p>
    <w:p>
      <w:pPr>
        <w:spacing w:before="2" w:line="217" w:lineRule="auto"/>
        <w:ind w:left="3076" w:firstLine="848" w:firstLineChars="200"/>
        <w:jc w:val="both"/>
        <w:rPr>
          <w:rFonts w:hint="eastAsia" w:ascii="方正小标宋简体" w:hAnsi="方正小标宋简体" w:eastAsia="方正小标宋简体" w:cs="方正小标宋简体"/>
          <w:b w:val="0"/>
          <w:bCs w:val="0"/>
          <w:color w:val="auto"/>
          <w:spacing w:val="-8"/>
          <w:sz w:val="44"/>
          <w:szCs w:val="44"/>
        </w:rPr>
      </w:pPr>
      <w:r>
        <w:rPr>
          <w:rFonts w:hint="eastAsia" w:ascii="方正小标宋简体" w:hAnsi="方正小标宋简体" w:eastAsia="方正小标宋简体" w:cs="方正小标宋简体"/>
          <w:b w:val="0"/>
          <w:bCs w:val="0"/>
          <w:color w:val="auto"/>
          <w:spacing w:val="-8"/>
          <w:sz w:val="44"/>
          <w:szCs w:val="44"/>
        </w:rPr>
        <w:t>自</w:t>
      </w:r>
    </w:p>
    <w:p>
      <w:pPr>
        <w:spacing w:before="2" w:line="217" w:lineRule="auto"/>
        <w:ind w:left="3076" w:firstLine="848" w:firstLineChars="200"/>
        <w:jc w:val="both"/>
        <w:rPr>
          <w:rFonts w:hint="eastAsia" w:ascii="方正小标宋简体" w:hAnsi="方正小标宋简体" w:eastAsia="方正小标宋简体" w:cs="方正小标宋简体"/>
          <w:b w:val="0"/>
          <w:bCs w:val="0"/>
          <w:color w:val="auto"/>
          <w:spacing w:val="-8"/>
          <w:sz w:val="44"/>
          <w:szCs w:val="44"/>
        </w:rPr>
      </w:pPr>
      <w:r>
        <w:rPr>
          <w:rFonts w:hint="eastAsia" w:ascii="方正小标宋简体" w:hAnsi="方正小标宋简体" w:eastAsia="方正小标宋简体" w:cs="方正小标宋简体"/>
          <w:b w:val="0"/>
          <w:bCs w:val="0"/>
          <w:color w:val="auto"/>
          <w:spacing w:val="-8"/>
          <w:sz w:val="44"/>
          <w:szCs w:val="44"/>
        </w:rPr>
        <w:t>评</w:t>
      </w:r>
    </w:p>
    <w:p>
      <w:pPr>
        <w:spacing w:before="2" w:line="217" w:lineRule="auto"/>
        <w:ind w:left="3076" w:firstLine="848" w:firstLineChars="200"/>
        <w:jc w:val="both"/>
        <w:rPr>
          <w:rFonts w:hint="eastAsia" w:ascii="方正小标宋简体" w:hAnsi="方正小标宋简体" w:eastAsia="方正小标宋简体" w:cs="方正小标宋简体"/>
          <w:b w:val="0"/>
          <w:bCs w:val="0"/>
          <w:color w:val="auto"/>
          <w:spacing w:val="-8"/>
          <w:sz w:val="44"/>
          <w:szCs w:val="44"/>
        </w:rPr>
      </w:pPr>
      <w:r>
        <w:rPr>
          <w:rFonts w:hint="eastAsia" w:ascii="方正小标宋简体" w:hAnsi="方正小标宋简体" w:eastAsia="方正小标宋简体" w:cs="方正小标宋简体"/>
          <w:b w:val="0"/>
          <w:bCs w:val="0"/>
          <w:color w:val="auto"/>
          <w:spacing w:val="-8"/>
          <w:sz w:val="44"/>
          <w:szCs w:val="44"/>
        </w:rPr>
        <w:t>报</w:t>
      </w:r>
    </w:p>
    <w:p>
      <w:pPr>
        <w:spacing w:before="2" w:line="217" w:lineRule="auto"/>
        <w:ind w:left="3076" w:firstLine="848" w:firstLineChars="200"/>
        <w:jc w:val="both"/>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pacing w:val="-8"/>
          <w:sz w:val="44"/>
          <w:szCs w:val="44"/>
        </w:rPr>
        <w:t>告</w:t>
      </w:r>
    </w:p>
    <w:p>
      <w:pPr>
        <w:jc w:val="center"/>
        <w:rPr>
          <w:rFonts w:ascii="Arial"/>
          <w:color w:val="auto"/>
          <w:sz w:val="21"/>
        </w:rPr>
      </w:pPr>
    </w:p>
    <w:p>
      <w:pPr>
        <w:jc w:val="center"/>
        <w:rPr>
          <w:rFonts w:ascii="Arial"/>
          <w:color w:val="auto"/>
          <w:sz w:val="21"/>
        </w:rPr>
      </w:pPr>
    </w:p>
    <w:p>
      <w:pPr>
        <w:jc w:val="center"/>
        <w:rPr>
          <w:rFonts w:ascii="Arial"/>
          <w:color w:val="auto"/>
          <w:sz w:val="21"/>
        </w:rPr>
      </w:pPr>
    </w:p>
    <w:p>
      <w:pPr>
        <w:jc w:val="center"/>
        <w:rPr>
          <w:rFonts w:ascii="Arial"/>
          <w:color w:val="auto"/>
          <w:sz w:val="21"/>
        </w:rPr>
      </w:pPr>
    </w:p>
    <w:p>
      <w:pPr>
        <w:jc w:val="center"/>
        <w:rPr>
          <w:rFonts w:ascii="Arial"/>
          <w:color w:val="auto"/>
          <w:sz w:val="21"/>
        </w:rPr>
      </w:pPr>
    </w:p>
    <w:p>
      <w:pPr>
        <w:jc w:val="center"/>
        <w:rPr>
          <w:rFonts w:ascii="Arial"/>
          <w:color w:val="auto"/>
          <w:sz w:val="21"/>
        </w:rPr>
      </w:pPr>
    </w:p>
    <w:p>
      <w:pPr>
        <w:jc w:val="center"/>
        <w:rPr>
          <w:rFonts w:ascii="Arial"/>
          <w:color w:val="auto"/>
          <w:sz w:val="21"/>
        </w:rPr>
      </w:pPr>
    </w:p>
    <w:p>
      <w:pPr>
        <w:jc w:val="center"/>
        <w:rPr>
          <w:rFonts w:ascii="Arial"/>
          <w:color w:val="auto"/>
          <w:sz w:val="21"/>
        </w:rPr>
      </w:pPr>
    </w:p>
    <w:p>
      <w:pPr>
        <w:jc w:val="center"/>
        <w:rPr>
          <w:rFonts w:ascii="Arial"/>
          <w:color w:val="auto"/>
          <w:sz w:val="21"/>
        </w:rPr>
      </w:pPr>
    </w:p>
    <w:p>
      <w:pPr>
        <w:jc w:val="center"/>
        <w:rPr>
          <w:rFonts w:ascii="Arial"/>
          <w:color w:val="auto"/>
          <w:sz w:val="21"/>
        </w:rPr>
      </w:pPr>
    </w:p>
    <w:p>
      <w:pPr>
        <w:jc w:val="both"/>
        <w:rPr>
          <w:rFonts w:ascii="Arial"/>
          <w:color w:val="auto"/>
          <w:sz w:val="21"/>
        </w:rPr>
      </w:pPr>
    </w:p>
    <w:p>
      <w:pPr>
        <w:jc w:val="center"/>
        <w:rPr>
          <w:rFonts w:ascii="Arial"/>
          <w:color w:val="auto"/>
          <w:sz w:val="21"/>
        </w:rPr>
      </w:pPr>
    </w:p>
    <w:p>
      <w:pPr>
        <w:jc w:val="center"/>
        <w:rPr>
          <w:rFonts w:ascii="Arial"/>
          <w:color w:val="auto"/>
          <w:sz w:val="21"/>
        </w:rPr>
      </w:pPr>
    </w:p>
    <w:p>
      <w:pPr>
        <w:jc w:val="center"/>
        <w:rPr>
          <w:rFonts w:ascii="Arial"/>
          <w:color w:val="auto"/>
          <w:sz w:val="21"/>
        </w:rPr>
      </w:pPr>
    </w:p>
    <w:p>
      <w:pPr>
        <w:jc w:val="center"/>
        <w:rPr>
          <w:rFonts w:ascii="Arial"/>
          <w:color w:val="auto"/>
          <w:sz w:val="21"/>
        </w:rPr>
      </w:pPr>
    </w:p>
    <w:p>
      <w:pPr>
        <w:jc w:val="center"/>
        <w:rPr>
          <w:rFonts w:ascii="Arial"/>
          <w:color w:val="auto"/>
          <w:sz w:val="21"/>
        </w:rPr>
      </w:pPr>
    </w:p>
    <w:p>
      <w:pPr>
        <w:jc w:val="center"/>
        <w:rPr>
          <w:rFonts w:ascii="Arial"/>
          <w:color w:val="auto"/>
          <w:sz w:val="21"/>
        </w:rPr>
      </w:pPr>
    </w:p>
    <w:p>
      <w:pPr>
        <w:jc w:val="center"/>
        <w:rPr>
          <w:rFonts w:ascii="Arial"/>
          <w:color w:val="auto"/>
          <w:sz w:val="21"/>
        </w:rPr>
      </w:pPr>
    </w:p>
    <w:p>
      <w:pPr>
        <w:spacing w:line="241" w:lineRule="auto"/>
        <w:jc w:val="center"/>
        <w:rPr>
          <w:rFonts w:ascii="Arial"/>
          <w:color w:val="auto"/>
          <w:sz w:val="21"/>
        </w:rPr>
      </w:pPr>
    </w:p>
    <w:p>
      <w:pPr>
        <w:spacing w:before="104" w:line="221" w:lineRule="auto"/>
        <w:ind w:left="2330" w:firstLine="330" w:firstLineChars="1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部门(单位)名称：</w:t>
      </w:r>
      <w:r>
        <w:rPr>
          <w:rFonts w:hint="eastAsia" w:ascii="仿宋_GB2312" w:hAnsi="仿宋_GB2312" w:eastAsia="仿宋_GB2312" w:cs="仿宋_GB2312"/>
          <w:color w:val="auto"/>
          <w:spacing w:val="13"/>
          <w:sz w:val="32"/>
          <w:szCs w:val="32"/>
        </w:rPr>
        <w:t xml:space="preserve">  </w:t>
      </w:r>
      <w:r>
        <w:rPr>
          <w:rFonts w:hint="eastAsia" w:ascii="仿宋_GB2312" w:hAnsi="仿宋_GB2312" w:eastAsia="仿宋_GB2312" w:cs="仿宋_GB2312"/>
          <w:color w:val="auto"/>
          <w:spacing w:val="-91"/>
          <w:sz w:val="32"/>
          <w:szCs w:val="32"/>
          <w:u w:val="single" w:color="auto"/>
        </w:rPr>
        <w:t xml:space="preserve"> </w:t>
      </w:r>
      <w:r>
        <w:rPr>
          <w:rFonts w:hint="eastAsia" w:ascii="仿宋_GB2312" w:hAnsi="仿宋_GB2312" w:eastAsia="仿宋_GB2312" w:cs="仿宋_GB2312"/>
          <w:color w:val="auto"/>
          <w:spacing w:val="5"/>
          <w:sz w:val="32"/>
          <w:szCs w:val="32"/>
          <w:u w:val="single" w:color="auto"/>
        </w:rPr>
        <w:t>(盖章)</w:t>
      </w:r>
    </w:p>
    <w:p>
      <w:pPr>
        <w:spacing w:before="240" w:line="222" w:lineRule="auto"/>
        <w:ind w:firstLine="3036" w:firstLineChars="11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2"/>
          <w:sz w:val="32"/>
          <w:szCs w:val="32"/>
          <w:lang w:val="en-US" w:eastAsia="zh-CN"/>
        </w:rPr>
        <w:t>2023</w:t>
      </w:r>
      <w:r>
        <w:rPr>
          <w:rFonts w:hint="eastAsia" w:ascii="仿宋_GB2312" w:hAnsi="仿宋_GB2312" w:eastAsia="仿宋_GB2312" w:cs="仿宋_GB2312"/>
          <w:color w:val="auto"/>
          <w:spacing w:val="-22"/>
          <w:sz w:val="32"/>
          <w:szCs w:val="32"/>
        </w:rPr>
        <w:t>年月</w:t>
      </w:r>
      <w:r>
        <w:rPr>
          <w:rFonts w:hint="eastAsia" w:ascii="仿宋_GB2312" w:hAnsi="仿宋_GB2312" w:eastAsia="仿宋_GB2312" w:cs="仿宋_GB2312"/>
          <w:color w:val="auto"/>
          <w:spacing w:val="23"/>
          <w:sz w:val="32"/>
          <w:szCs w:val="32"/>
          <w:lang w:val="en-US" w:eastAsia="zh-CN"/>
        </w:rPr>
        <w:t>14</w:t>
      </w:r>
      <w:r>
        <w:rPr>
          <w:rFonts w:hint="eastAsia" w:ascii="仿宋_GB2312" w:hAnsi="仿宋_GB2312" w:eastAsia="仿宋_GB2312" w:cs="仿宋_GB2312"/>
          <w:color w:val="auto"/>
          <w:spacing w:val="-22"/>
          <w:sz w:val="32"/>
          <w:szCs w:val="32"/>
        </w:rPr>
        <w:t>日</w:t>
      </w:r>
    </w:p>
    <w:p>
      <w:pPr>
        <w:spacing w:before="236" w:line="224" w:lineRule="auto"/>
        <w:ind w:firstLine="3078" w:firstLineChars="9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1"/>
          <w:sz w:val="32"/>
          <w:szCs w:val="32"/>
        </w:rPr>
        <w:t>(此页为封面)</w:t>
      </w:r>
    </w:p>
    <w:p>
      <w:pPr>
        <w:jc w:val="both"/>
        <w:rPr>
          <w:rFonts w:hint="eastAsia" w:ascii="仿宋_GB2312" w:hAnsi="仿宋_GB2312" w:eastAsia="仿宋_GB2312" w:cs="仿宋_GB2312"/>
          <w:color w:val="auto"/>
          <w:sz w:val="32"/>
          <w:szCs w:val="32"/>
        </w:rPr>
        <w:sectPr>
          <w:footerReference r:id="rId3" w:type="default"/>
          <w:pgSz w:w="11920" w:h="16860"/>
          <w:pgMar w:top="1151" w:right="1788" w:bottom="986" w:left="1610" w:header="0" w:footer="922" w:gutter="0"/>
          <w:pgNumType w:fmt="decimal"/>
          <w:cols w:space="720" w:num="1"/>
        </w:sectPr>
      </w:pPr>
    </w:p>
    <w:p>
      <w:pPr>
        <w:spacing w:line="294" w:lineRule="auto"/>
        <w:rPr>
          <w:rFonts w:ascii="Arial"/>
          <w:color w:val="auto"/>
          <w:sz w:val="21"/>
        </w:rPr>
      </w:pPr>
    </w:p>
    <w:p>
      <w:pPr>
        <w:spacing w:before="140" w:line="757" w:lineRule="exact"/>
        <w:ind w:left="766"/>
        <w:jc w:val="center"/>
        <w:rPr>
          <w:rFonts w:hint="eastAsia" w:ascii="方正小标宋简体" w:hAnsi="方正小标宋简体" w:eastAsia="方正小标宋简体" w:cs="方正小标宋简体"/>
          <w:b/>
          <w:bCs/>
          <w:color w:val="auto"/>
          <w:spacing w:val="32"/>
          <w:position w:val="24"/>
          <w:sz w:val="40"/>
          <w:szCs w:val="40"/>
          <w:lang w:val="en-US" w:eastAsia="zh-CN"/>
        </w:rPr>
      </w:pPr>
      <w:r>
        <w:rPr>
          <w:rFonts w:hint="eastAsia" w:ascii="方正小标宋简体" w:hAnsi="方正小标宋简体" w:eastAsia="方正小标宋简体" w:cs="方正小标宋简体"/>
          <w:b/>
          <w:bCs/>
          <w:color w:val="auto"/>
          <w:spacing w:val="32"/>
          <w:position w:val="24"/>
          <w:sz w:val="40"/>
          <w:szCs w:val="40"/>
        </w:rPr>
        <w:t>2022年度</w:t>
      </w:r>
      <w:r>
        <w:rPr>
          <w:rFonts w:hint="eastAsia" w:ascii="方正小标宋简体" w:hAnsi="方正小标宋简体" w:eastAsia="方正小标宋简体" w:cs="方正小标宋简体"/>
          <w:b/>
          <w:bCs/>
          <w:color w:val="auto"/>
          <w:spacing w:val="32"/>
          <w:position w:val="24"/>
          <w:sz w:val="40"/>
          <w:szCs w:val="40"/>
          <w:lang w:val="en-US" w:eastAsia="zh-CN"/>
        </w:rPr>
        <w:t>岳阳市房地产市场服务中心</w:t>
      </w:r>
    </w:p>
    <w:p>
      <w:pPr>
        <w:spacing w:before="2" w:line="217" w:lineRule="auto"/>
        <w:jc w:val="center"/>
        <w:rPr>
          <w:rFonts w:hint="eastAsia" w:ascii="方正小标宋简体" w:hAnsi="方正小标宋简体" w:eastAsia="方正小标宋简体" w:cs="方正小标宋简体"/>
          <w:b/>
          <w:bCs/>
          <w:color w:val="auto"/>
          <w:spacing w:val="32"/>
          <w:position w:val="24"/>
          <w:sz w:val="40"/>
          <w:szCs w:val="40"/>
          <w:lang w:val="en-US" w:eastAsia="zh-CN"/>
        </w:rPr>
      </w:pPr>
      <w:r>
        <w:rPr>
          <w:rFonts w:hint="eastAsia" w:ascii="方正小标宋简体" w:hAnsi="方正小标宋简体" w:eastAsia="方正小标宋简体" w:cs="方正小标宋简体"/>
          <w:b/>
          <w:bCs/>
          <w:color w:val="auto"/>
          <w:spacing w:val="32"/>
          <w:position w:val="24"/>
          <w:sz w:val="40"/>
          <w:szCs w:val="40"/>
          <w:lang w:val="en-US" w:eastAsia="zh-CN"/>
        </w:rPr>
        <w:t xml:space="preserve">   </w:t>
      </w:r>
      <w:r>
        <w:rPr>
          <w:rFonts w:hint="eastAsia" w:ascii="方正小标宋简体" w:hAnsi="方正小标宋简体" w:eastAsia="方正小标宋简体" w:cs="方正小标宋简体"/>
          <w:b/>
          <w:bCs/>
          <w:color w:val="auto"/>
          <w:spacing w:val="32"/>
          <w:position w:val="24"/>
          <w:sz w:val="40"/>
          <w:szCs w:val="40"/>
        </w:rPr>
        <w:t>部门(单位)整体支出</w:t>
      </w:r>
      <w:r>
        <w:rPr>
          <w:rFonts w:hint="eastAsia" w:ascii="方正小标宋简体" w:hAnsi="方正小标宋简体" w:eastAsia="方正小标宋简体" w:cs="方正小标宋简体"/>
          <w:b/>
          <w:bCs/>
          <w:color w:val="auto"/>
          <w:spacing w:val="32"/>
          <w:position w:val="24"/>
          <w:sz w:val="40"/>
          <w:szCs w:val="40"/>
          <w:lang w:val="en-US" w:eastAsia="zh-CN"/>
        </w:rPr>
        <w:t>绩效自评报告</w:t>
      </w:r>
    </w:p>
    <w:p>
      <w:pPr>
        <w:pStyle w:val="4"/>
        <w:rPr>
          <w:rFonts w:hint="eastAsia" w:ascii="方正小标宋简体" w:hAnsi="方正小标宋简体" w:eastAsia="方正小标宋简体" w:cs="方正小标宋简体"/>
          <w:b/>
          <w:bCs/>
          <w:color w:val="auto"/>
          <w:spacing w:val="32"/>
          <w:position w:val="24"/>
          <w:sz w:val="40"/>
          <w:szCs w:val="40"/>
          <w:lang w:val="en-US" w:eastAsia="zh-CN"/>
        </w:rPr>
      </w:pPr>
    </w:p>
    <w:p>
      <w:pPr>
        <w:pStyle w:val="4"/>
        <w:rPr>
          <w:rFonts w:hint="default" w:ascii="方正小标宋简体" w:hAnsi="方正小标宋简体" w:eastAsia="方正小标宋简体" w:cs="方正小标宋简体"/>
          <w:b/>
          <w:bCs/>
          <w:color w:val="auto"/>
          <w:spacing w:val="32"/>
          <w:position w:val="24"/>
          <w:sz w:val="40"/>
          <w:szCs w:val="40"/>
          <w:lang w:val="en-US" w:eastAsia="zh-CN"/>
        </w:rPr>
      </w:pPr>
    </w:p>
    <w:p>
      <w:pPr>
        <w:numPr>
          <w:ilvl w:val="0"/>
          <w:numId w:val="0"/>
        </w:numPr>
        <w:spacing w:before="104" w:line="222" w:lineRule="auto"/>
        <w:ind w:firstLine="744" w:firstLineChars="200"/>
        <w:rPr>
          <w:rFonts w:ascii="黑体" w:hAnsi="黑体" w:eastAsia="黑体" w:cs="黑体"/>
          <w:color w:val="auto"/>
          <w:spacing w:val="26"/>
          <w:sz w:val="32"/>
          <w:szCs w:val="32"/>
        </w:rPr>
      </w:pPr>
      <w:r>
        <w:rPr>
          <w:rFonts w:hint="eastAsia" w:ascii="黑体" w:hAnsi="黑体" w:eastAsia="黑体" w:cs="黑体"/>
          <w:color w:val="auto"/>
          <w:spacing w:val="26"/>
          <w:sz w:val="32"/>
          <w:szCs w:val="32"/>
          <w:lang w:val="en-US" w:eastAsia="zh-CN"/>
        </w:rPr>
        <w:t>一、</w:t>
      </w:r>
      <w:r>
        <w:rPr>
          <w:rFonts w:ascii="黑体" w:hAnsi="黑体" w:eastAsia="黑体" w:cs="黑体"/>
          <w:color w:val="auto"/>
          <w:spacing w:val="26"/>
          <w:sz w:val="32"/>
          <w:szCs w:val="32"/>
        </w:rPr>
        <w:t>部门(单位)基本情况</w:t>
      </w:r>
    </w:p>
    <w:p>
      <w:pPr>
        <w:keepNext w:val="0"/>
        <w:keepLines w:val="0"/>
        <w:pageBreakBefore w:val="0"/>
        <w:widowControl w:val="0"/>
        <w:kinsoku/>
        <w:wordWrap/>
        <w:overflowPunct/>
        <w:topLinePunct w:val="0"/>
        <w:autoSpaceDE/>
        <w:autoSpaceDN/>
        <w:bidi w:val="0"/>
        <w:adjustRightInd/>
        <w:snapToGrid/>
        <w:spacing w:before="261" w:line="600" w:lineRule="exact"/>
        <w:ind w:right="17"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1、负责有关房地产开发经营、法律、法规、政策宣传及相关业务事项咨询等工作；</w:t>
      </w:r>
    </w:p>
    <w:p>
      <w:pPr>
        <w:keepNext w:val="0"/>
        <w:keepLines w:val="0"/>
        <w:pageBreakBefore w:val="0"/>
        <w:widowControl w:val="0"/>
        <w:kinsoku/>
        <w:wordWrap/>
        <w:overflowPunct/>
        <w:topLinePunct w:val="0"/>
        <w:autoSpaceDE/>
        <w:autoSpaceDN/>
        <w:bidi w:val="0"/>
        <w:adjustRightInd/>
        <w:snapToGrid/>
        <w:spacing w:before="261" w:line="600" w:lineRule="exact"/>
        <w:ind w:right="17"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2、配合草拟我市房地产开发经营相关办法并参与实</w:t>
      </w:r>
    </w:p>
    <w:p>
      <w:pPr>
        <w:keepNext w:val="0"/>
        <w:keepLines w:val="0"/>
        <w:pageBreakBefore w:val="0"/>
        <w:widowControl w:val="0"/>
        <w:kinsoku/>
        <w:wordWrap/>
        <w:overflowPunct/>
        <w:topLinePunct w:val="0"/>
        <w:autoSpaceDE/>
        <w:autoSpaceDN/>
        <w:bidi w:val="0"/>
        <w:adjustRightInd/>
        <w:snapToGrid/>
        <w:spacing w:before="261" w:line="600" w:lineRule="exact"/>
        <w:ind w:right="17"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3、负责全市房地产开发企业资质申请的初审报批；</w:t>
      </w:r>
    </w:p>
    <w:p>
      <w:pPr>
        <w:keepNext w:val="0"/>
        <w:keepLines w:val="0"/>
        <w:pageBreakBefore w:val="0"/>
        <w:widowControl w:val="0"/>
        <w:kinsoku/>
        <w:wordWrap/>
        <w:overflowPunct/>
        <w:topLinePunct w:val="0"/>
        <w:autoSpaceDE/>
        <w:autoSpaceDN/>
        <w:bidi w:val="0"/>
        <w:adjustRightInd/>
        <w:snapToGrid/>
        <w:spacing w:before="261" w:line="600" w:lineRule="exact"/>
        <w:ind w:right="17"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4、负责市城区房地产开发企业信用信息日常管理，商品房预售许可申请的初审报批，房地产开发项目资本金储存解控等工作；</w:t>
      </w:r>
    </w:p>
    <w:p>
      <w:pPr>
        <w:keepNext w:val="0"/>
        <w:keepLines w:val="0"/>
        <w:pageBreakBefore w:val="0"/>
        <w:widowControl w:val="0"/>
        <w:kinsoku/>
        <w:wordWrap/>
        <w:overflowPunct/>
        <w:topLinePunct w:val="0"/>
        <w:autoSpaceDE/>
        <w:autoSpaceDN/>
        <w:bidi w:val="0"/>
        <w:adjustRightInd/>
        <w:snapToGrid/>
        <w:spacing w:before="261" w:line="600" w:lineRule="exact"/>
        <w:ind w:right="17"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5、负责市中心城区商品房预售款缴存使用，房地产开发经营市场纠纷调处和信访接待回复；</w:t>
      </w:r>
    </w:p>
    <w:p>
      <w:pPr>
        <w:keepNext w:val="0"/>
        <w:keepLines w:val="0"/>
        <w:pageBreakBefore w:val="0"/>
        <w:widowControl w:val="0"/>
        <w:kinsoku/>
        <w:wordWrap/>
        <w:overflowPunct/>
        <w:topLinePunct w:val="0"/>
        <w:autoSpaceDE/>
        <w:autoSpaceDN/>
        <w:bidi w:val="0"/>
        <w:adjustRightInd/>
        <w:snapToGrid/>
        <w:spacing w:before="261" w:line="600" w:lineRule="exact"/>
        <w:ind w:right="17"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6、协助做好房地产开发经营行业文明创建、行业统计、从业人员培训教育。　</w:t>
      </w:r>
    </w:p>
    <w:p>
      <w:pPr>
        <w:spacing w:before="242" w:line="221" w:lineRule="auto"/>
        <w:ind w:left="610"/>
        <w:rPr>
          <w:rFonts w:ascii="黑体" w:hAnsi="黑体" w:eastAsia="黑体" w:cs="黑体"/>
          <w:color w:val="auto"/>
          <w:sz w:val="32"/>
          <w:szCs w:val="32"/>
        </w:rPr>
      </w:pPr>
      <w:r>
        <w:rPr>
          <w:rFonts w:ascii="黑体" w:hAnsi="黑体" w:eastAsia="黑体" w:cs="黑体"/>
          <w:color w:val="auto"/>
          <w:spacing w:val="-8"/>
          <w:sz w:val="32"/>
          <w:szCs w:val="32"/>
        </w:rPr>
        <w:t>二、</w:t>
      </w:r>
      <w:r>
        <w:rPr>
          <w:rFonts w:ascii="黑体" w:hAnsi="黑体" w:eastAsia="黑体" w:cs="黑体"/>
          <w:color w:val="auto"/>
          <w:spacing w:val="-73"/>
          <w:sz w:val="32"/>
          <w:szCs w:val="32"/>
        </w:rPr>
        <w:t xml:space="preserve"> </w:t>
      </w:r>
      <w:r>
        <w:rPr>
          <w:rFonts w:ascii="黑体" w:hAnsi="黑体" w:eastAsia="黑体" w:cs="黑体"/>
          <w:color w:val="auto"/>
          <w:spacing w:val="-8"/>
          <w:sz w:val="32"/>
          <w:szCs w:val="32"/>
        </w:rPr>
        <w:t>一般公共预算支出情况</w:t>
      </w:r>
    </w:p>
    <w:p>
      <w:pPr>
        <w:spacing w:before="271" w:line="642" w:lineRule="exact"/>
        <w:ind w:left="764"/>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一、基本支出情况</w:t>
      </w:r>
    </w:p>
    <w:p>
      <w:pPr>
        <w:keepNext w:val="0"/>
        <w:keepLines w:val="0"/>
        <w:pageBreakBefore w:val="0"/>
        <w:widowControl w:val="0"/>
        <w:kinsoku/>
        <w:wordWrap/>
        <w:overflowPunct/>
        <w:topLinePunct w:val="0"/>
        <w:autoSpaceDE/>
        <w:autoSpaceDN/>
        <w:bidi w:val="0"/>
        <w:adjustRightInd/>
        <w:snapToGrid/>
        <w:spacing w:before="261" w:line="600" w:lineRule="exact"/>
        <w:ind w:right="17"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2022年度财政拨款基本支出217.99万元，其中：人员经费200.74万元；</w:t>
      </w:r>
      <w:r>
        <w:rPr>
          <w:rFonts w:hint="eastAsia" w:ascii="仿宋_GB2312" w:hAnsi="仿宋_GB2312" w:eastAsia="仿宋_GB2312" w:cs="仿宋_GB2312"/>
          <w:kern w:val="0"/>
          <w:sz w:val="32"/>
          <w:szCs w:val="32"/>
          <w:lang w:val="zh-CN" w:eastAsia="zh-CN" w:bidi="ar-SA"/>
        </w:rPr>
        <w:t>公用经费</w:t>
      </w:r>
      <w:r>
        <w:rPr>
          <w:rFonts w:hint="eastAsia" w:ascii="仿宋_GB2312" w:hAnsi="仿宋_GB2312" w:eastAsia="仿宋_GB2312" w:cs="仿宋_GB2312"/>
          <w:kern w:val="0"/>
          <w:sz w:val="32"/>
          <w:szCs w:val="32"/>
          <w:lang w:val="en-US" w:eastAsia="zh-CN" w:bidi="ar-SA"/>
        </w:rPr>
        <w:t>17.25</w:t>
      </w:r>
      <w:r>
        <w:rPr>
          <w:rFonts w:hint="eastAsia" w:ascii="仿宋_GB2312" w:hAnsi="仿宋_GB2312" w:eastAsia="仿宋_GB2312" w:cs="仿宋_GB2312"/>
          <w:kern w:val="0"/>
          <w:sz w:val="32"/>
          <w:szCs w:val="32"/>
          <w:lang w:val="zh-CN" w:eastAsia="zh-CN" w:bidi="ar-SA"/>
        </w:rPr>
        <w:t>万元</w:t>
      </w:r>
      <w:r>
        <w:rPr>
          <w:rFonts w:hint="eastAsia" w:ascii="仿宋_GB2312" w:hAnsi="仿宋_GB2312" w:eastAsia="仿宋_GB2312" w:cs="仿宋_GB2312"/>
          <w:kern w:val="0"/>
          <w:sz w:val="32"/>
          <w:szCs w:val="32"/>
          <w:lang w:val="en-US" w:eastAsia="zh-CN" w:bidi="ar-SA"/>
        </w:rPr>
        <w:t>。</w:t>
      </w:r>
      <w:bookmarkStart w:id="1" w:name="_GoBack"/>
      <w:bookmarkEnd w:id="1"/>
    </w:p>
    <w:p>
      <w:pPr>
        <w:spacing w:before="271" w:line="642" w:lineRule="exact"/>
        <w:ind w:left="764"/>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二、项目支出情况</w:t>
      </w:r>
    </w:p>
    <w:p>
      <w:pPr>
        <w:numPr>
          <w:ilvl w:val="0"/>
          <w:numId w:val="0"/>
        </w:numPr>
        <w:spacing w:line="226" w:lineRule="auto"/>
        <w:rPr>
          <w:rFonts w:ascii="楷体" w:hAnsi="楷体" w:eastAsia="楷体" w:cs="楷体"/>
          <w:b/>
          <w:bCs/>
          <w:color w:val="auto"/>
          <w:spacing w:val="18"/>
          <w:sz w:val="32"/>
          <w:szCs w:val="32"/>
        </w:rPr>
      </w:pPr>
    </w:p>
    <w:p>
      <w:pPr>
        <w:numPr>
          <w:ilvl w:val="0"/>
          <w:numId w:val="0"/>
        </w:numPr>
        <w:spacing w:line="226" w:lineRule="auto"/>
        <w:ind w:firstLine="500" w:firstLineChars="0"/>
        <w:rPr>
          <w:rFonts w:hint="default" w:ascii="楷体" w:hAnsi="楷体" w:cs="楷体" w:eastAsiaTheme="minorEastAsia"/>
          <w:b/>
          <w:bCs/>
          <w:color w:val="auto"/>
          <w:spacing w:val="18"/>
          <w:sz w:val="32"/>
          <w:szCs w:val="32"/>
          <w:lang w:val="en-US" w:eastAsia="zh-CN"/>
        </w:rPr>
      </w:pPr>
      <w:r>
        <w:rPr>
          <w:rFonts w:hint="eastAsia" w:ascii="仿宋_GB2312" w:hAnsi="仿宋_GB2312" w:eastAsia="仿宋_GB2312" w:cs="仿宋_GB2312"/>
          <w:kern w:val="0"/>
          <w:sz w:val="32"/>
          <w:szCs w:val="32"/>
          <w:lang w:val="en-US" w:eastAsia="zh-CN" w:bidi="ar-SA"/>
        </w:rPr>
        <w:t>2022年度财政拨款项目支出35.90万元。</w:t>
      </w:r>
    </w:p>
    <w:p>
      <w:pPr>
        <w:spacing w:before="242" w:line="221" w:lineRule="auto"/>
        <w:ind w:left="610"/>
        <w:rPr>
          <w:rFonts w:ascii="黑体" w:hAnsi="黑体" w:eastAsia="黑体" w:cs="黑体"/>
          <w:color w:val="auto"/>
          <w:spacing w:val="-8"/>
          <w:sz w:val="32"/>
          <w:szCs w:val="32"/>
        </w:rPr>
      </w:pPr>
      <w:r>
        <w:rPr>
          <w:rFonts w:hint="eastAsia" w:ascii="黑体" w:hAnsi="黑体" w:eastAsia="黑体" w:cs="黑体"/>
          <w:color w:val="auto"/>
          <w:spacing w:val="-8"/>
          <w:sz w:val="32"/>
          <w:szCs w:val="32"/>
          <w:lang w:val="en-US" w:eastAsia="zh-CN"/>
        </w:rPr>
        <w:t>三、</w:t>
      </w:r>
      <w:r>
        <w:rPr>
          <w:rFonts w:ascii="黑体" w:hAnsi="黑体" w:eastAsia="黑体" w:cs="黑体"/>
          <w:color w:val="auto"/>
          <w:spacing w:val="-8"/>
          <w:sz w:val="32"/>
          <w:szCs w:val="32"/>
        </w:rPr>
        <w:t>政府性基金预算支出情况</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本单位无政府性基金预算支出</w:t>
      </w:r>
    </w:p>
    <w:p>
      <w:pPr>
        <w:spacing w:before="242" w:line="221" w:lineRule="auto"/>
        <w:ind w:left="610"/>
        <w:rPr>
          <w:rFonts w:hint="eastAsia" w:ascii="黑体" w:hAnsi="黑体" w:eastAsia="黑体" w:cs="黑体"/>
          <w:color w:val="auto"/>
          <w:spacing w:val="-8"/>
          <w:sz w:val="32"/>
          <w:szCs w:val="32"/>
          <w:lang w:val="en-US" w:eastAsia="zh-CN"/>
        </w:rPr>
      </w:pPr>
      <w:r>
        <w:rPr>
          <w:rFonts w:hint="eastAsia" w:ascii="黑体" w:hAnsi="黑体" w:eastAsia="黑体" w:cs="黑体"/>
          <w:color w:val="auto"/>
          <w:spacing w:val="-8"/>
          <w:sz w:val="32"/>
          <w:szCs w:val="32"/>
          <w:lang w:val="en-US" w:eastAsia="zh-CN"/>
        </w:rPr>
        <w:t>四、国有资本经营预算支出情况</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仿宋_GB2312" w:hAnsi="仿宋_GB2312" w:eastAsia="仿宋_GB2312" w:cs="仿宋_GB2312"/>
          <w:kern w:val="0"/>
          <w:sz w:val="32"/>
          <w:szCs w:val="32"/>
          <w:lang w:val="en-US" w:eastAsia="zh-CN" w:bidi="ar-SA"/>
        </w:rPr>
        <w:t>本单位无国有资本经营预算支出</w:t>
      </w:r>
    </w:p>
    <w:p>
      <w:pPr>
        <w:spacing w:before="242" w:line="221" w:lineRule="auto"/>
        <w:ind w:left="610"/>
        <w:rPr>
          <w:rFonts w:hint="eastAsia" w:ascii="黑体" w:hAnsi="黑体" w:eastAsia="黑体" w:cs="黑体"/>
          <w:color w:val="auto"/>
          <w:spacing w:val="-8"/>
          <w:sz w:val="32"/>
          <w:szCs w:val="32"/>
          <w:lang w:val="en-US" w:eastAsia="zh-CN"/>
        </w:rPr>
      </w:pPr>
      <w:r>
        <w:rPr>
          <w:rFonts w:hint="eastAsia" w:ascii="黑体" w:hAnsi="黑体" w:eastAsia="黑体" w:cs="黑体"/>
          <w:color w:val="auto"/>
          <w:spacing w:val="-8"/>
          <w:sz w:val="32"/>
          <w:szCs w:val="32"/>
          <w:lang w:val="en-US" w:eastAsia="zh-CN"/>
        </w:rPr>
        <w:t>五、社会保险基金预算支出情况</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本单位无社会保险基金预算支出</w:t>
      </w:r>
    </w:p>
    <w:p>
      <w:pPr>
        <w:spacing w:before="242" w:line="221" w:lineRule="auto"/>
        <w:ind w:left="610"/>
        <w:rPr>
          <w:rFonts w:hint="eastAsia" w:ascii="黑体" w:hAnsi="黑体" w:eastAsia="黑体" w:cs="黑体"/>
          <w:color w:val="auto"/>
          <w:spacing w:val="-8"/>
          <w:sz w:val="32"/>
          <w:szCs w:val="32"/>
          <w:lang w:val="en-US" w:eastAsia="zh-CN"/>
        </w:rPr>
      </w:pPr>
      <w:r>
        <w:rPr>
          <w:rFonts w:hint="eastAsia" w:ascii="黑体" w:hAnsi="黑体" w:eastAsia="黑体" w:cs="黑体"/>
          <w:color w:val="auto"/>
          <w:spacing w:val="-8"/>
          <w:sz w:val="32"/>
          <w:szCs w:val="32"/>
          <w:lang w:val="en-US" w:eastAsia="zh-CN"/>
        </w:rPr>
        <w:t>六、 部门整体支出绩效情况</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制定了关于进一步促进岳阳市城区房地产市场平稳健康发展的若干措施（试行），并出台了关于落实《十五条》实施细则。根据“最多跑一次”工作要求，缩短房地产开发企业资质申请、商品房预售许可初审、报批的办结时限，实行即来即办；严格执行房地产开发项目资本金，商品房预售款的管理，做到及时足额缴存、拨付；妥善处理房地产开发经营市场纠纷和信访回复。</w:t>
      </w:r>
    </w:p>
    <w:p>
      <w:pPr>
        <w:spacing w:before="242" w:line="221" w:lineRule="auto"/>
        <w:ind w:left="610"/>
        <w:rPr>
          <w:rFonts w:hint="eastAsia" w:ascii="黑体" w:hAnsi="黑体" w:eastAsia="黑体" w:cs="黑体"/>
          <w:color w:val="auto"/>
          <w:spacing w:val="-8"/>
          <w:sz w:val="32"/>
          <w:szCs w:val="32"/>
          <w:lang w:val="en-US" w:eastAsia="zh-CN"/>
        </w:rPr>
      </w:pPr>
      <w:r>
        <w:rPr>
          <w:rFonts w:hint="eastAsia" w:ascii="黑体" w:hAnsi="黑体" w:eastAsia="黑体" w:cs="黑体"/>
          <w:color w:val="auto"/>
          <w:spacing w:val="-8"/>
          <w:sz w:val="32"/>
          <w:szCs w:val="32"/>
          <w:lang w:val="en-US" w:eastAsia="zh-CN"/>
        </w:rPr>
        <w:t>七、存在的问题及原因分析</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1920" w:firstLineChars="600"/>
        <w:jc w:val="both"/>
        <w:textAlignment w:val="baseline"/>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无</w:t>
      </w:r>
    </w:p>
    <w:p>
      <w:pPr>
        <w:spacing w:before="242" w:line="221" w:lineRule="auto"/>
        <w:ind w:left="610"/>
        <w:rPr>
          <w:rFonts w:hint="eastAsia" w:ascii="黑体" w:hAnsi="黑体" w:eastAsia="黑体" w:cs="黑体"/>
          <w:color w:val="auto"/>
          <w:spacing w:val="-8"/>
          <w:sz w:val="32"/>
          <w:szCs w:val="32"/>
          <w:lang w:val="en-US" w:eastAsia="zh-CN"/>
        </w:rPr>
      </w:pPr>
      <w:r>
        <w:rPr>
          <w:rFonts w:hint="eastAsia" w:ascii="黑体" w:hAnsi="黑体" w:eastAsia="黑体" w:cs="黑体"/>
          <w:color w:val="auto"/>
          <w:spacing w:val="-8"/>
          <w:sz w:val="32"/>
          <w:szCs w:val="32"/>
          <w:lang w:val="en-US" w:eastAsia="zh-CN"/>
        </w:rPr>
        <w:t>八、下一步改进措施</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1600" w:firstLineChars="500"/>
        <w:jc w:val="both"/>
        <w:textAlignment w:val="baseline"/>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无</w:t>
      </w:r>
    </w:p>
    <w:p>
      <w:pPr>
        <w:numPr>
          <w:ilvl w:val="0"/>
          <w:numId w:val="1"/>
        </w:numPr>
        <w:spacing w:before="242" w:line="221" w:lineRule="auto"/>
        <w:ind w:left="610"/>
        <w:rPr>
          <w:rFonts w:hint="eastAsia" w:ascii="黑体" w:hAnsi="黑体" w:eastAsia="黑体" w:cs="黑体"/>
          <w:color w:val="auto"/>
          <w:spacing w:val="-8"/>
          <w:sz w:val="32"/>
          <w:szCs w:val="32"/>
          <w:lang w:val="en-US" w:eastAsia="zh-CN"/>
        </w:rPr>
      </w:pPr>
      <w:r>
        <w:rPr>
          <w:rFonts w:hint="eastAsia" w:ascii="黑体" w:hAnsi="黑体" w:eastAsia="黑体" w:cs="黑体"/>
          <w:color w:val="auto"/>
          <w:spacing w:val="-8"/>
          <w:sz w:val="32"/>
          <w:szCs w:val="32"/>
          <w:lang w:val="en-US" w:eastAsia="zh-CN"/>
        </w:rPr>
        <w:t>部门整体支出绩效自评结果拟应用和公开情况</w:t>
      </w:r>
    </w:p>
    <w:p>
      <w:pPr>
        <w:pStyle w:val="2"/>
        <w:numPr>
          <w:ilvl w:val="0"/>
          <w:numId w:val="0"/>
        </w:numPr>
        <w:ind w:leftChars="400"/>
        <w:rPr>
          <w:rFonts w:hint="eastAsia"/>
          <w:lang w:val="en-US" w:eastAsia="zh-CN"/>
        </w:rPr>
      </w:pPr>
    </w:p>
    <w:p>
      <w:pPr>
        <w:spacing w:before="242" w:line="221" w:lineRule="auto"/>
        <w:ind w:left="610"/>
        <w:rPr>
          <w:rFonts w:hint="eastAsia" w:ascii="黑体" w:hAnsi="黑体" w:eastAsia="黑体" w:cs="黑体"/>
          <w:color w:val="auto"/>
          <w:spacing w:val="-8"/>
          <w:sz w:val="32"/>
          <w:szCs w:val="32"/>
          <w:lang w:val="en-US" w:eastAsia="zh-CN"/>
        </w:rPr>
      </w:pPr>
      <w:r>
        <w:rPr>
          <w:rFonts w:hint="eastAsia" w:ascii="黑体" w:hAnsi="黑体" w:eastAsia="黑体" w:cs="黑体"/>
          <w:color w:val="auto"/>
          <w:spacing w:val="-8"/>
          <w:sz w:val="32"/>
          <w:szCs w:val="32"/>
          <w:lang w:val="en-US" w:eastAsia="zh-CN"/>
        </w:rPr>
        <w:t>其他需要说明的情况</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1600" w:firstLineChars="500"/>
        <w:jc w:val="both"/>
        <w:textAlignment w:val="baseline"/>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无</w:t>
      </w:r>
    </w:p>
    <w:p>
      <w:pPr>
        <w:spacing w:line="276" w:lineRule="auto"/>
        <w:rPr>
          <w:rFonts w:ascii="Arial"/>
          <w:color w:val="auto"/>
          <w:sz w:val="21"/>
        </w:rPr>
      </w:pPr>
    </w:p>
    <w:p>
      <w:pPr>
        <w:spacing w:line="276" w:lineRule="auto"/>
        <w:rPr>
          <w:rFonts w:ascii="Arial"/>
          <w:color w:val="auto"/>
          <w:sz w:val="21"/>
        </w:rPr>
      </w:pPr>
    </w:p>
    <w:p>
      <w:pPr>
        <w:pStyle w:val="4"/>
        <w:rPr>
          <w:rFonts w:ascii="Arial"/>
          <w:color w:val="auto"/>
          <w:sz w:val="21"/>
        </w:rPr>
      </w:pPr>
    </w:p>
    <w:p>
      <w:pPr>
        <w:pStyle w:val="4"/>
        <w:rPr>
          <w:rFonts w:ascii="Arial"/>
          <w:color w:val="auto"/>
          <w:sz w:val="21"/>
        </w:rPr>
      </w:pPr>
    </w:p>
    <w:p>
      <w:pPr>
        <w:pStyle w:val="4"/>
        <w:rPr>
          <w:rFonts w:ascii="Arial"/>
          <w:color w:val="auto"/>
          <w:sz w:val="21"/>
        </w:rPr>
      </w:pPr>
    </w:p>
    <w:p>
      <w:pPr>
        <w:pStyle w:val="4"/>
        <w:rPr>
          <w:rFonts w:ascii="Arial"/>
          <w:color w:val="auto"/>
          <w:sz w:val="21"/>
        </w:rPr>
      </w:pPr>
    </w:p>
    <w:p>
      <w:pPr>
        <w:pStyle w:val="4"/>
        <w:rPr>
          <w:rFonts w:ascii="Arial"/>
          <w:color w:val="auto"/>
          <w:sz w:val="21"/>
        </w:rPr>
      </w:pPr>
    </w:p>
    <w:p>
      <w:pPr>
        <w:pStyle w:val="4"/>
        <w:rPr>
          <w:rFonts w:ascii="Arial"/>
          <w:color w:val="auto"/>
          <w:sz w:val="21"/>
        </w:rPr>
      </w:pPr>
    </w:p>
    <w:p>
      <w:pPr>
        <w:pStyle w:val="4"/>
        <w:rPr>
          <w:rFonts w:ascii="Arial"/>
          <w:color w:val="auto"/>
          <w:sz w:val="21"/>
        </w:rPr>
      </w:pPr>
    </w:p>
    <w:p>
      <w:pPr>
        <w:pStyle w:val="4"/>
        <w:rPr>
          <w:rFonts w:ascii="Arial"/>
          <w:color w:val="auto"/>
          <w:sz w:val="21"/>
        </w:rPr>
      </w:pPr>
    </w:p>
    <w:p>
      <w:pPr>
        <w:pStyle w:val="4"/>
        <w:rPr>
          <w:rFonts w:ascii="Arial"/>
          <w:color w:val="auto"/>
          <w:sz w:val="21"/>
        </w:rPr>
      </w:pP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报告需要以下附件：</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1.部门整体支出绩效评价基础数据表</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2.部门整体支出绩效自评表</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3.项目支出绩效自评表(一个一级项目支出一张表)</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4.政府性基金预算支出情况表</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5.国有资本经营预算支出情况表</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eastAsia" w:ascii="仿宋_GB2312" w:hAnsi="仿宋_GB2312" w:eastAsia="仿宋_GB2312" w:cs="仿宋_GB2312"/>
          <w:kern w:val="0"/>
          <w:sz w:val="32"/>
          <w:szCs w:val="32"/>
          <w:lang w:val="en-US" w:eastAsia="zh-CN" w:bidi="ar-SA"/>
        </w:rPr>
        <w:sectPr>
          <w:footerReference r:id="rId4" w:type="default"/>
          <w:pgSz w:w="11920" w:h="16880"/>
          <w:pgMar w:top="1434" w:right="1588" w:bottom="1183" w:left="1579" w:header="0" w:footer="924" w:gutter="0"/>
          <w:pgNumType w:fmt="decimal"/>
          <w:cols w:space="720" w:num="1"/>
        </w:sectPr>
      </w:pPr>
      <w:r>
        <w:rPr>
          <w:rFonts w:hint="eastAsia" w:ascii="仿宋_GB2312" w:hAnsi="仿宋_GB2312" w:eastAsia="仿宋_GB2312" w:cs="仿宋_GB2312"/>
          <w:kern w:val="0"/>
          <w:sz w:val="32"/>
          <w:szCs w:val="32"/>
          <w:lang w:val="en-US" w:eastAsia="zh-CN" w:bidi="ar-SA"/>
        </w:rPr>
        <w:t>6.社会保险基金预算支出情况</w:t>
      </w:r>
    </w:p>
    <w:p>
      <w:pPr>
        <w:spacing w:before="114" w:line="224" w:lineRule="auto"/>
        <w:rPr>
          <w:rFonts w:ascii="黑体" w:hAnsi="黑体" w:eastAsia="黑体" w:cs="黑体"/>
          <w:color w:val="auto"/>
          <w:sz w:val="35"/>
          <w:szCs w:val="35"/>
        </w:rPr>
      </w:pPr>
      <w:r>
        <w:rPr>
          <w:rFonts w:ascii="黑体" w:hAnsi="黑体" w:eastAsia="黑体" w:cs="黑体"/>
          <w:b/>
          <w:bCs/>
          <w:color w:val="auto"/>
          <w:spacing w:val="-6"/>
          <w:sz w:val="35"/>
          <w:szCs w:val="35"/>
        </w:rPr>
        <w:t>附件5</w:t>
      </w:r>
    </w:p>
    <w:p>
      <w:pPr>
        <w:spacing w:line="295" w:lineRule="auto"/>
        <w:rPr>
          <w:rFonts w:ascii="Arial"/>
          <w:color w:val="auto"/>
          <w:sz w:val="21"/>
        </w:rPr>
      </w:pPr>
    </w:p>
    <w:p>
      <w:pPr>
        <w:spacing w:before="114" w:line="219" w:lineRule="auto"/>
        <w:ind w:firstLine="1416" w:firstLineChars="400"/>
        <w:jc w:val="both"/>
        <w:rPr>
          <w:color w:val="auto"/>
        </w:rPr>
      </w:pPr>
      <w:r>
        <w:rPr>
          <w:rFonts w:hint="eastAsia" w:ascii="方正小标宋简体" w:hAnsi="方正小标宋简体" w:eastAsia="方正小标宋简体" w:cs="方正小标宋简体"/>
          <w:b w:val="0"/>
          <w:bCs w:val="0"/>
          <w:color w:val="auto"/>
          <w:spacing w:val="-3"/>
          <w:sz w:val="36"/>
          <w:szCs w:val="36"/>
        </w:rPr>
        <w:t>部门整体支出绩效自评工作考核评分表</w:t>
      </w:r>
    </w:p>
    <w:p>
      <w:pPr>
        <w:spacing w:line="118" w:lineRule="exact"/>
        <w:rPr>
          <w:color w:val="auto"/>
        </w:rPr>
      </w:pPr>
    </w:p>
    <w:tbl>
      <w:tblPr>
        <w:tblStyle w:val="13"/>
        <w:tblpPr w:leftFromText="180" w:rightFromText="180" w:vertAnchor="text" w:horzAnchor="page" w:tblpX="1158" w:tblpY="209"/>
        <w:tblOverlap w:val="never"/>
        <w:tblW w:w="98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285"/>
        <w:gridCol w:w="4849"/>
        <w:gridCol w:w="3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44" w:type="dxa"/>
            <w:vAlign w:val="top"/>
          </w:tcPr>
          <w:p>
            <w:pPr>
              <w:spacing w:before="42" w:line="328" w:lineRule="exact"/>
              <w:ind w:left="167"/>
              <w:rPr>
                <w:rFonts w:hint="eastAsia" w:ascii="宋体" w:hAnsi="宋体" w:eastAsia="宋体" w:cs="宋体"/>
                <w:color w:val="auto"/>
                <w:sz w:val="21"/>
                <w:szCs w:val="21"/>
              </w:rPr>
            </w:pPr>
            <w:r>
              <w:rPr>
                <w:rFonts w:hint="eastAsia" w:ascii="宋体" w:hAnsi="宋体" w:eastAsia="宋体" w:cs="宋体"/>
                <w:b/>
                <w:bCs/>
                <w:color w:val="auto"/>
                <w:spacing w:val="-3"/>
                <w:position w:val="9"/>
                <w:sz w:val="21"/>
                <w:szCs w:val="21"/>
              </w:rPr>
              <w:t>一级</w:t>
            </w:r>
          </w:p>
          <w:p>
            <w:pPr>
              <w:spacing w:line="215" w:lineRule="auto"/>
              <w:ind w:left="167"/>
              <w:rPr>
                <w:rFonts w:hint="eastAsia" w:ascii="宋体" w:hAnsi="宋体" w:eastAsia="宋体" w:cs="宋体"/>
                <w:color w:val="auto"/>
                <w:sz w:val="21"/>
                <w:szCs w:val="21"/>
              </w:rPr>
            </w:pPr>
            <w:r>
              <w:rPr>
                <w:rFonts w:hint="eastAsia" w:ascii="宋体" w:hAnsi="宋体" w:eastAsia="宋体" w:cs="宋体"/>
                <w:b/>
                <w:bCs/>
                <w:color w:val="auto"/>
                <w:spacing w:val="-5"/>
                <w:sz w:val="21"/>
                <w:szCs w:val="21"/>
              </w:rPr>
              <w:t>指标</w:t>
            </w:r>
          </w:p>
        </w:tc>
        <w:tc>
          <w:tcPr>
            <w:tcW w:w="1285" w:type="dxa"/>
            <w:vAlign w:val="top"/>
          </w:tcPr>
          <w:p>
            <w:pPr>
              <w:spacing w:before="201" w:line="220" w:lineRule="auto"/>
              <w:ind w:left="173"/>
              <w:rPr>
                <w:rFonts w:hint="eastAsia" w:ascii="宋体" w:hAnsi="宋体" w:eastAsia="宋体" w:cs="宋体"/>
                <w:color w:val="auto"/>
                <w:sz w:val="21"/>
                <w:szCs w:val="21"/>
              </w:rPr>
            </w:pPr>
            <w:r>
              <w:rPr>
                <w:rFonts w:hint="eastAsia" w:ascii="宋体" w:hAnsi="宋体" w:eastAsia="宋体" w:cs="宋体"/>
                <w:b/>
                <w:bCs/>
                <w:color w:val="auto"/>
                <w:spacing w:val="-5"/>
                <w:sz w:val="21"/>
                <w:szCs w:val="21"/>
              </w:rPr>
              <w:t>二级指标</w:t>
            </w:r>
          </w:p>
        </w:tc>
        <w:tc>
          <w:tcPr>
            <w:tcW w:w="4849" w:type="dxa"/>
            <w:vAlign w:val="top"/>
          </w:tcPr>
          <w:p>
            <w:pPr>
              <w:spacing w:before="201" w:line="220" w:lineRule="auto"/>
              <w:ind w:left="2064"/>
              <w:rPr>
                <w:rFonts w:hint="eastAsia" w:ascii="宋体" w:hAnsi="宋体" w:eastAsia="宋体" w:cs="宋体"/>
                <w:color w:val="auto"/>
                <w:sz w:val="21"/>
                <w:szCs w:val="21"/>
              </w:rPr>
            </w:pPr>
            <w:r>
              <w:rPr>
                <w:rFonts w:hint="eastAsia" w:ascii="宋体" w:hAnsi="宋体" w:eastAsia="宋体" w:cs="宋体"/>
                <w:b/>
                <w:bCs/>
                <w:color w:val="auto"/>
                <w:spacing w:val="8"/>
                <w:sz w:val="21"/>
                <w:szCs w:val="21"/>
              </w:rPr>
              <w:t>评分标准</w:t>
            </w:r>
          </w:p>
        </w:tc>
        <w:tc>
          <w:tcPr>
            <w:tcW w:w="3004" w:type="dxa"/>
            <w:vAlign w:val="top"/>
          </w:tcPr>
          <w:p>
            <w:pPr>
              <w:spacing w:before="199" w:line="219" w:lineRule="auto"/>
              <w:ind w:left="859"/>
              <w:rPr>
                <w:rFonts w:hint="eastAsia" w:ascii="宋体" w:hAnsi="宋体" w:eastAsia="宋体" w:cs="宋体"/>
                <w:color w:val="auto"/>
                <w:sz w:val="21"/>
                <w:szCs w:val="21"/>
              </w:rPr>
            </w:pPr>
            <w:r>
              <w:rPr>
                <w:rFonts w:hint="eastAsia" w:ascii="宋体" w:hAnsi="宋体" w:eastAsia="宋体" w:cs="宋体"/>
                <w:b/>
                <w:bCs/>
                <w:color w:val="auto"/>
                <w:spacing w:val="18"/>
                <w:sz w:val="21"/>
                <w:szCs w:val="21"/>
              </w:rPr>
              <w:t>所需佐证材料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9" w:hRule="atLeast"/>
        </w:trPr>
        <w:tc>
          <w:tcPr>
            <w:tcW w:w="744" w:type="dxa"/>
            <w:vMerge w:val="restart"/>
            <w:tcBorders>
              <w:bottom w:val="nil"/>
            </w:tcBorders>
            <w:vAlign w:val="top"/>
          </w:tcPr>
          <w:p>
            <w:pPr>
              <w:spacing w:line="294" w:lineRule="auto"/>
              <w:rPr>
                <w:rFonts w:hint="eastAsia" w:ascii="宋体" w:hAnsi="宋体" w:eastAsia="宋体" w:cs="宋体"/>
                <w:color w:val="auto"/>
                <w:sz w:val="21"/>
                <w:szCs w:val="21"/>
              </w:rPr>
            </w:pPr>
          </w:p>
          <w:p>
            <w:pPr>
              <w:spacing w:line="295" w:lineRule="auto"/>
              <w:rPr>
                <w:rFonts w:hint="eastAsia" w:ascii="宋体" w:hAnsi="宋体" w:eastAsia="宋体" w:cs="宋体"/>
                <w:color w:val="auto"/>
                <w:sz w:val="21"/>
                <w:szCs w:val="21"/>
              </w:rPr>
            </w:pPr>
          </w:p>
          <w:p>
            <w:pPr>
              <w:spacing w:before="65" w:line="322" w:lineRule="exact"/>
              <w:ind w:left="165"/>
              <w:rPr>
                <w:rFonts w:hint="eastAsia" w:ascii="宋体" w:hAnsi="宋体" w:eastAsia="宋体" w:cs="宋体"/>
                <w:color w:val="auto"/>
                <w:sz w:val="21"/>
                <w:szCs w:val="21"/>
              </w:rPr>
            </w:pPr>
            <w:r>
              <w:rPr>
                <w:rFonts w:hint="eastAsia" w:ascii="宋体" w:hAnsi="宋体" w:eastAsia="宋体" w:cs="宋体"/>
                <w:color w:val="auto"/>
                <w:spacing w:val="-2"/>
                <w:position w:val="9"/>
                <w:sz w:val="21"/>
                <w:szCs w:val="21"/>
              </w:rPr>
              <w:t>布置</w:t>
            </w:r>
          </w:p>
          <w:p>
            <w:pPr>
              <w:spacing w:line="220" w:lineRule="auto"/>
              <w:ind w:left="165"/>
              <w:rPr>
                <w:rFonts w:hint="eastAsia" w:ascii="宋体" w:hAnsi="宋体" w:eastAsia="宋体" w:cs="宋体"/>
                <w:color w:val="auto"/>
                <w:sz w:val="21"/>
                <w:szCs w:val="21"/>
              </w:rPr>
            </w:pPr>
            <w:r>
              <w:rPr>
                <w:rFonts w:hint="eastAsia" w:ascii="宋体" w:hAnsi="宋体" w:eastAsia="宋体" w:cs="宋体"/>
                <w:color w:val="auto"/>
                <w:spacing w:val="6"/>
                <w:sz w:val="21"/>
                <w:szCs w:val="21"/>
              </w:rPr>
              <w:t>工作</w:t>
            </w:r>
          </w:p>
          <w:p>
            <w:pPr>
              <w:spacing w:line="294" w:lineRule="auto"/>
              <w:rPr>
                <w:rFonts w:hint="eastAsia" w:ascii="宋体" w:hAnsi="宋体" w:eastAsia="宋体" w:cs="宋体"/>
                <w:color w:val="auto"/>
                <w:sz w:val="21"/>
                <w:szCs w:val="21"/>
              </w:rPr>
            </w:pPr>
          </w:p>
          <w:p>
            <w:pPr>
              <w:spacing w:before="65" w:line="220" w:lineRule="auto"/>
              <w:ind w:left="165"/>
              <w:rPr>
                <w:rFonts w:hint="eastAsia" w:ascii="宋体" w:hAnsi="宋体" w:eastAsia="宋体" w:cs="宋体"/>
                <w:color w:val="auto"/>
                <w:sz w:val="21"/>
                <w:szCs w:val="21"/>
              </w:rPr>
            </w:pPr>
            <w:r>
              <w:rPr>
                <w:rFonts w:hint="eastAsia" w:ascii="宋体" w:hAnsi="宋体" w:eastAsia="宋体" w:cs="宋体"/>
                <w:color w:val="auto"/>
                <w:spacing w:val="2"/>
                <w:sz w:val="21"/>
                <w:szCs w:val="21"/>
              </w:rPr>
              <w:t>10分</w:t>
            </w:r>
          </w:p>
        </w:tc>
        <w:tc>
          <w:tcPr>
            <w:tcW w:w="1285" w:type="dxa"/>
            <w:vAlign w:val="top"/>
          </w:tcPr>
          <w:p>
            <w:pPr>
              <w:spacing w:line="442" w:lineRule="auto"/>
              <w:rPr>
                <w:rFonts w:hint="eastAsia" w:ascii="宋体" w:hAnsi="宋体" w:eastAsia="宋体" w:cs="宋体"/>
                <w:color w:val="auto"/>
                <w:sz w:val="21"/>
                <w:szCs w:val="21"/>
              </w:rPr>
            </w:pPr>
          </w:p>
          <w:p>
            <w:pPr>
              <w:spacing w:before="65" w:line="253" w:lineRule="auto"/>
              <w:ind w:left="320" w:right="162" w:hanging="150"/>
              <w:rPr>
                <w:rFonts w:hint="eastAsia" w:ascii="宋体" w:hAnsi="宋体" w:eastAsia="宋体" w:cs="宋体"/>
                <w:color w:val="auto"/>
                <w:sz w:val="21"/>
                <w:szCs w:val="21"/>
              </w:rPr>
            </w:pPr>
            <w:r>
              <w:rPr>
                <w:rFonts w:hint="eastAsia" w:ascii="宋体" w:hAnsi="宋体" w:eastAsia="宋体" w:cs="宋体"/>
                <w:color w:val="auto"/>
                <w:spacing w:val="3"/>
                <w:sz w:val="21"/>
                <w:szCs w:val="21"/>
              </w:rPr>
              <w:t>自评通知</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10"/>
                <w:sz w:val="21"/>
                <w:szCs w:val="21"/>
              </w:rPr>
              <w:t>(8分)</w:t>
            </w:r>
          </w:p>
        </w:tc>
        <w:tc>
          <w:tcPr>
            <w:tcW w:w="4849" w:type="dxa"/>
            <w:vAlign w:val="top"/>
          </w:tcPr>
          <w:p>
            <w:pPr>
              <w:spacing w:before="79" w:line="219" w:lineRule="auto"/>
              <w:ind w:left="121"/>
              <w:rPr>
                <w:rFonts w:hint="eastAsia" w:ascii="宋体" w:hAnsi="宋体" w:eastAsia="宋体" w:cs="宋体"/>
                <w:color w:val="auto"/>
                <w:sz w:val="21"/>
                <w:szCs w:val="21"/>
              </w:rPr>
            </w:pPr>
            <w:r>
              <w:rPr>
                <w:rFonts w:hint="eastAsia" w:ascii="宋体" w:hAnsi="宋体" w:eastAsia="宋体" w:cs="宋体"/>
                <w:color w:val="auto"/>
                <w:spacing w:val="4"/>
                <w:sz w:val="21"/>
                <w:szCs w:val="21"/>
              </w:rPr>
              <w:t>1.印发绩效自评通知的得2分，否则不得分。</w:t>
            </w:r>
          </w:p>
          <w:p>
            <w:pPr>
              <w:spacing w:before="50" w:line="259" w:lineRule="auto"/>
              <w:ind w:left="121" w:right="52" w:hanging="19"/>
              <w:rPr>
                <w:rFonts w:hint="eastAsia" w:ascii="宋体" w:hAnsi="宋体" w:eastAsia="宋体" w:cs="宋体"/>
                <w:color w:val="auto"/>
                <w:sz w:val="21"/>
                <w:szCs w:val="21"/>
              </w:rPr>
            </w:pPr>
            <w:r>
              <w:rPr>
                <w:rFonts w:hint="eastAsia" w:ascii="宋体" w:hAnsi="宋体" w:eastAsia="宋体" w:cs="宋体"/>
                <w:color w:val="auto"/>
                <w:spacing w:val="-1"/>
                <w:sz w:val="21"/>
                <w:szCs w:val="21"/>
              </w:rPr>
              <w:t>2.按照本规程规定，绩效自评通知包括自评范围、自评</w:t>
            </w:r>
            <w:r>
              <w:rPr>
                <w:rFonts w:hint="eastAsia" w:ascii="宋体" w:hAnsi="宋体" w:eastAsia="宋体" w:cs="宋体"/>
                <w:color w:val="auto"/>
                <w:spacing w:val="13"/>
                <w:sz w:val="21"/>
                <w:szCs w:val="21"/>
              </w:rPr>
              <w:t xml:space="preserve"> </w:t>
            </w:r>
            <w:r>
              <w:rPr>
                <w:rFonts w:hint="eastAsia" w:ascii="宋体" w:hAnsi="宋体" w:eastAsia="宋体" w:cs="宋体"/>
                <w:color w:val="auto"/>
                <w:spacing w:val="-1"/>
                <w:sz w:val="21"/>
                <w:szCs w:val="21"/>
              </w:rPr>
              <w:t>主要依据、自评主要内容、自评程序和步骤、有关要求</w:t>
            </w:r>
            <w:r>
              <w:rPr>
                <w:rFonts w:hint="eastAsia" w:ascii="宋体" w:hAnsi="宋体" w:eastAsia="宋体" w:cs="宋体"/>
                <w:color w:val="auto"/>
                <w:spacing w:val="13"/>
                <w:sz w:val="21"/>
                <w:szCs w:val="21"/>
              </w:rPr>
              <w:t xml:space="preserve"> </w:t>
            </w:r>
            <w:r>
              <w:rPr>
                <w:rFonts w:hint="eastAsia" w:ascii="宋体" w:hAnsi="宋体" w:eastAsia="宋体" w:cs="宋体"/>
                <w:color w:val="auto"/>
                <w:spacing w:val="2"/>
                <w:sz w:val="21"/>
                <w:szCs w:val="21"/>
              </w:rPr>
              <w:t>等内容，并附有本通知要求的附件的，得6分；否则缺</w:t>
            </w:r>
            <w:r>
              <w:rPr>
                <w:rFonts w:hint="eastAsia" w:ascii="宋体" w:hAnsi="宋体" w:eastAsia="宋体" w:cs="宋体"/>
                <w:color w:val="auto"/>
                <w:spacing w:val="18"/>
                <w:sz w:val="21"/>
                <w:szCs w:val="21"/>
              </w:rPr>
              <w:t xml:space="preserve"> </w:t>
            </w:r>
            <w:r>
              <w:rPr>
                <w:rFonts w:hint="eastAsia" w:ascii="宋体" w:hAnsi="宋体" w:eastAsia="宋体" w:cs="宋体"/>
                <w:color w:val="auto"/>
                <w:spacing w:val="16"/>
                <w:sz w:val="21"/>
                <w:szCs w:val="21"/>
              </w:rPr>
              <w:t>1项扣1分，最多扣6分。</w:t>
            </w:r>
          </w:p>
        </w:tc>
        <w:tc>
          <w:tcPr>
            <w:tcW w:w="3004" w:type="dxa"/>
            <w:vAlign w:val="top"/>
          </w:tcPr>
          <w:p>
            <w:pPr>
              <w:spacing w:line="289" w:lineRule="auto"/>
              <w:rPr>
                <w:rFonts w:hint="eastAsia" w:ascii="宋体" w:hAnsi="宋体" w:eastAsia="宋体" w:cs="宋体"/>
                <w:color w:val="auto"/>
                <w:sz w:val="21"/>
                <w:szCs w:val="21"/>
              </w:rPr>
            </w:pPr>
          </w:p>
          <w:p>
            <w:pPr>
              <w:spacing w:line="290" w:lineRule="auto"/>
              <w:rPr>
                <w:rFonts w:hint="eastAsia" w:ascii="宋体" w:hAnsi="宋体" w:eastAsia="宋体" w:cs="宋体"/>
                <w:color w:val="auto"/>
                <w:sz w:val="21"/>
                <w:szCs w:val="21"/>
              </w:rPr>
            </w:pPr>
          </w:p>
          <w:p>
            <w:pPr>
              <w:spacing w:before="65" w:line="219" w:lineRule="auto"/>
              <w:ind w:left="117"/>
              <w:rPr>
                <w:rFonts w:hint="eastAsia" w:ascii="宋体" w:hAnsi="宋体" w:eastAsia="宋体" w:cs="宋体"/>
                <w:color w:val="auto"/>
                <w:sz w:val="21"/>
                <w:szCs w:val="21"/>
              </w:rPr>
            </w:pPr>
            <w:r>
              <w:rPr>
                <w:rFonts w:hint="eastAsia" w:ascii="宋体" w:hAnsi="宋体" w:eastAsia="宋体" w:cs="宋体"/>
                <w:color w:val="auto"/>
                <w:spacing w:val="-1"/>
                <w:sz w:val="21"/>
                <w:szCs w:val="21"/>
              </w:rPr>
              <w:t>绩效自评通知盖章的电子版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744" w:type="dxa"/>
            <w:vMerge w:val="continue"/>
            <w:tcBorders>
              <w:top w:val="nil"/>
            </w:tcBorders>
            <w:vAlign w:val="top"/>
          </w:tcPr>
          <w:p>
            <w:pPr>
              <w:rPr>
                <w:rFonts w:hint="eastAsia" w:ascii="宋体" w:hAnsi="宋体" w:eastAsia="宋体" w:cs="宋体"/>
                <w:color w:val="auto"/>
                <w:sz w:val="21"/>
                <w:szCs w:val="21"/>
              </w:rPr>
            </w:pPr>
          </w:p>
        </w:tc>
        <w:tc>
          <w:tcPr>
            <w:tcW w:w="1285" w:type="dxa"/>
            <w:vAlign w:val="top"/>
          </w:tcPr>
          <w:p>
            <w:pPr>
              <w:spacing w:before="239" w:line="249" w:lineRule="auto"/>
              <w:ind w:left="320" w:right="188" w:hanging="150"/>
              <w:rPr>
                <w:rFonts w:hint="eastAsia" w:ascii="宋体" w:hAnsi="宋体" w:eastAsia="宋体" w:cs="宋体"/>
                <w:color w:val="auto"/>
                <w:sz w:val="21"/>
                <w:szCs w:val="21"/>
              </w:rPr>
            </w:pPr>
            <w:r>
              <w:rPr>
                <w:rFonts w:hint="eastAsia" w:ascii="宋体" w:hAnsi="宋体" w:eastAsia="宋体" w:cs="宋体"/>
                <w:color w:val="auto"/>
                <w:spacing w:val="-3"/>
                <w:sz w:val="21"/>
                <w:szCs w:val="21"/>
              </w:rPr>
              <w:t>工作</w:t>
            </w:r>
            <w:r>
              <w:rPr>
                <w:rFonts w:hint="eastAsia" w:ascii="宋体" w:hAnsi="宋体" w:eastAsia="宋体" w:cs="宋体"/>
                <w:color w:val="auto"/>
                <w:spacing w:val="-3"/>
                <w:sz w:val="21"/>
                <w:szCs w:val="21"/>
                <w:lang w:val="en-US" w:eastAsia="zh-CN"/>
              </w:rPr>
              <w:t>小</w:t>
            </w:r>
            <w:r>
              <w:rPr>
                <w:rFonts w:hint="eastAsia" w:ascii="宋体" w:hAnsi="宋体" w:eastAsia="宋体" w:cs="宋体"/>
                <w:color w:val="auto"/>
                <w:spacing w:val="-3"/>
                <w:sz w:val="21"/>
                <w:szCs w:val="21"/>
              </w:rPr>
              <w:t>组</w:t>
            </w:r>
            <w:r>
              <w:rPr>
                <w:rFonts w:hint="eastAsia" w:ascii="宋体" w:hAnsi="宋体" w:eastAsia="宋体" w:cs="宋体"/>
                <w:color w:val="auto"/>
                <w:sz w:val="21"/>
                <w:szCs w:val="21"/>
              </w:rPr>
              <w:t xml:space="preserve"> </w:t>
            </w:r>
            <w:r>
              <w:rPr>
                <w:rFonts w:hint="eastAsia" w:ascii="宋体" w:hAnsi="宋体" w:eastAsia="宋体" w:cs="宋体"/>
                <w:color w:val="auto"/>
                <w:spacing w:val="10"/>
                <w:sz w:val="21"/>
                <w:szCs w:val="21"/>
              </w:rPr>
              <w:t>(2分)</w:t>
            </w:r>
          </w:p>
        </w:tc>
        <w:tc>
          <w:tcPr>
            <w:tcW w:w="4849" w:type="dxa"/>
            <w:vAlign w:val="top"/>
          </w:tcPr>
          <w:p>
            <w:pPr>
              <w:spacing w:line="293" w:lineRule="auto"/>
              <w:rPr>
                <w:rFonts w:hint="eastAsia" w:ascii="宋体" w:hAnsi="宋体" w:eastAsia="宋体" w:cs="宋体"/>
                <w:color w:val="auto"/>
                <w:sz w:val="21"/>
                <w:szCs w:val="21"/>
              </w:rPr>
            </w:pPr>
          </w:p>
          <w:p>
            <w:pPr>
              <w:spacing w:before="65" w:line="219" w:lineRule="auto"/>
              <w:ind w:left="121"/>
              <w:rPr>
                <w:rFonts w:hint="eastAsia" w:ascii="宋体" w:hAnsi="宋体" w:eastAsia="宋体" w:cs="宋体"/>
                <w:color w:val="auto"/>
                <w:sz w:val="21"/>
                <w:szCs w:val="21"/>
              </w:rPr>
            </w:pPr>
            <w:r>
              <w:rPr>
                <w:rFonts w:hint="eastAsia" w:ascii="宋体" w:hAnsi="宋体" w:eastAsia="宋体" w:cs="宋体"/>
                <w:color w:val="auto"/>
                <w:spacing w:val="4"/>
                <w:sz w:val="21"/>
                <w:szCs w:val="21"/>
              </w:rPr>
              <w:t>成立绩效自评工作小组的得2分，否则不得分。</w:t>
            </w:r>
          </w:p>
        </w:tc>
        <w:tc>
          <w:tcPr>
            <w:tcW w:w="3004" w:type="dxa"/>
            <w:vAlign w:val="top"/>
          </w:tcPr>
          <w:p>
            <w:pPr>
              <w:spacing w:before="99" w:line="249" w:lineRule="auto"/>
              <w:ind w:left="117" w:right="85"/>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本部门、本单位预算绩效管理领</w:t>
            </w:r>
            <w:r>
              <w:rPr>
                <w:rFonts w:hint="eastAsia" w:ascii="宋体" w:hAnsi="宋体" w:eastAsia="宋体" w:cs="宋体"/>
                <w:color w:val="auto"/>
                <w:spacing w:val="4"/>
                <w:sz w:val="21"/>
                <w:szCs w:val="21"/>
              </w:rPr>
              <w:t xml:space="preserve"> 导小组/绩效评价工作小组有关</w:t>
            </w:r>
            <w:r>
              <w:rPr>
                <w:rFonts w:hint="eastAsia" w:ascii="宋体" w:hAnsi="宋体" w:eastAsia="宋体" w:cs="宋体"/>
                <w:color w:val="auto"/>
                <w:spacing w:val="12"/>
                <w:sz w:val="21"/>
                <w:szCs w:val="21"/>
              </w:rPr>
              <w:t xml:space="preserve"> </w:t>
            </w:r>
            <w:r>
              <w:rPr>
                <w:rFonts w:hint="eastAsia" w:ascii="宋体" w:hAnsi="宋体" w:eastAsia="宋体" w:cs="宋体"/>
                <w:color w:val="auto"/>
                <w:spacing w:val="-2"/>
                <w:sz w:val="21"/>
                <w:szCs w:val="21"/>
              </w:rPr>
              <w:t>文件盖章的电子版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744" w:type="dxa"/>
            <w:vMerge w:val="restart"/>
            <w:tcBorders>
              <w:bottom w:val="nil"/>
            </w:tcBorders>
            <w:vAlign w:val="top"/>
          </w:tcPr>
          <w:p>
            <w:pPr>
              <w:spacing w:line="314" w:lineRule="auto"/>
              <w:rPr>
                <w:rFonts w:hint="eastAsia" w:ascii="宋体" w:hAnsi="宋体" w:eastAsia="宋体" w:cs="宋体"/>
                <w:color w:val="auto"/>
                <w:sz w:val="21"/>
                <w:szCs w:val="21"/>
              </w:rPr>
            </w:pPr>
          </w:p>
          <w:p>
            <w:pPr>
              <w:spacing w:before="65" w:line="308" w:lineRule="exact"/>
              <w:ind w:left="165"/>
              <w:rPr>
                <w:rFonts w:hint="eastAsia" w:ascii="宋体" w:hAnsi="宋体" w:eastAsia="宋体" w:cs="宋体"/>
                <w:color w:val="auto"/>
                <w:sz w:val="21"/>
                <w:szCs w:val="21"/>
              </w:rPr>
            </w:pPr>
            <w:r>
              <w:rPr>
                <w:rFonts w:hint="eastAsia" w:ascii="宋体" w:hAnsi="宋体" w:eastAsia="宋体" w:cs="宋体"/>
                <w:color w:val="auto"/>
                <w:spacing w:val="4"/>
                <w:position w:val="7"/>
                <w:sz w:val="21"/>
                <w:szCs w:val="21"/>
              </w:rPr>
              <w:t>实施</w:t>
            </w:r>
          </w:p>
          <w:p>
            <w:pPr>
              <w:spacing w:line="217" w:lineRule="auto"/>
              <w:ind w:left="165"/>
              <w:rPr>
                <w:rFonts w:hint="eastAsia" w:ascii="宋体" w:hAnsi="宋体" w:eastAsia="宋体" w:cs="宋体"/>
                <w:color w:val="auto"/>
                <w:sz w:val="21"/>
                <w:szCs w:val="21"/>
              </w:rPr>
            </w:pPr>
            <w:r>
              <w:rPr>
                <w:rFonts w:hint="eastAsia" w:ascii="宋体" w:hAnsi="宋体" w:eastAsia="宋体" w:cs="宋体"/>
                <w:color w:val="auto"/>
                <w:spacing w:val="-2"/>
                <w:sz w:val="21"/>
                <w:szCs w:val="21"/>
              </w:rPr>
              <w:t>评价</w:t>
            </w:r>
          </w:p>
          <w:p>
            <w:pPr>
              <w:spacing w:line="309" w:lineRule="auto"/>
              <w:rPr>
                <w:rFonts w:hint="eastAsia" w:ascii="宋体" w:hAnsi="宋体" w:eastAsia="宋体" w:cs="宋体"/>
                <w:color w:val="auto"/>
                <w:sz w:val="21"/>
                <w:szCs w:val="21"/>
              </w:rPr>
            </w:pPr>
          </w:p>
          <w:p>
            <w:pPr>
              <w:spacing w:before="65" w:line="220" w:lineRule="auto"/>
              <w:ind w:left="165"/>
              <w:rPr>
                <w:rFonts w:hint="eastAsia" w:ascii="宋体" w:hAnsi="宋体" w:eastAsia="宋体" w:cs="宋体"/>
                <w:color w:val="auto"/>
                <w:sz w:val="21"/>
                <w:szCs w:val="21"/>
              </w:rPr>
            </w:pPr>
            <w:r>
              <w:rPr>
                <w:rFonts w:hint="eastAsia" w:ascii="宋体" w:hAnsi="宋体" w:eastAsia="宋体" w:cs="宋体"/>
                <w:color w:val="auto"/>
                <w:spacing w:val="-2"/>
                <w:sz w:val="21"/>
                <w:szCs w:val="21"/>
              </w:rPr>
              <w:t>20分</w:t>
            </w:r>
          </w:p>
        </w:tc>
        <w:tc>
          <w:tcPr>
            <w:tcW w:w="1285" w:type="dxa"/>
            <w:vAlign w:val="top"/>
          </w:tcPr>
          <w:p>
            <w:pPr>
              <w:spacing w:line="304" w:lineRule="auto"/>
              <w:rPr>
                <w:rFonts w:hint="eastAsia" w:ascii="宋体" w:hAnsi="宋体" w:eastAsia="宋体" w:cs="宋体"/>
                <w:color w:val="auto"/>
                <w:sz w:val="21"/>
                <w:szCs w:val="21"/>
              </w:rPr>
            </w:pPr>
          </w:p>
          <w:p>
            <w:pPr>
              <w:spacing w:before="65" w:line="220" w:lineRule="auto"/>
              <w:ind w:left="170"/>
              <w:rPr>
                <w:rFonts w:hint="eastAsia" w:ascii="宋体" w:hAnsi="宋体" w:eastAsia="宋体" w:cs="宋体"/>
                <w:color w:val="auto"/>
                <w:sz w:val="21"/>
                <w:szCs w:val="21"/>
              </w:rPr>
            </w:pPr>
            <w:r>
              <w:rPr>
                <w:rFonts w:hint="eastAsia" w:ascii="宋体" w:hAnsi="宋体" w:eastAsia="宋体" w:cs="宋体"/>
                <w:color w:val="auto"/>
                <w:spacing w:val="-2"/>
                <w:sz w:val="21"/>
                <w:szCs w:val="21"/>
              </w:rPr>
              <w:t>单位自查</w:t>
            </w:r>
          </w:p>
          <w:p>
            <w:pPr>
              <w:spacing w:before="71" w:line="220" w:lineRule="auto"/>
              <w:ind w:left="270"/>
              <w:rPr>
                <w:rFonts w:hint="eastAsia" w:ascii="宋体" w:hAnsi="宋体" w:eastAsia="宋体" w:cs="宋体"/>
                <w:color w:val="auto"/>
                <w:sz w:val="21"/>
                <w:szCs w:val="21"/>
              </w:rPr>
            </w:pPr>
            <w:r>
              <w:rPr>
                <w:rFonts w:hint="eastAsia" w:ascii="宋体" w:hAnsi="宋体" w:eastAsia="宋体" w:cs="宋体"/>
                <w:color w:val="auto"/>
                <w:spacing w:val="8"/>
                <w:sz w:val="21"/>
                <w:szCs w:val="21"/>
              </w:rPr>
              <w:t>(10分)</w:t>
            </w:r>
          </w:p>
        </w:tc>
        <w:tc>
          <w:tcPr>
            <w:tcW w:w="4849" w:type="dxa"/>
            <w:vAlign w:val="top"/>
          </w:tcPr>
          <w:p>
            <w:pPr>
              <w:spacing w:before="82" w:line="260" w:lineRule="auto"/>
              <w:ind w:left="121" w:right="31"/>
              <w:jc w:val="both"/>
              <w:rPr>
                <w:rFonts w:hint="eastAsia" w:ascii="宋体" w:hAnsi="宋体" w:eastAsia="宋体" w:cs="宋体"/>
                <w:color w:val="auto"/>
                <w:sz w:val="21"/>
                <w:szCs w:val="21"/>
              </w:rPr>
            </w:pPr>
            <w:r>
              <w:rPr>
                <w:rFonts w:hint="eastAsia" w:ascii="宋体" w:hAnsi="宋体" w:eastAsia="宋体" w:cs="宋体"/>
                <w:color w:val="auto"/>
                <w:sz w:val="21"/>
                <w:szCs w:val="21"/>
              </w:rPr>
              <w:t>市级预算部门本级和所属单位都要开展绩效自查，转移</w:t>
            </w:r>
            <w:r>
              <w:rPr>
                <w:rFonts w:hint="eastAsia" w:ascii="宋体" w:hAnsi="宋体" w:eastAsia="宋体" w:cs="宋体"/>
                <w:color w:val="auto"/>
                <w:spacing w:val="10"/>
                <w:sz w:val="21"/>
                <w:szCs w:val="21"/>
              </w:rPr>
              <w:t xml:space="preserve"> </w:t>
            </w:r>
            <w:r>
              <w:rPr>
                <w:rFonts w:hint="eastAsia" w:ascii="宋体" w:hAnsi="宋体" w:eastAsia="宋体" w:cs="宋体"/>
                <w:color w:val="auto"/>
                <w:spacing w:val="-1"/>
                <w:sz w:val="21"/>
                <w:szCs w:val="21"/>
              </w:rPr>
              <w:t>支付项目单位都要开展绩效自查，县、区级主管部门都</w:t>
            </w:r>
            <w:r>
              <w:rPr>
                <w:rFonts w:hint="eastAsia" w:ascii="宋体" w:hAnsi="宋体" w:eastAsia="宋体" w:cs="宋体"/>
                <w:color w:val="auto"/>
                <w:spacing w:val="14"/>
                <w:sz w:val="21"/>
                <w:szCs w:val="21"/>
              </w:rPr>
              <w:t xml:space="preserve"> </w:t>
            </w:r>
            <w:r>
              <w:rPr>
                <w:rFonts w:hint="eastAsia" w:ascii="宋体" w:hAnsi="宋体" w:eastAsia="宋体" w:cs="宋体"/>
                <w:color w:val="auto"/>
                <w:spacing w:val="-1"/>
                <w:sz w:val="21"/>
                <w:szCs w:val="21"/>
              </w:rPr>
              <w:t>要汇总本区域转移支付情况；以上各项每发现一个单位</w:t>
            </w:r>
            <w:r>
              <w:rPr>
                <w:rFonts w:hint="eastAsia" w:ascii="宋体" w:hAnsi="宋体" w:eastAsia="宋体" w:cs="宋体"/>
                <w:color w:val="auto"/>
                <w:spacing w:val="14"/>
                <w:sz w:val="21"/>
                <w:szCs w:val="21"/>
              </w:rPr>
              <w:t xml:space="preserve"> </w:t>
            </w:r>
            <w:r>
              <w:rPr>
                <w:rFonts w:hint="eastAsia" w:ascii="宋体" w:hAnsi="宋体" w:eastAsia="宋体" w:cs="宋体"/>
                <w:color w:val="auto"/>
                <w:spacing w:val="7"/>
                <w:sz w:val="21"/>
                <w:szCs w:val="21"/>
              </w:rPr>
              <w:t>没有做相应工作的，扣1分，最多扣10分。</w:t>
            </w:r>
          </w:p>
        </w:tc>
        <w:tc>
          <w:tcPr>
            <w:tcW w:w="3004" w:type="dxa"/>
            <w:vAlign w:val="top"/>
          </w:tcPr>
          <w:p>
            <w:pPr>
              <w:spacing w:before="91" w:line="235" w:lineRule="auto"/>
              <w:ind w:left="117" w:right="82"/>
              <w:rPr>
                <w:rFonts w:hint="eastAsia" w:ascii="宋体" w:hAnsi="宋体" w:eastAsia="宋体" w:cs="宋体"/>
                <w:color w:val="auto"/>
                <w:sz w:val="21"/>
                <w:szCs w:val="21"/>
              </w:rPr>
            </w:pPr>
            <w:r>
              <w:rPr>
                <w:rFonts w:hint="eastAsia" w:ascii="宋体" w:hAnsi="宋体" w:eastAsia="宋体" w:cs="宋体"/>
                <w:color w:val="auto"/>
                <w:spacing w:val="6"/>
                <w:sz w:val="21"/>
                <w:szCs w:val="21"/>
              </w:rPr>
              <w:t>1、转移支付项目单位名称和资</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2"/>
                <w:sz w:val="21"/>
                <w:szCs w:val="21"/>
              </w:rPr>
              <w:t>金情况清单</w:t>
            </w:r>
          </w:p>
          <w:p>
            <w:pPr>
              <w:spacing w:before="80" w:line="244" w:lineRule="auto"/>
              <w:ind w:left="117" w:right="86"/>
              <w:rPr>
                <w:rFonts w:hint="eastAsia" w:ascii="宋体" w:hAnsi="宋体" w:eastAsia="宋体" w:cs="宋体"/>
                <w:color w:val="auto"/>
                <w:sz w:val="21"/>
                <w:szCs w:val="21"/>
              </w:rPr>
            </w:pPr>
            <w:r>
              <w:rPr>
                <w:rFonts w:hint="eastAsia" w:ascii="宋体" w:hAnsi="宋体" w:eastAsia="宋体" w:cs="宋体"/>
                <w:color w:val="auto"/>
                <w:spacing w:val="6"/>
                <w:sz w:val="21"/>
                <w:szCs w:val="21"/>
              </w:rPr>
              <w:t>2、有转移支付资金的各县区主</w:t>
            </w:r>
            <w:r>
              <w:rPr>
                <w:rFonts w:hint="eastAsia" w:ascii="宋体" w:hAnsi="宋体" w:eastAsia="宋体" w:cs="宋体"/>
                <w:color w:val="auto"/>
                <w:spacing w:val="5"/>
                <w:sz w:val="21"/>
                <w:szCs w:val="21"/>
              </w:rPr>
              <w:t xml:space="preserve"> </w:t>
            </w:r>
            <w:r>
              <w:rPr>
                <w:rFonts w:hint="eastAsia" w:ascii="宋体" w:hAnsi="宋体" w:eastAsia="宋体" w:cs="宋体"/>
                <w:color w:val="auto"/>
                <w:spacing w:val="13"/>
                <w:sz w:val="21"/>
                <w:szCs w:val="21"/>
              </w:rPr>
              <w:t>管部门汇总情况的盖章</w:t>
            </w:r>
            <w:r>
              <w:rPr>
                <w:rFonts w:hint="eastAsia" w:ascii="宋体" w:hAnsi="宋体" w:eastAsia="宋体" w:cs="宋体"/>
                <w:color w:val="auto"/>
                <w:sz w:val="21"/>
                <w:szCs w:val="21"/>
              </w:rPr>
              <w:t>PDF</w:t>
            </w:r>
            <w:r>
              <w:rPr>
                <w:rFonts w:hint="eastAsia" w:ascii="宋体" w:hAnsi="宋体" w:eastAsia="宋体" w:cs="宋体"/>
                <w:color w:val="auto"/>
                <w:spacing w:val="13"/>
                <w:sz w:val="21"/>
                <w:szCs w:val="21"/>
              </w:rPr>
              <w:t>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44" w:type="dxa"/>
            <w:vMerge w:val="continue"/>
            <w:tcBorders>
              <w:top w:val="nil"/>
            </w:tcBorders>
            <w:vAlign w:val="top"/>
          </w:tcPr>
          <w:p>
            <w:pPr>
              <w:rPr>
                <w:rFonts w:hint="eastAsia" w:ascii="宋体" w:hAnsi="宋体" w:eastAsia="宋体" w:cs="宋体"/>
                <w:color w:val="auto"/>
                <w:sz w:val="21"/>
                <w:szCs w:val="21"/>
              </w:rPr>
            </w:pPr>
          </w:p>
        </w:tc>
        <w:tc>
          <w:tcPr>
            <w:tcW w:w="1285" w:type="dxa"/>
            <w:vAlign w:val="top"/>
          </w:tcPr>
          <w:p>
            <w:pPr>
              <w:spacing w:before="90" w:line="218" w:lineRule="auto"/>
              <w:ind w:left="170"/>
              <w:rPr>
                <w:rFonts w:hint="eastAsia" w:ascii="宋体" w:hAnsi="宋体" w:eastAsia="宋体" w:cs="宋体"/>
                <w:color w:val="auto"/>
                <w:sz w:val="21"/>
                <w:szCs w:val="21"/>
              </w:rPr>
            </w:pPr>
            <w:r>
              <w:rPr>
                <w:rFonts w:hint="eastAsia" w:ascii="宋体" w:hAnsi="宋体" w:eastAsia="宋体" w:cs="宋体"/>
                <w:color w:val="auto"/>
                <w:spacing w:val="3"/>
                <w:sz w:val="21"/>
                <w:szCs w:val="21"/>
              </w:rPr>
              <w:t>提交报告</w:t>
            </w:r>
          </w:p>
          <w:p>
            <w:pPr>
              <w:spacing w:before="55" w:line="200" w:lineRule="auto"/>
              <w:ind w:left="270"/>
              <w:rPr>
                <w:rFonts w:hint="eastAsia" w:ascii="宋体" w:hAnsi="宋体" w:eastAsia="宋体" w:cs="宋体"/>
                <w:color w:val="auto"/>
                <w:sz w:val="21"/>
                <w:szCs w:val="21"/>
              </w:rPr>
            </w:pPr>
            <w:r>
              <w:rPr>
                <w:rFonts w:hint="eastAsia" w:ascii="宋体" w:hAnsi="宋体" w:eastAsia="宋体" w:cs="宋体"/>
                <w:color w:val="auto"/>
                <w:spacing w:val="8"/>
                <w:sz w:val="21"/>
                <w:szCs w:val="21"/>
              </w:rPr>
              <w:t>(10分)</w:t>
            </w:r>
          </w:p>
        </w:tc>
        <w:tc>
          <w:tcPr>
            <w:tcW w:w="7853" w:type="dxa"/>
            <w:gridSpan w:val="2"/>
            <w:vAlign w:val="top"/>
          </w:tcPr>
          <w:p>
            <w:pPr>
              <w:spacing w:before="200" w:line="218" w:lineRule="auto"/>
              <w:ind w:left="102"/>
              <w:rPr>
                <w:rFonts w:hint="eastAsia" w:ascii="宋体" w:hAnsi="宋体" w:eastAsia="宋体" w:cs="宋体"/>
                <w:color w:val="auto"/>
                <w:sz w:val="21"/>
                <w:szCs w:val="21"/>
              </w:rPr>
            </w:pPr>
            <w:r>
              <w:rPr>
                <w:rFonts w:hint="eastAsia" w:ascii="宋体" w:hAnsi="宋体" w:eastAsia="宋体" w:cs="宋体"/>
                <w:color w:val="auto"/>
                <w:spacing w:val="4"/>
                <w:sz w:val="21"/>
                <w:szCs w:val="21"/>
              </w:rPr>
              <w:t>按时向市财政局报送报告的得10分；每推迟一个工作日报送报告的扣1分，最多</w:t>
            </w:r>
            <w:r>
              <w:rPr>
                <w:rFonts w:hint="eastAsia" w:ascii="宋体" w:hAnsi="宋体" w:eastAsia="宋体" w:cs="宋体"/>
                <w:color w:val="auto"/>
                <w:spacing w:val="3"/>
                <w:sz w:val="21"/>
                <w:szCs w:val="21"/>
              </w:rPr>
              <w:t>扣10分。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44" w:type="dxa"/>
            <w:vMerge w:val="restart"/>
            <w:tcBorders>
              <w:bottom w:val="nil"/>
            </w:tcBorders>
            <w:vAlign w:val="top"/>
          </w:tcPr>
          <w:p>
            <w:pPr>
              <w:spacing w:line="253" w:lineRule="auto"/>
              <w:rPr>
                <w:rFonts w:hint="eastAsia" w:ascii="宋体" w:hAnsi="宋体" w:eastAsia="宋体" w:cs="宋体"/>
                <w:color w:val="auto"/>
                <w:sz w:val="21"/>
                <w:szCs w:val="21"/>
              </w:rPr>
            </w:pPr>
          </w:p>
          <w:p>
            <w:pPr>
              <w:spacing w:line="253" w:lineRule="auto"/>
              <w:rPr>
                <w:rFonts w:hint="eastAsia" w:ascii="宋体" w:hAnsi="宋体" w:eastAsia="宋体" w:cs="宋体"/>
                <w:color w:val="auto"/>
                <w:sz w:val="21"/>
                <w:szCs w:val="21"/>
              </w:rPr>
            </w:pPr>
          </w:p>
          <w:p>
            <w:pPr>
              <w:spacing w:line="253" w:lineRule="auto"/>
              <w:rPr>
                <w:rFonts w:hint="eastAsia" w:ascii="宋体" w:hAnsi="宋体" w:eastAsia="宋体" w:cs="宋体"/>
                <w:color w:val="auto"/>
                <w:sz w:val="21"/>
                <w:szCs w:val="21"/>
              </w:rPr>
            </w:pPr>
          </w:p>
          <w:p>
            <w:pPr>
              <w:spacing w:line="253" w:lineRule="auto"/>
              <w:rPr>
                <w:rFonts w:hint="eastAsia" w:ascii="宋体" w:hAnsi="宋体" w:eastAsia="宋体" w:cs="宋体"/>
                <w:color w:val="auto"/>
                <w:sz w:val="21"/>
                <w:szCs w:val="21"/>
              </w:rPr>
            </w:pPr>
          </w:p>
          <w:p>
            <w:pPr>
              <w:spacing w:line="253" w:lineRule="auto"/>
              <w:rPr>
                <w:rFonts w:hint="eastAsia" w:ascii="宋体" w:hAnsi="宋体" w:eastAsia="宋体" w:cs="宋体"/>
                <w:color w:val="auto"/>
                <w:sz w:val="21"/>
                <w:szCs w:val="21"/>
              </w:rPr>
            </w:pPr>
          </w:p>
          <w:p>
            <w:pPr>
              <w:spacing w:line="253" w:lineRule="auto"/>
              <w:rPr>
                <w:rFonts w:hint="eastAsia" w:ascii="宋体" w:hAnsi="宋体" w:eastAsia="宋体" w:cs="宋体"/>
                <w:color w:val="auto"/>
                <w:sz w:val="21"/>
                <w:szCs w:val="21"/>
              </w:rPr>
            </w:pPr>
          </w:p>
          <w:p>
            <w:pPr>
              <w:spacing w:line="253" w:lineRule="auto"/>
              <w:rPr>
                <w:rFonts w:hint="eastAsia" w:ascii="宋体" w:hAnsi="宋体" w:eastAsia="宋体" w:cs="宋体"/>
                <w:color w:val="auto"/>
                <w:sz w:val="21"/>
                <w:szCs w:val="21"/>
              </w:rPr>
            </w:pPr>
          </w:p>
          <w:p>
            <w:pPr>
              <w:spacing w:line="254" w:lineRule="auto"/>
              <w:rPr>
                <w:rFonts w:hint="eastAsia" w:ascii="宋体" w:hAnsi="宋体" w:eastAsia="宋体" w:cs="宋体"/>
                <w:color w:val="auto"/>
                <w:sz w:val="21"/>
                <w:szCs w:val="21"/>
              </w:rPr>
            </w:pPr>
          </w:p>
          <w:p>
            <w:pPr>
              <w:spacing w:line="254" w:lineRule="auto"/>
              <w:rPr>
                <w:rFonts w:hint="eastAsia" w:ascii="宋体" w:hAnsi="宋体" w:eastAsia="宋体" w:cs="宋体"/>
                <w:color w:val="auto"/>
                <w:sz w:val="21"/>
                <w:szCs w:val="21"/>
              </w:rPr>
            </w:pPr>
          </w:p>
          <w:p>
            <w:pPr>
              <w:spacing w:line="254" w:lineRule="auto"/>
              <w:rPr>
                <w:rFonts w:hint="eastAsia" w:ascii="宋体" w:hAnsi="宋体" w:eastAsia="宋体" w:cs="宋体"/>
                <w:color w:val="auto"/>
                <w:sz w:val="21"/>
                <w:szCs w:val="21"/>
              </w:rPr>
            </w:pPr>
          </w:p>
          <w:p>
            <w:pPr>
              <w:spacing w:before="65" w:line="308" w:lineRule="exact"/>
              <w:ind w:left="165"/>
              <w:rPr>
                <w:rFonts w:hint="eastAsia" w:ascii="宋体" w:hAnsi="宋体" w:eastAsia="宋体" w:cs="宋体"/>
                <w:color w:val="auto"/>
                <w:sz w:val="21"/>
                <w:szCs w:val="21"/>
              </w:rPr>
            </w:pPr>
            <w:r>
              <w:rPr>
                <w:rFonts w:hint="eastAsia" w:ascii="宋体" w:hAnsi="宋体" w:eastAsia="宋体" w:cs="宋体"/>
                <w:color w:val="auto"/>
                <w:spacing w:val="7"/>
                <w:position w:val="7"/>
                <w:sz w:val="21"/>
                <w:szCs w:val="21"/>
              </w:rPr>
              <w:t>自评</w:t>
            </w:r>
          </w:p>
          <w:p>
            <w:pPr>
              <w:spacing w:line="217" w:lineRule="auto"/>
              <w:ind w:left="165"/>
              <w:rPr>
                <w:rFonts w:hint="eastAsia" w:ascii="宋体" w:hAnsi="宋体" w:eastAsia="宋体" w:cs="宋体"/>
                <w:color w:val="auto"/>
                <w:sz w:val="21"/>
                <w:szCs w:val="21"/>
              </w:rPr>
            </w:pPr>
            <w:r>
              <w:rPr>
                <w:rFonts w:hint="eastAsia" w:ascii="宋体" w:hAnsi="宋体" w:eastAsia="宋体" w:cs="宋体"/>
                <w:color w:val="auto"/>
                <w:spacing w:val="6"/>
                <w:sz w:val="21"/>
                <w:szCs w:val="21"/>
              </w:rPr>
              <w:t>报告</w:t>
            </w:r>
          </w:p>
          <w:p>
            <w:pPr>
              <w:spacing w:line="299" w:lineRule="auto"/>
              <w:rPr>
                <w:rFonts w:hint="eastAsia" w:ascii="宋体" w:hAnsi="宋体" w:eastAsia="宋体" w:cs="宋体"/>
                <w:color w:val="auto"/>
                <w:sz w:val="21"/>
                <w:szCs w:val="21"/>
              </w:rPr>
            </w:pPr>
          </w:p>
          <w:p>
            <w:pPr>
              <w:spacing w:before="65" w:line="220" w:lineRule="auto"/>
              <w:ind w:left="165"/>
              <w:rPr>
                <w:rFonts w:hint="eastAsia" w:ascii="宋体" w:hAnsi="宋体" w:eastAsia="宋体" w:cs="宋体"/>
                <w:color w:val="auto"/>
                <w:sz w:val="21"/>
                <w:szCs w:val="21"/>
              </w:rPr>
            </w:pPr>
            <w:r>
              <w:rPr>
                <w:rFonts w:hint="eastAsia" w:ascii="宋体" w:hAnsi="宋体" w:eastAsia="宋体" w:cs="宋体"/>
                <w:color w:val="auto"/>
                <w:spacing w:val="2"/>
                <w:sz w:val="21"/>
                <w:szCs w:val="21"/>
              </w:rPr>
              <w:t>70分</w:t>
            </w:r>
          </w:p>
        </w:tc>
        <w:tc>
          <w:tcPr>
            <w:tcW w:w="1285" w:type="dxa"/>
            <w:vAlign w:val="top"/>
          </w:tcPr>
          <w:p>
            <w:pPr>
              <w:spacing w:before="162" w:line="301" w:lineRule="exact"/>
              <w:ind w:left="270"/>
              <w:rPr>
                <w:rFonts w:hint="eastAsia" w:ascii="宋体" w:hAnsi="宋体" w:eastAsia="宋体" w:cs="宋体"/>
                <w:color w:val="auto"/>
                <w:sz w:val="21"/>
                <w:szCs w:val="21"/>
              </w:rPr>
            </w:pPr>
            <w:r>
              <w:rPr>
                <w:rFonts w:hint="eastAsia" w:ascii="宋体" w:hAnsi="宋体" w:eastAsia="宋体" w:cs="宋体"/>
                <w:color w:val="auto"/>
                <w:spacing w:val="-3"/>
                <w:position w:val="7"/>
                <w:sz w:val="21"/>
                <w:szCs w:val="21"/>
              </w:rPr>
              <w:t>完整性</w:t>
            </w:r>
          </w:p>
          <w:p>
            <w:pPr>
              <w:spacing w:line="220" w:lineRule="auto"/>
              <w:ind w:left="270"/>
              <w:rPr>
                <w:rFonts w:hint="eastAsia" w:ascii="宋体" w:hAnsi="宋体" w:eastAsia="宋体" w:cs="宋体"/>
                <w:color w:val="auto"/>
                <w:sz w:val="21"/>
                <w:szCs w:val="21"/>
              </w:rPr>
            </w:pPr>
            <w:r>
              <w:rPr>
                <w:rFonts w:hint="eastAsia" w:ascii="宋体" w:hAnsi="宋体" w:eastAsia="宋体" w:cs="宋体"/>
                <w:color w:val="auto"/>
                <w:spacing w:val="8"/>
                <w:sz w:val="21"/>
                <w:szCs w:val="21"/>
              </w:rPr>
              <w:t>(15分)</w:t>
            </w:r>
          </w:p>
        </w:tc>
        <w:tc>
          <w:tcPr>
            <w:tcW w:w="7853" w:type="dxa"/>
            <w:gridSpan w:val="2"/>
            <w:vAlign w:val="top"/>
          </w:tcPr>
          <w:p>
            <w:pPr>
              <w:spacing w:before="111" w:line="390" w:lineRule="exact"/>
              <w:ind w:left="102"/>
              <w:rPr>
                <w:rFonts w:hint="eastAsia" w:ascii="宋体" w:hAnsi="宋体" w:eastAsia="宋体" w:cs="宋体"/>
                <w:color w:val="auto"/>
                <w:sz w:val="21"/>
                <w:szCs w:val="21"/>
              </w:rPr>
            </w:pPr>
            <w:r>
              <w:rPr>
                <w:rFonts w:hint="eastAsia" w:ascii="宋体" w:hAnsi="宋体" w:eastAsia="宋体" w:cs="宋体"/>
                <w:color w:val="auto"/>
                <w:spacing w:val="5"/>
                <w:position w:val="14"/>
                <w:sz w:val="21"/>
                <w:szCs w:val="21"/>
              </w:rPr>
              <w:t>1.绩效自评报告正文部分内容齐全的，得8分；否则每少一个部分扣2分，最多扣8分。</w:t>
            </w:r>
          </w:p>
          <w:p>
            <w:pPr>
              <w:spacing w:line="217" w:lineRule="auto"/>
              <w:ind w:left="102"/>
              <w:rPr>
                <w:rFonts w:hint="eastAsia" w:ascii="宋体" w:hAnsi="宋体" w:eastAsia="宋体" w:cs="宋体"/>
                <w:color w:val="auto"/>
                <w:sz w:val="21"/>
                <w:szCs w:val="21"/>
              </w:rPr>
            </w:pPr>
            <w:r>
              <w:rPr>
                <w:rFonts w:hint="eastAsia" w:ascii="宋体" w:hAnsi="宋体" w:eastAsia="宋体" w:cs="宋体"/>
                <w:color w:val="auto"/>
                <w:spacing w:val="5"/>
                <w:sz w:val="21"/>
                <w:szCs w:val="21"/>
              </w:rPr>
              <w:t>2.绩效自评报告附件部分内容齐全的，得7分；否则每少一个部分扣2分，最多扣7分。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2" w:hRule="atLeast"/>
        </w:trPr>
        <w:tc>
          <w:tcPr>
            <w:tcW w:w="744" w:type="dxa"/>
            <w:vMerge w:val="continue"/>
            <w:tcBorders>
              <w:top w:val="nil"/>
              <w:bottom w:val="single" w:color="auto" w:sz="4" w:space="0"/>
            </w:tcBorders>
            <w:vAlign w:val="top"/>
          </w:tcPr>
          <w:p>
            <w:pPr>
              <w:rPr>
                <w:rFonts w:hint="eastAsia" w:ascii="宋体" w:hAnsi="宋体" w:eastAsia="宋体" w:cs="宋体"/>
                <w:color w:val="auto"/>
                <w:sz w:val="21"/>
                <w:szCs w:val="21"/>
              </w:rPr>
            </w:pPr>
          </w:p>
        </w:tc>
        <w:tc>
          <w:tcPr>
            <w:tcW w:w="1285" w:type="dxa"/>
            <w:vAlign w:val="top"/>
          </w:tcPr>
          <w:p>
            <w:pPr>
              <w:spacing w:line="270" w:lineRule="auto"/>
              <w:rPr>
                <w:rFonts w:hint="eastAsia" w:ascii="宋体" w:hAnsi="宋体" w:eastAsia="宋体" w:cs="宋体"/>
                <w:color w:val="auto"/>
                <w:sz w:val="21"/>
                <w:szCs w:val="21"/>
              </w:rPr>
            </w:pPr>
          </w:p>
          <w:p>
            <w:pPr>
              <w:spacing w:line="271" w:lineRule="auto"/>
              <w:rPr>
                <w:rFonts w:hint="eastAsia" w:ascii="宋体" w:hAnsi="宋体" w:eastAsia="宋体" w:cs="宋体"/>
                <w:color w:val="auto"/>
                <w:sz w:val="21"/>
                <w:szCs w:val="21"/>
              </w:rPr>
            </w:pPr>
          </w:p>
          <w:p>
            <w:pPr>
              <w:spacing w:line="271" w:lineRule="auto"/>
              <w:rPr>
                <w:rFonts w:hint="eastAsia" w:ascii="宋体" w:hAnsi="宋体" w:eastAsia="宋体" w:cs="宋体"/>
                <w:color w:val="auto"/>
                <w:sz w:val="21"/>
                <w:szCs w:val="21"/>
              </w:rPr>
            </w:pPr>
          </w:p>
          <w:p>
            <w:pPr>
              <w:spacing w:line="271" w:lineRule="auto"/>
              <w:rPr>
                <w:rFonts w:hint="eastAsia" w:ascii="宋体" w:hAnsi="宋体" w:eastAsia="宋体" w:cs="宋体"/>
                <w:color w:val="auto"/>
                <w:sz w:val="21"/>
                <w:szCs w:val="21"/>
              </w:rPr>
            </w:pPr>
          </w:p>
          <w:p>
            <w:pPr>
              <w:spacing w:before="65" w:line="330" w:lineRule="exact"/>
              <w:ind w:left="370"/>
              <w:rPr>
                <w:rFonts w:hint="eastAsia" w:ascii="宋体" w:hAnsi="宋体" w:eastAsia="宋体" w:cs="宋体"/>
                <w:color w:val="auto"/>
                <w:sz w:val="21"/>
                <w:szCs w:val="21"/>
              </w:rPr>
            </w:pPr>
            <w:r>
              <w:rPr>
                <w:rFonts w:hint="eastAsia" w:ascii="宋体" w:hAnsi="宋体" w:eastAsia="宋体" w:cs="宋体"/>
                <w:color w:val="auto"/>
                <w:spacing w:val="-3"/>
                <w:position w:val="9"/>
                <w:sz w:val="21"/>
                <w:szCs w:val="21"/>
              </w:rPr>
              <w:t>绩效</w:t>
            </w:r>
          </w:p>
          <w:p>
            <w:pPr>
              <w:spacing w:line="220" w:lineRule="auto"/>
              <w:ind w:left="270"/>
              <w:rPr>
                <w:rFonts w:hint="eastAsia" w:ascii="宋体" w:hAnsi="宋体" w:eastAsia="宋体" w:cs="宋体"/>
                <w:color w:val="auto"/>
                <w:sz w:val="21"/>
                <w:szCs w:val="21"/>
              </w:rPr>
            </w:pPr>
            <w:r>
              <w:rPr>
                <w:rFonts w:hint="eastAsia" w:ascii="宋体" w:hAnsi="宋体" w:eastAsia="宋体" w:cs="宋体"/>
                <w:color w:val="auto"/>
                <w:spacing w:val="3"/>
                <w:sz w:val="21"/>
                <w:szCs w:val="21"/>
              </w:rPr>
              <w:t>自评表</w:t>
            </w:r>
          </w:p>
          <w:p>
            <w:pPr>
              <w:spacing w:before="61" w:line="220" w:lineRule="auto"/>
              <w:ind w:left="270"/>
              <w:rPr>
                <w:rFonts w:hint="eastAsia" w:ascii="宋体" w:hAnsi="宋体" w:eastAsia="宋体" w:cs="宋体"/>
                <w:color w:val="auto"/>
                <w:sz w:val="21"/>
                <w:szCs w:val="21"/>
              </w:rPr>
            </w:pPr>
            <w:r>
              <w:rPr>
                <w:rFonts w:hint="eastAsia" w:ascii="宋体" w:hAnsi="宋体" w:eastAsia="宋体" w:cs="宋体"/>
                <w:color w:val="auto"/>
                <w:spacing w:val="8"/>
                <w:sz w:val="21"/>
                <w:szCs w:val="21"/>
              </w:rPr>
              <w:t>(20分)</w:t>
            </w:r>
          </w:p>
        </w:tc>
        <w:tc>
          <w:tcPr>
            <w:tcW w:w="7853" w:type="dxa"/>
            <w:gridSpan w:val="2"/>
            <w:vAlign w:val="top"/>
          </w:tcPr>
          <w:p>
            <w:pPr>
              <w:spacing w:before="94" w:line="380" w:lineRule="exact"/>
              <w:ind w:left="102"/>
              <w:rPr>
                <w:rFonts w:hint="eastAsia" w:ascii="宋体" w:hAnsi="宋体" w:eastAsia="宋体" w:cs="宋体"/>
                <w:color w:val="auto"/>
                <w:sz w:val="21"/>
                <w:szCs w:val="21"/>
              </w:rPr>
            </w:pPr>
            <w:r>
              <w:rPr>
                <w:rFonts w:hint="eastAsia" w:ascii="宋体" w:hAnsi="宋体" w:eastAsia="宋体" w:cs="宋体"/>
                <w:color w:val="auto"/>
                <w:spacing w:val="9"/>
                <w:position w:val="14"/>
                <w:sz w:val="21"/>
                <w:szCs w:val="21"/>
              </w:rPr>
              <w:t>1、部门整体支出和项目支出绩效指标反映产出、效益、服务对象满意度方面的指标和预算</w:t>
            </w:r>
          </w:p>
          <w:p>
            <w:pPr>
              <w:spacing w:line="229" w:lineRule="auto"/>
              <w:ind w:left="102"/>
              <w:rPr>
                <w:rFonts w:hint="eastAsia" w:ascii="宋体" w:hAnsi="宋体" w:eastAsia="宋体" w:cs="宋体"/>
                <w:color w:val="auto"/>
                <w:sz w:val="21"/>
                <w:szCs w:val="21"/>
              </w:rPr>
            </w:pPr>
            <w:r>
              <w:rPr>
                <w:rFonts w:hint="eastAsia" w:ascii="宋体" w:hAnsi="宋体" w:eastAsia="宋体" w:cs="宋体"/>
                <w:color w:val="auto"/>
                <w:spacing w:val="11"/>
                <w:sz w:val="21"/>
                <w:szCs w:val="21"/>
              </w:rPr>
              <w:t>执行率的权重符合《岳阳市市级预算部门绩效自评操作规程》要求的，得5分，否则按比</w:t>
            </w:r>
          </w:p>
          <w:p>
            <w:pPr>
              <w:spacing w:before="184" w:line="219" w:lineRule="auto"/>
              <w:ind w:left="102"/>
              <w:rPr>
                <w:rFonts w:hint="eastAsia" w:ascii="宋体" w:hAnsi="宋体" w:eastAsia="宋体" w:cs="宋体"/>
                <w:color w:val="auto"/>
                <w:sz w:val="21"/>
                <w:szCs w:val="21"/>
              </w:rPr>
            </w:pPr>
            <w:r>
              <w:rPr>
                <w:rFonts w:hint="eastAsia" w:ascii="宋体" w:hAnsi="宋体" w:eastAsia="宋体" w:cs="宋体"/>
                <w:color w:val="auto"/>
                <w:spacing w:val="11"/>
                <w:sz w:val="21"/>
                <w:szCs w:val="21"/>
              </w:rPr>
              <w:t>例扣除相应的分数。</w:t>
            </w:r>
          </w:p>
          <w:p>
            <w:pPr>
              <w:spacing w:before="142" w:line="400" w:lineRule="exact"/>
              <w:ind w:left="102"/>
              <w:rPr>
                <w:rFonts w:hint="eastAsia" w:ascii="宋体" w:hAnsi="宋体" w:eastAsia="宋体" w:cs="宋体"/>
                <w:color w:val="auto"/>
                <w:sz w:val="21"/>
                <w:szCs w:val="21"/>
              </w:rPr>
            </w:pPr>
            <w:r>
              <w:rPr>
                <w:rFonts w:hint="eastAsia" w:ascii="宋体" w:hAnsi="宋体" w:eastAsia="宋体" w:cs="宋体"/>
                <w:color w:val="auto"/>
                <w:spacing w:val="2"/>
                <w:position w:val="15"/>
                <w:sz w:val="21"/>
                <w:szCs w:val="21"/>
              </w:rPr>
              <w:t>2.部门整体支出和项目支出绩效指标全部细化到三级指标的，得5分；部分细化的，酌</w:t>
            </w:r>
            <w:r>
              <w:rPr>
                <w:rFonts w:hint="eastAsia" w:ascii="宋体" w:hAnsi="宋体" w:eastAsia="宋体" w:cs="宋体"/>
                <w:color w:val="auto"/>
                <w:spacing w:val="1"/>
                <w:position w:val="15"/>
                <w:sz w:val="21"/>
                <w:szCs w:val="21"/>
              </w:rPr>
              <w:t>情</w:t>
            </w:r>
          </w:p>
          <w:p>
            <w:pPr>
              <w:spacing w:line="219" w:lineRule="auto"/>
              <w:ind w:left="102"/>
              <w:rPr>
                <w:rFonts w:hint="eastAsia" w:ascii="宋体" w:hAnsi="宋体" w:eastAsia="宋体" w:cs="宋体"/>
                <w:color w:val="auto"/>
                <w:sz w:val="21"/>
                <w:szCs w:val="21"/>
              </w:rPr>
            </w:pPr>
            <w:r>
              <w:rPr>
                <w:rFonts w:hint="eastAsia" w:ascii="宋体" w:hAnsi="宋体" w:eastAsia="宋体" w:cs="宋体"/>
                <w:color w:val="auto"/>
                <w:spacing w:val="7"/>
                <w:sz w:val="21"/>
                <w:szCs w:val="21"/>
              </w:rPr>
              <w:t>扣分；没有细化的，不得分。</w:t>
            </w:r>
          </w:p>
          <w:p>
            <w:pPr>
              <w:spacing w:before="132" w:line="369" w:lineRule="auto"/>
              <w:ind w:left="102" w:right="97"/>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3.部门整体支出和项目支出三级绩效指标内涵明确、具体、可衡量的得5</w:t>
            </w:r>
            <w:r>
              <w:rPr>
                <w:rFonts w:hint="eastAsia" w:ascii="宋体" w:hAnsi="宋体" w:eastAsia="宋体" w:cs="宋体"/>
                <w:color w:val="auto"/>
                <w:sz w:val="21"/>
                <w:szCs w:val="21"/>
              </w:rPr>
              <w:t xml:space="preserve">分；突出核心指 </w:t>
            </w:r>
            <w:r>
              <w:rPr>
                <w:rFonts w:hint="eastAsia" w:ascii="宋体" w:hAnsi="宋体" w:eastAsia="宋体" w:cs="宋体"/>
                <w:color w:val="auto"/>
                <w:spacing w:val="2"/>
                <w:sz w:val="21"/>
                <w:szCs w:val="21"/>
              </w:rPr>
              <w:t>标，精简实用的得3分；指标与部门整体支出和项目支出密切相关，</w:t>
            </w:r>
            <w:r>
              <w:rPr>
                <w:rFonts w:hint="eastAsia" w:ascii="宋体" w:hAnsi="宋体" w:eastAsia="宋体" w:cs="宋体"/>
                <w:color w:val="auto"/>
                <w:spacing w:val="1"/>
                <w:sz w:val="21"/>
                <w:szCs w:val="21"/>
              </w:rPr>
              <w:t>全面反映产出和效益</w:t>
            </w:r>
          </w:p>
          <w:p>
            <w:pPr>
              <w:spacing w:line="219" w:lineRule="auto"/>
              <w:ind w:left="102"/>
              <w:rPr>
                <w:rFonts w:hint="eastAsia" w:ascii="宋体" w:hAnsi="宋体" w:eastAsia="宋体" w:cs="宋体"/>
                <w:color w:val="auto"/>
                <w:sz w:val="21"/>
                <w:szCs w:val="21"/>
              </w:rPr>
            </w:pPr>
            <w:r>
              <w:rPr>
                <w:rFonts w:hint="eastAsia" w:ascii="宋体" w:hAnsi="宋体" w:eastAsia="宋体" w:cs="宋体"/>
                <w:color w:val="auto"/>
                <w:spacing w:val="6"/>
                <w:sz w:val="21"/>
                <w:szCs w:val="21"/>
              </w:rPr>
              <w:t>的得2分；否则，每项酌情扣分，最多扣10分。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9" w:hRule="atLeast"/>
        </w:trPr>
        <w:tc>
          <w:tcPr>
            <w:tcW w:w="744" w:type="dxa"/>
            <w:vMerge w:val="continue"/>
            <w:tcBorders>
              <w:top w:val="single" w:color="auto" w:sz="4" w:space="0"/>
              <w:bottom w:val="single" w:color="auto" w:sz="4" w:space="0"/>
            </w:tcBorders>
            <w:vAlign w:val="top"/>
          </w:tcPr>
          <w:p>
            <w:pPr>
              <w:rPr>
                <w:rFonts w:hint="eastAsia" w:ascii="宋体" w:hAnsi="宋体" w:eastAsia="宋体" w:cs="宋体"/>
                <w:color w:val="auto"/>
                <w:sz w:val="21"/>
                <w:szCs w:val="21"/>
              </w:rPr>
            </w:pPr>
          </w:p>
        </w:tc>
        <w:tc>
          <w:tcPr>
            <w:tcW w:w="1285" w:type="dxa"/>
            <w:vAlign w:val="top"/>
          </w:tcPr>
          <w:p>
            <w:pPr>
              <w:spacing w:line="469" w:lineRule="auto"/>
              <w:rPr>
                <w:rFonts w:hint="eastAsia" w:ascii="宋体" w:hAnsi="宋体" w:eastAsia="宋体" w:cs="宋体"/>
                <w:color w:val="auto"/>
                <w:sz w:val="21"/>
                <w:szCs w:val="21"/>
              </w:rPr>
            </w:pPr>
          </w:p>
          <w:p>
            <w:pPr>
              <w:spacing w:before="65" w:line="400" w:lineRule="exact"/>
              <w:ind w:left="270"/>
              <w:rPr>
                <w:rFonts w:hint="eastAsia" w:ascii="宋体" w:hAnsi="宋体" w:eastAsia="宋体" w:cs="宋体"/>
                <w:color w:val="auto"/>
                <w:sz w:val="21"/>
                <w:szCs w:val="21"/>
              </w:rPr>
            </w:pPr>
            <w:r>
              <w:rPr>
                <w:rFonts w:hint="eastAsia" w:ascii="宋体" w:hAnsi="宋体" w:eastAsia="宋体" w:cs="宋体"/>
                <w:color w:val="auto"/>
                <w:spacing w:val="7"/>
                <w:position w:val="15"/>
                <w:sz w:val="21"/>
                <w:szCs w:val="21"/>
              </w:rPr>
              <w:t>反映问</w:t>
            </w:r>
          </w:p>
          <w:p>
            <w:pPr>
              <w:spacing w:line="220" w:lineRule="auto"/>
              <w:ind w:left="270"/>
              <w:rPr>
                <w:rFonts w:hint="eastAsia" w:ascii="宋体" w:hAnsi="宋体" w:eastAsia="宋体" w:cs="宋体"/>
                <w:color w:val="auto"/>
                <w:sz w:val="21"/>
                <w:szCs w:val="21"/>
              </w:rPr>
            </w:pPr>
            <w:r>
              <w:rPr>
                <w:rFonts w:hint="eastAsia" w:ascii="宋体" w:hAnsi="宋体" w:eastAsia="宋体" w:cs="宋体"/>
                <w:color w:val="auto"/>
                <w:spacing w:val="-2"/>
                <w:sz w:val="21"/>
                <w:szCs w:val="21"/>
              </w:rPr>
              <w:t>题情况</w:t>
            </w:r>
          </w:p>
          <w:p>
            <w:pPr>
              <w:spacing w:before="131" w:line="220" w:lineRule="auto"/>
              <w:ind w:left="270"/>
              <w:rPr>
                <w:rFonts w:hint="eastAsia" w:ascii="宋体" w:hAnsi="宋体" w:eastAsia="宋体" w:cs="宋体"/>
                <w:color w:val="auto"/>
                <w:sz w:val="21"/>
                <w:szCs w:val="21"/>
              </w:rPr>
            </w:pPr>
            <w:r>
              <w:rPr>
                <w:rFonts w:hint="eastAsia" w:ascii="宋体" w:hAnsi="宋体" w:eastAsia="宋体" w:cs="宋体"/>
                <w:color w:val="auto"/>
                <w:spacing w:val="8"/>
                <w:sz w:val="21"/>
                <w:szCs w:val="21"/>
              </w:rPr>
              <w:t>(20分)</w:t>
            </w:r>
          </w:p>
        </w:tc>
        <w:tc>
          <w:tcPr>
            <w:tcW w:w="7853" w:type="dxa"/>
            <w:gridSpan w:val="2"/>
            <w:vAlign w:val="top"/>
          </w:tcPr>
          <w:p>
            <w:pPr>
              <w:spacing w:before="117" w:line="369" w:lineRule="auto"/>
              <w:ind w:left="102"/>
              <w:rPr>
                <w:rFonts w:hint="eastAsia" w:ascii="宋体" w:hAnsi="宋体" w:eastAsia="宋体" w:cs="宋体"/>
                <w:color w:val="auto"/>
                <w:sz w:val="21"/>
                <w:szCs w:val="21"/>
              </w:rPr>
            </w:pPr>
            <w:r>
              <w:rPr>
                <w:rFonts w:hint="eastAsia" w:ascii="宋体" w:hAnsi="宋体" w:eastAsia="宋体" w:cs="宋体"/>
                <w:color w:val="auto"/>
                <w:spacing w:val="10"/>
                <w:sz w:val="21"/>
                <w:szCs w:val="21"/>
              </w:rPr>
              <w:t>从预算和预算绩效管理，部门履职效能，资金分配、使</w:t>
            </w:r>
            <w:r>
              <w:rPr>
                <w:rFonts w:hint="eastAsia" w:ascii="宋体" w:hAnsi="宋体" w:eastAsia="宋体" w:cs="宋体"/>
                <w:color w:val="auto"/>
                <w:spacing w:val="9"/>
                <w:sz w:val="21"/>
                <w:szCs w:val="21"/>
              </w:rPr>
              <w:t>用和管理，资产和财务管理，政府</w:t>
            </w:r>
            <w:r>
              <w:rPr>
                <w:rFonts w:hint="eastAsia" w:ascii="宋体" w:hAnsi="宋体" w:eastAsia="宋体" w:cs="宋体"/>
                <w:color w:val="auto"/>
                <w:sz w:val="21"/>
                <w:szCs w:val="21"/>
              </w:rPr>
              <w:t xml:space="preserve">  </w:t>
            </w:r>
            <w:r>
              <w:rPr>
                <w:rFonts w:hint="eastAsia" w:ascii="宋体" w:hAnsi="宋体" w:eastAsia="宋体" w:cs="宋体"/>
                <w:color w:val="auto"/>
                <w:spacing w:val="6"/>
                <w:sz w:val="21"/>
                <w:szCs w:val="21"/>
              </w:rPr>
              <w:t>采购等方面归纳问题、分析原因全面的，得20分；反映问题、分</w:t>
            </w:r>
            <w:r>
              <w:rPr>
                <w:rFonts w:hint="eastAsia" w:ascii="宋体" w:hAnsi="宋体" w:eastAsia="宋体" w:cs="宋体"/>
                <w:color w:val="auto"/>
                <w:spacing w:val="5"/>
                <w:sz w:val="21"/>
                <w:szCs w:val="21"/>
              </w:rPr>
              <w:t>析原因较全面的，得16—</w:t>
            </w:r>
            <w:r>
              <w:rPr>
                <w:rFonts w:hint="eastAsia" w:ascii="宋体" w:hAnsi="宋体" w:eastAsia="宋体" w:cs="宋体"/>
                <w:color w:val="auto"/>
                <w:spacing w:val="-73"/>
                <w:sz w:val="21"/>
                <w:szCs w:val="21"/>
              </w:rPr>
              <w:t xml:space="preserve"> </w:t>
            </w:r>
            <w:r>
              <w:rPr>
                <w:rFonts w:hint="eastAsia" w:ascii="宋体" w:hAnsi="宋体" w:eastAsia="宋体" w:cs="宋体"/>
                <w:color w:val="auto"/>
                <w:spacing w:val="5"/>
                <w:sz w:val="21"/>
                <w:szCs w:val="21"/>
              </w:rPr>
              <w:t>18</w:t>
            </w:r>
            <w:r>
              <w:rPr>
                <w:rFonts w:hint="eastAsia" w:ascii="宋体" w:hAnsi="宋体" w:eastAsia="宋体" w:cs="宋体"/>
                <w:color w:val="auto"/>
                <w:sz w:val="21"/>
                <w:szCs w:val="21"/>
              </w:rPr>
              <w:t xml:space="preserve"> </w:t>
            </w:r>
            <w:r>
              <w:rPr>
                <w:rFonts w:hint="eastAsia" w:ascii="宋体" w:hAnsi="宋体" w:eastAsia="宋体" w:cs="宋体"/>
                <w:color w:val="auto"/>
                <w:spacing w:val="11"/>
                <w:sz w:val="21"/>
                <w:szCs w:val="21"/>
              </w:rPr>
              <w:t>分；反映问题、分析原因不全面的，得13—</w:t>
            </w:r>
            <w:r>
              <w:rPr>
                <w:rFonts w:hint="eastAsia" w:ascii="宋体" w:hAnsi="宋体" w:eastAsia="宋体" w:cs="宋体"/>
                <w:color w:val="auto"/>
                <w:spacing w:val="-70"/>
                <w:sz w:val="21"/>
                <w:szCs w:val="21"/>
              </w:rPr>
              <w:t xml:space="preserve"> </w:t>
            </w:r>
            <w:r>
              <w:rPr>
                <w:rFonts w:hint="eastAsia" w:ascii="宋体" w:hAnsi="宋体" w:eastAsia="宋体" w:cs="宋体"/>
                <w:color w:val="auto"/>
                <w:spacing w:val="11"/>
                <w:sz w:val="21"/>
                <w:szCs w:val="21"/>
              </w:rPr>
              <w:t>15分；问题未归纳且过</w:t>
            </w:r>
            <w:r>
              <w:rPr>
                <w:rFonts w:hint="eastAsia" w:ascii="宋体" w:hAnsi="宋体" w:eastAsia="宋体" w:cs="宋体"/>
                <w:color w:val="auto"/>
                <w:spacing w:val="10"/>
                <w:sz w:val="21"/>
                <w:szCs w:val="21"/>
              </w:rPr>
              <w:t>于简单的，得10—</w:t>
            </w:r>
            <w:r>
              <w:rPr>
                <w:rFonts w:hint="eastAsia" w:ascii="宋体" w:hAnsi="宋体" w:eastAsia="宋体" w:cs="宋体"/>
                <w:color w:val="auto"/>
                <w:spacing w:val="-70"/>
                <w:sz w:val="21"/>
                <w:szCs w:val="21"/>
              </w:rPr>
              <w:t xml:space="preserve"> </w:t>
            </w:r>
            <w:r>
              <w:rPr>
                <w:rFonts w:hint="eastAsia" w:ascii="宋体" w:hAnsi="宋体" w:eastAsia="宋体" w:cs="宋体"/>
                <w:color w:val="auto"/>
                <w:spacing w:val="10"/>
                <w:sz w:val="21"/>
                <w:szCs w:val="21"/>
              </w:rPr>
              <w:t>12</w:t>
            </w:r>
          </w:p>
          <w:p>
            <w:pPr>
              <w:spacing w:line="229" w:lineRule="auto"/>
              <w:ind w:left="102"/>
              <w:rPr>
                <w:rFonts w:hint="eastAsia" w:ascii="宋体" w:hAnsi="宋体" w:eastAsia="宋体" w:cs="宋体"/>
                <w:color w:val="auto"/>
                <w:sz w:val="21"/>
                <w:szCs w:val="21"/>
              </w:rPr>
            </w:pPr>
            <w:r>
              <w:rPr>
                <w:rFonts w:hint="eastAsia" w:ascii="宋体" w:hAnsi="宋体" w:eastAsia="宋体" w:cs="宋体"/>
                <w:color w:val="auto"/>
                <w:spacing w:val="13"/>
                <w:sz w:val="21"/>
                <w:szCs w:val="21"/>
              </w:rPr>
              <w:t>分；只提出资金不足问题的不得分；其他情况酌情扣分。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44" w:type="dxa"/>
            <w:vMerge w:val="continue"/>
            <w:tcBorders>
              <w:top w:val="single" w:color="auto" w:sz="4" w:space="0"/>
              <w:bottom w:val="single" w:color="auto" w:sz="4" w:space="0"/>
            </w:tcBorders>
            <w:vAlign w:val="top"/>
          </w:tcPr>
          <w:p>
            <w:pPr>
              <w:rPr>
                <w:rFonts w:hint="eastAsia" w:ascii="宋体" w:hAnsi="宋体" w:eastAsia="宋体" w:cs="宋体"/>
                <w:color w:val="auto"/>
                <w:sz w:val="21"/>
                <w:szCs w:val="21"/>
              </w:rPr>
            </w:pPr>
          </w:p>
        </w:tc>
        <w:tc>
          <w:tcPr>
            <w:tcW w:w="1285" w:type="dxa"/>
            <w:vAlign w:val="top"/>
          </w:tcPr>
          <w:p>
            <w:pPr>
              <w:spacing w:before="148" w:line="220" w:lineRule="auto"/>
              <w:ind w:left="170"/>
              <w:rPr>
                <w:rFonts w:hint="eastAsia" w:ascii="宋体" w:hAnsi="宋体" w:eastAsia="宋体" w:cs="宋体"/>
                <w:color w:val="auto"/>
                <w:sz w:val="21"/>
                <w:szCs w:val="21"/>
              </w:rPr>
            </w:pPr>
            <w:r>
              <w:rPr>
                <w:rFonts w:hint="eastAsia" w:ascii="宋体" w:hAnsi="宋体" w:eastAsia="宋体" w:cs="宋体"/>
                <w:color w:val="auto"/>
                <w:spacing w:val="-2"/>
                <w:sz w:val="21"/>
                <w:szCs w:val="21"/>
              </w:rPr>
              <w:t>建议情况</w:t>
            </w:r>
          </w:p>
          <w:p>
            <w:pPr>
              <w:spacing w:before="61" w:line="220" w:lineRule="auto"/>
              <w:ind w:left="270"/>
              <w:rPr>
                <w:rFonts w:hint="eastAsia" w:ascii="宋体" w:hAnsi="宋体" w:eastAsia="宋体" w:cs="宋体"/>
                <w:color w:val="auto"/>
                <w:sz w:val="21"/>
                <w:szCs w:val="21"/>
              </w:rPr>
            </w:pPr>
            <w:r>
              <w:rPr>
                <w:rFonts w:hint="eastAsia" w:ascii="宋体" w:hAnsi="宋体" w:eastAsia="宋体" w:cs="宋体"/>
                <w:color w:val="auto"/>
                <w:spacing w:val="8"/>
                <w:sz w:val="21"/>
                <w:szCs w:val="21"/>
              </w:rPr>
              <w:t>(15分)</w:t>
            </w:r>
          </w:p>
        </w:tc>
        <w:tc>
          <w:tcPr>
            <w:tcW w:w="7853" w:type="dxa"/>
            <w:gridSpan w:val="2"/>
            <w:vAlign w:val="top"/>
          </w:tcPr>
          <w:p>
            <w:pPr>
              <w:spacing w:before="87" w:line="410" w:lineRule="exact"/>
              <w:ind w:left="102"/>
              <w:rPr>
                <w:rFonts w:hint="eastAsia" w:ascii="宋体" w:hAnsi="宋体" w:eastAsia="宋体" w:cs="宋体"/>
                <w:color w:val="auto"/>
                <w:sz w:val="21"/>
                <w:szCs w:val="21"/>
              </w:rPr>
            </w:pPr>
            <w:r>
              <w:rPr>
                <w:rFonts w:hint="eastAsia" w:ascii="宋体" w:hAnsi="宋体" w:eastAsia="宋体" w:cs="宋体"/>
                <w:color w:val="auto"/>
                <w:spacing w:val="13"/>
                <w:position w:val="16"/>
                <w:sz w:val="21"/>
                <w:szCs w:val="21"/>
              </w:rPr>
              <w:t>建议与问题对应且全面的得15分，建议比较全面的得12</w:t>
            </w:r>
            <w:r>
              <w:rPr>
                <w:rFonts w:hint="eastAsia" w:ascii="宋体" w:hAnsi="宋体" w:eastAsia="宋体" w:cs="宋体"/>
                <w:color w:val="auto"/>
                <w:spacing w:val="12"/>
                <w:position w:val="16"/>
                <w:sz w:val="21"/>
                <w:szCs w:val="21"/>
              </w:rPr>
              <w:t>—</w:t>
            </w:r>
            <w:r>
              <w:rPr>
                <w:rFonts w:hint="eastAsia" w:ascii="宋体" w:hAnsi="宋体" w:eastAsia="宋体" w:cs="宋体"/>
                <w:color w:val="auto"/>
                <w:spacing w:val="-67"/>
                <w:position w:val="16"/>
                <w:sz w:val="21"/>
                <w:szCs w:val="21"/>
              </w:rPr>
              <w:t xml:space="preserve"> </w:t>
            </w:r>
            <w:r>
              <w:rPr>
                <w:rFonts w:hint="eastAsia" w:ascii="宋体" w:hAnsi="宋体" w:eastAsia="宋体" w:cs="宋体"/>
                <w:color w:val="auto"/>
                <w:spacing w:val="12"/>
                <w:position w:val="16"/>
                <w:sz w:val="21"/>
                <w:szCs w:val="21"/>
              </w:rPr>
              <w:t>14分，建议不全面的得9—</w:t>
            </w:r>
            <w:r>
              <w:rPr>
                <w:rFonts w:hint="eastAsia" w:ascii="宋体" w:hAnsi="宋体" w:eastAsia="宋体" w:cs="宋体"/>
                <w:color w:val="auto"/>
                <w:spacing w:val="-67"/>
                <w:position w:val="16"/>
                <w:sz w:val="21"/>
                <w:szCs w:val="21"/>
              </w:rPr>
              <w:t xml:space="preserve"> </w:t>
            </w:r>
            <w:r>
              <w:rPr>
                <w:rFonts w:hint="eastAsia" w:ascii="宋体" w:hAnsi="宋体" w:eastAsia="宋体" w:cs="宋体"/>
                <w:color w:val="auto"/>
                <w:spacing w:val="12"/>
                <w:position w:val="16"/>
                <w:sz w:val="21"/>
                <w:szCs w:val="21"/>
              </w:rPr>
              <w:t>11</w:t>
            </w:r>
          </w:p>
          <w:p>
            <w:pPr>
              <w:spacing w:line="228" w:lineRule="auto"/>
              <w:ind w:left="102"/>
              <w:rPr>
                <w:rFonts w:hint="eastAsia" w:ascii="宋体" w:hAnsi="宋体" w:eastAsia="宋体" w:cs="宋体"/>
                <w:color w:val="auto"/>
                <w:sz w:val="21"/>
                <w:szCs w:val="21"/>
              </w:rPr>
            </w:pPr>
            <w:r>
              <w:rPr>
                <w:rFonts w:hint="eastAsia" w:ascii="宋体" w:hAnsi="宋体" w:eastAsia="宋体" w:cs="宋体"/>
                <w:color w:val="auto"/>
                <w:spacing w:val="11"/>
                <w:sz w:val="21"/>
                <w:szCs w:val="21"/>
              </w:rPr>
              <w:t>分，建议过于简单的得6—8分，只提出加大资金投入建议的不得分；其他情况酌情扣分。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744" w:type="dxa"/>
            <w:tcBorders>
              <w:top w:val="single" w:color="auto" w:sz="4" w:space="0"/>
            </w:tcBorders>
            <w:vAlign w:val="top"/>
          </w:tcPr>
          <w:p>
            <w:pPr>
              <w:spacing w:before="160" w:line="221" w:lineRule="auto"/>
              <w:ind w:left="165"/>
              <w:rPr>
                <w:rFonts w:hint="eastAsia" w:ascii="宋体" w:hAnsi="宋体" w:eastAsia="宋体" w:cs="宋体"/>
                <w:color w:val="auto"/>
                <w:sz w:val="21"/>
                <w:szCs w:val="21"/>
              </w:rPr>
            </w:pPr>
            <w:r>
              <w:rPr>
                <w:rFonts w:hint="eastAsia" w:ascii="宋体" w:hAnsi="宋体" w:eastAsia="宋体" w:cs="宋体"/>
                <w:color w:val="auto"/>
                <w:spacing w:val="-3"/>
                <w:sz w:val="21"/>
                <w:szCs w:val="21"/>
              </w:rPr>
              <w:t>合计</w:t>
            </w:r>
          </w:p>
        </w:tc>
        <w:tc>
          <w:tcPr>
            <w:tcW w:w="1285" w:type="dxa"/>
            <w:vAlign w:val="top"/>
          </w:tcPr>
          <w:p>
            <w:pPr>
              <w:spacing w:before="159" w:line="220" w:lineRule="auto"/>
              <w:ind w:left="320"/>
              <w:rPr>
                <w:rFonts w:hint="eastAsia" w:ascii="宋体" w:hAnsi="宋体" w:eastAsia="宋体" w:cs="宋体"/>
                <w:color w:val="auto"/>
                <w:sz w:val="21"/>
                <w:szCs w:val="21"/>
              </w:rPr>
            </w:pPr>
            <w:r>
              <w:rPr>
                <w:rFonts w:hint="eastAsia" w:ascii="宋体" w:hAnsi="宋体" w:eastAsia="宋体" w:cs="宋体"/>
                <w:color w:val="auto"/>
                <w:spacing w:val="2"/>
                <w:sz w:val="21"/>
                <w:szCs w:val="21"/>
              </w:rPr>
              <w:t>100分</w:t>
            </w:r>
          </w:p>
        </w:tc>
        <w:tc>
          <w:tcPr>
            <w:tcW w:w="7853" w:type="dxa"/>
            <w:gridSpan w:val="2"/>
            <w:vAlign w:val="top"/>
          </w:tcPr>
          <w:p>
            <w:pPr>
              <w:rPr>
                <w:rFonts w:hint="eastAsia" w:ascii="宋体" w:hAnsi="宋体" w:eastAsia="宋体" w:cs="宋体"/>
                <w:color w:val="auto"/>
                <w:sz w:val="21"/>
                <w:szCs w:val="21"/>
              </w:rPr>
            </w:pPr>
          </w:p>
        </w:tc>
      </w:tr>
    </w:tbl>
    <w:p>
      <w:pPr>
        <w:rPr>
          <w:rFonts w:hint="eastAsia" w:ascii="宋体" w:hAnsi="宋体" w:eastAsia="宋体" w:cs="宋体"/>
          <w:color w:val="auto"/>
          <w:sz w:val="21"/>
          <w:szCs w:val="21"/>
        </w:rPr>
      </w:pPr>
    </w:p>
    <w:p>
      <w:pPr>
        <w:pStyle w:val="4"/>
        <w:rPr>
          <w:rFonts w:hint="eastAsia" w:ascii="宋体" w:hAnsi="宋体" w:eastAsia="宋体" w:cs="宋体"/>
          <w:color w:val="auto"/>
          <w:sz w:val="21"/>
          <w:szCs w:val="21"/>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rPr>
        <w:rFonts w:ascii="仿宋" w:hAnsi="仿宋" w:eastAsia="仿宋" w:cs="仿宋"/>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rPr>
        <w:rFonts w:ascii="宋体" w:hAnsi="宋体" w:eastAsia="宋体" w:cs="宋体"/>
        <w:sz w:val="26"/>
        <w:szCs w:val="2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55E8A"/>
    <w:multiLevelType w:val="singleLevel"/>
    <w:tmpl w:val="84A55E8A"/>
    <w:lvl w:ilvl="0" w:tentative="0">
      <w:start w:val="9"/>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NDI3Y2NiYTgyNWM4NTNlZGM1NDYwYTU3M2ZjYTUifQ=="/>
  </w:docVars>
  <w:rsids>
    <w:rsidRoot w:val="00000000"/>
    <w:rsid w:val="00B20DF2"/>
    <w:rsid w:val="01F1594A"/>
    <w:rsid w:val="0315703B"/>
    <w:rsid w:val="047D7DBC"/>
    <w:rsid w:val="055C6A2B"/>
    <w:rsid w:val="0B9C6927"/>
    <w:rsid w:val="0BB579E9"/>
    <w:rsid w:val="0D822738"/>
    <w:rsid w:val="0E8813E4"/>
    <w:rsid w:val="10D95F27"/>
    <w:rsid w:val="120E39AF"/>
    <w:rsid w:val="121F3E0E"/>
    <w:rsid w:val="12896729"/>
    <w:rsid w:val="133B4C77"/>
    <w:rsid w:val="16832BBD"/>
    <w:rsid w:val="16A82624"/>
    <w:rsid w:val="184C5231"/>
    <w:rsid w:val="1BA01B1B"/>
    <w:rsid w:val="1EA01755"/>
    <w:rsid w:val="20AE2874"/>
    <w:rsid w:val="20C75D9C"/>
    <w:rsid w:val="215807DA"/>
    <w:rsid w:val="215D04AF"/>
    <w:rsid w:val="2257284B"/>
    <w:rsid w:val="23E76636"/>
    <w:rsid w:val="25387269"/>
    <w:rsid w:val="27037402"/>
    <w:rsid w:val="270F224B"/>
    <w:rsid w:val="27B150B0"/>
    <w:rsid w:val="27F356C9"/>
    <w:rsid w:val="2A8D770F"/>
    <w:rsid w:val="2D4C1B03"/>
    <w:rsid w:val="2E2B7750"/>
    <w:rsid w:val="2F350375"/>
    <w:rsid w:val="2F6D3FB3"/>
    <w:rsid w:val="2FD14541"/>
    <w:rsid w:val="328D6CAB"/>
    <w:rsid w:val="32BF1345"/>
    <w:rsid w:val="33BC72B7"/>
    <w:rsid w:val="34E46AC5"/>
    <w:rsid w:val="35E8531E"/>
    <w:rsid w:val="376712E7"/>
    <w:rsid w:val="38C8741E"/>
    <w:rsid w:val="3DB64D77"/>
    <w:rsid w:val="3E9E02A8"/>
    <w:rsid w:val="407E39F8"/>
    <w:rsid w:val="40F253DD"/>
    <w:rsid w:val="41AC36C0"/>
    <w:rsid w:val="41C041EE"/>
    <w:rsid w:val="42486C3B"/>
    <w:rsid w:val="42935686"/>
    <w:rsid w:val="4378520B"/>
    <w:rsid w:val="45997458"/>
    <w:rsid w:val="45A73923"/>
    <w:rsid w:val="46331066"/>
    <w:rsid w:val="47B34CE2"/>
    <w:rsid w:val="486C081C"/>
    <w:rsid w:val="4D85295E"/>
    <w:rsid w:val="4DC45031"/>
    <w:rsid w:val="4E875255"/>
    <w:rsid w:val="4F362651"/>
    <w:rsid w:val="50DC644B"/>
    <w:rsid w:val="50F96FFC"/>
    <w:rsid w:val="54752E3E"/>
    <w:rsid w:val="55127748"/>
    <w:rsid w:val="55AE2AAB"/>
    <w:rsid w:val="55C958D4"/>
    <w:rsid w:val="568A7075"/>
    <w:rsid w:val="5887319F"/>
    <w:rsid w:val="5A533C21"/>
    <w:rsid w:val="5C1F025F"/>
    <w:rsid w:val="5CB12E81"/>
    <w:rsid w:val="5CC84FDB"/>
    <w:rsid w:val="5DA12EF6"/>
    <w:rsid w:val="5ECE7D1A"/>
    <w:rsid w:val="5F13572D"/>
    <w:rsid w:val="5F6F4B78"/>
    <w:rsid w:val="614D1A3E"/>
    <w:rsid w:val="62500A46"/>
    <w:rsid w:val="63FF72E1"/>
    <w:rsid w:val="661C136B"/>
    <w:rsid w:val="668F6C51"/>
    <w:rsid w:val="66A5431D"/>
    <w:rsid w:val="66CC2D91"/>
    <w:rsid w:val="6A460A77"/>
    <w:rsid w:val="6C1C0317"/>
    <w:rsid w:val="6CDA51A7"/>
    <w:rsid w:val="6E523B42"/>
    <w:rsid w:val="6EE445DE"/>
    <w:rsid w:val="702D5518"/>
    <w:rsid w:val="709F1517"/>
    <w:rsid w:val="70C123B6"/>
    <w:rsid w:val="73DB0AB8"/>
    <w:rsid w:val="743F6367"/>
    <w:rsid w:val="74B32B1B"/>
    <w:rsid w:val="765B4E22"/>
    <w:rsid w:val="76CA53A4"/>
    <w:rsid w:val="778B45A3"/>
    <w:rsid w:val="77D9530E"/>
    <w:rsid w:val="79DA144C"/>
    <w:rsid w:val="79F857F4"/>
    <w:rsid w:val="7C66738C"/>
    <w:rsid w:val="7DE62533"/>
    <w:rsid w:val="7F2C5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宋体" w:cs="Times New Roman"/>
    </w:rPr>
  </w:style>
  <w:style w:type="paragraph" w:styleId="3">
    <w:name w:val="Body Text Indent"/>
    <w:basedOn w:val="1"/>
    <w:qFormat/>
    <w:uiPriority w:val="0"/>
    <w:pPr>
      <w:ind w:left="420" w:leftChars="200"/>
    </w:pPr>
    <w:rPr>
      <w:rFonts w:ascii="Calibri" w:hAnsi="Calibri" w:eastAsia="宋体" w:cs="Times New Roman"/>
    </w:rPr>
  </w:style>
  <w:style w:type="paragraph" w:styleId="4">
    <w:name w:val="Normal Indent"/>
    <w:basedOn w:val="1"/>
    <w:unhideWhenUsed/>
    <w:qFormat/>
    <w:uiPriority w:val="0"/>
    <w:pPr>
      <w:ind w:firstLine="420" w:firstLineChars="200"/>
    </w:pPr>
    <w:rPr>
      <w:rFonts w:hint="default"/>
      <w:sz w:val="21"/>
      <w:szCs w:val="24"/>
    </w:rPr>
  </w:style>
  <w:style w:type="paragraph" w:styleId="5">
    <w:name w:val="index 5"/>
    <w:basedOn w:val="1"/>
    <w:next w:val="1"/>
    <w:qFormat/>
    <w:uiPriority w:val="99"/>
    <w:pPr>
      <w:ind w:left="1680"/>
    </w:pPr>
    <w:rPr>
      <w:sz w:val="21"/>
      <w:szCs w:val="24"/>
    </w:rPr>
  </w:style>
  <w:style w:type="paragraph" w:styleId="6">
    <w:name w:val="annotation text"/>
    <w:basedOn w:val="1"/>
    <w:qFormat/>
    <w:uiPriority w:val="0"/>
    <w:pPr>
      <w:jc w:val="left"/>
    </w:pPr>
  </w:style>
  <w:style w:type="paragraph" w:styleId="7">
    <w:name w:val="footer"/>
    <w:basedOn w:val="1"/>
    <w:next w:val="5"/>
    <w:qFormat/>
    <w:uiPriority w:val="0"/>
    <w:pPr>
      <w:tabs>
        <w:tab w:val="center" w:pos="4153"/>
        <w:tab w:val="right" w:pos="8306"/>
      </w:tabs>
      <w:snapToGrid w:val="0"/>
      <w:jc w:val="left"/>
    </w:pPr>
    <w:rPr>
      <w:kern w:val="0"/>
      <w:sz w:val="18"/>
      <w:szCs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4002</Words>
  <Characters>4452</Characters>
  <Lines>0</Lines>
  <Paragraphs>0</Paragraphs>
  <TotalTime>26</TotalTime>
  <ScaleCrop>false</ScaleCrop>
  <LinksUpToDate>false</LinksUpToDate>
  <CharactersWithSpaces>4609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2023-07-05T22:54:00Z</dcterms:created>
  <dc:creator>lhm8880769</dc:creator>
  <cp:lastModifiedBy>admin5</cp:lastModifiedBy>
  <cp:lastPrinted>2023-07-18T02:45:20Z</cp:lastPrinted>
  <dcterms:modified xsi:type="dcterms:W3CDTF">2023-07-18T02:45:24Z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614A47D4C48D495A93018732A3A52846</vt:lpwstr>
  </property>
</Properties>
</file>