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color w:val="000000"/>
          <w:sz w:val="28"/>
          <w:szCs w:val="28"/>
        </w:rPr>
      </w:pPr>
      <w:r>
        <w:rPr>
          <w:rFonts w:hint="eastAsia" w:ascii="黑体" w:hAnsi="黑体" w:eastAsia="黑体" w:cs="黑体"/>
          <w:color w:val="000000"/>
          <w:sz w:val="28"/>
          <w:szCs w:val="28"/>
        </w:rPr>
        <w:t>附件4</w:t>
      </w:r>
    </w:p>
    <w:p>
      <w:pPr>
        <w:pStyle w:val="4"/>
        <w:keepNext w:val="0"/>
        <w:keepLines w:val="0"/>
        <w:pageBreakBefore w:val="0"/>
        <w:widowControl w:val="0"/>
        <w:kinsoku/>
        <w:wordWrap/>
        <w:overflowPunct/>
        <w:topLinePunct w:val="0"/>
        <w:autoSpaceDE/>
        <w:autoSpaceDN/>
        <w:bidi w:val="0"/>
        <w:adjustRightInd/>
        <w:snapToGrid/>
        <w:spacing w:after="300" w:line="600" w:lineRule="exact"/>
        <w:ind w:left="1077" w:firstLine="0" w:firstLineChars="0"/>
        <w:jc w:val="center"/>
        <w:textAlignment w:val="auto"/>
        <w:rPr>
          <w:rFonts w:ascii="仿宋_GB2312" w:eastAsia="仿宋_GB2312"/>
          <w:color w:val="000000" w:themeColor="text1"/>
          <w:sz w:val="44"/>
          <w:szCs w:val="44"/>
          <w14:textFill>
            <w14:solidFill>
              <w14:schemeClr w14:val="tx1"/>
            </w14:solidFill>
          </w14:textFill>
        </w:rPr>
      </w:pPr>
      <w:bookmarkStart w:id="0" w:name="_GoBack"/>
      <w:r>
        <w:rPr>
          <w:rFonts w:hint="eastAsia" w:ascii="方正小标宋简体" w:hAnsi="方正小标宋简体" w:eastAsia="方正小标宋简体"/>
          <w:color w:val="000000" w:themeColor="text1"/>
          <w:sz w:val="44"/>
          <w:szCs w:val="44"/>
          <w14:textFill>
            <w14:solidFill>
              <w14:schemeClr w14:val="tx1"/>
            </w14:solidFill>
          </w14:textFill>
        </w:rPr>
        <w:t>“互联网+”医疗服务试行项目表</w:t>
      </w:r>
      <w:bookmarkEnd w:id="0"/>
    </w:p>
    <w:tbl>
      <w:tblPr>
        <w:tblStyle w:val="5"/>
        <w:tblW w:w="14660" w:type="dxa"/>
        <w:jc w:val="center"/>
        <w:tblLayout w:type="fixed"/>
        <w:tblCellMar>
          <w:top w:w="0" w:type="dxa"/>
          <w:left w:w="108" w:type="dxa"/>
          <w:bottom w:w="0" w:type="dxa"/>
          <w:right w:w="108" w:type="dxa"/>
        </w:tblCellMar>
      </w:tblPr>
      <w:tblGrid>
        <w:gridCol w:w="1263"/>
        <w:gridCol w:w="1425"/>
        <w:gridCol w:w="5460"/>
        <w:gridCol w:w="1080"/>
        <w:gridCol w:w="666"/>
        <w:gridCol w:w="699"/>
        <w:gridCol w:w="645"/>
        <w:gridCol w:w="3422"/>
      </w:tblGrid>
      <w:tr>
        <w:tblPrEx>
          <w:tblCellMar>
            <w:top w:w="0" w:type="dxa"/>
            <w:left w:w="108" w:type="dxa"/>
            <w:bottom w:w="0" w:type="dxa"/>
            <w:right w:w="108" w:type="dxa"/>
          </w:tblCellMar>
        </w:tblPrEx>
        <w:trPr>
          <w:trHeight w:val="339" w:hRule="atLeast"/>
          <w:tblHeader/>
          <w:jc w:val="center"/>
        </w:trPr>
        <w:tc>
          <w:tcPr>
            <w:tcW w:w="126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项目编码</w:t>
            </w:r>
          </w:p>
        </w:tc>
        <w:tc>
          <w:tcPr>
            <w:tcW w:w="142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项目名称</w:t>
            </w:r>
          </w:p>
        </w:tc>
        <w:tc>
          <w:tcPr>
            <w:tcW w:w="546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项目内涵</w:t>
            </w:r>
          </w:p>
        </w:tc>
        <w:tc>
          <w:tcPr>
            <w:tcW w:w="108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除外内容</w:t>
            </w:r>
          </w:p>
        </w:tc>
        <w:tc>
          <w:tcPr>
            <w:tcW w:w="6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计价</w:t>
            </w:r>
          </w:p>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344"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试行价格</w:t>
            </w:r>
          </w:p>
        </w:tc>
        <w:tc>
          <w:tcPr>
            <w:tcW w:w="342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说明</w:t>
            </w:r>
          </w:p>
        </w:tc>
      </w:tr>
      <w:tr>
        <w:tblPrEx>
          <w:tblCellMar>
            <w:top w:w="0" w:type="dxa"/>
            <w:left w:w="108" w:type="dxa"/>
            <w:bottom w:w="0" w:type="dxa"/>
            <w:right w:w="108" w:type="dxa"/>
          </w:tblCellMar>
        </w:tblPrEx>
        <w:trPr>
          <w:trHeight w:val="90" w:hRule="atLeast"/>
          <w:tblHeader/>
          <w:jc w:val="center"/>
        </w:trPr>
        <w:tc>
          <w:tcPr>
            <w:tcW w:w="126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1425"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546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黑体" w:hAnsi="黑体" w:eastAsia="黑体" w:cs="宋体"/>
                <w:color w:val="000000"/>
                <w:kern w:val="0"/>
                <w:sz w:val="24"/>
              </w:rPr>
            </w:pPr>
          </w:p>
        </w:tc>
        <w:tc>
          <w:tcPr>
            <w:tcW w:w="108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6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Style w:val="7"/>
                <w:rFonts w:ascii="黑体" w:hAnsi="黑体" w:eastAsia="黑体" w:cs="黑体"/>
                <w:b w:val="0"/>
                <w:bCs w:val="0"/>
                <w:sz w:val="21"/>
                <w:szCs w:val="21"/>
              </w:rPr>
            </w:pPr>
            <w:r>
              <w:rPr>
                <w:rStyle w:val="7"/>
                <w:rFonts w:hint="eastAsia" w:ascii="黑体" w:hAnsi="黑体" w:eastAsia="黑体" w:cs="黑体"/>
                <w:b w:val="0"/>
                <w:bCs w:val="0"/>
                <w:sz w:val="21"/>
                <w:szCs w:val="21"/>
              </w:rPr>
              <w:t>一类</w:t>
            </w:r>
          </w:p>
        </w:tc>
        <w:tc>
          <w:tcPr>
            <w:tcW w:w="645" w:type="dxa"/>
            <w:tcBorders>
              <w:top w:val="single" w:color="auto" w:sz="4" w:space="0"/>
              <w:left w:val="single" w:color="auto" w:sz="4" w:space="0"/>
              <w:bottom w:val="single" w:color="auto" w:sz="4" w:space="0"/>
              <w:right w:val="single" w:color="auto" w:sz="4" w:space="0"/>
            </w:tcBorders>
            <w:vAlign w:val="center"/>
          </w:tcPr>
          <w:p>
            <w:pPr>
              <w:widowControl/>
              <w:autoSpaceDE w:val="0"/>
              <w:spacing w:line="300" w:lineRule="exact"/>
              <w:jc w:val="center"/>
              <w:textAlignment w:val="center"/>
              <w:rPr>
                <w:rFonts w:ascii="黑体" w:hAnsi="黑体" w:eastAsia="黑体" w:cs="黑体"/>
                <w:color w:val="000000"/>
                <w:kern w:val="0"/>
                <w:szCs w:val="21"/>
              </w:rPr>
            </w:pPr>
            <w:r>
              <w:rPr>
                <w:rStyle w:val="7"/>
                <w:rFonts w:hint="eastAsia" w:ascii="黑体" w:hAnsi="黑体" w:eastAsia="黑体" w:cs="黑体"/>
                <w:b w:val="0"/>
                <w:bCs w:val="0"/>
                <w:sz w:val="21"/>
                <w:szCs w:val="21"/>
              </w:rPr>
              <w:t>二类</w:t>
            </w:r>
          </w:p>
        </w:tc>
        <w:tc>
          <w:tcPr>
            <w:tcW w:w="342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黑体" w:hAnsi="黑体" w:eastAsia="黑体" w:cs="宋体"/>
                <w:color w:val="000000"/>
                <w:kern w:val="0"/>
                <w:sz w:val="24"/>
              </w:rPr>
            </w:pPr>
          </w:p>
        </w:tc>
      </w:tr>
      <w:tr>
        <w:tblPrEx>
          <w:tblCellMar>
            <w:top w:w="0" w:type="dxa"/>
            <w:left w:w="108" w:type="dxa"/>
            <w:bottom w:w="0" w:type="dxa"/>
            <w:right w:w="108" w:type="dxa"/>
          </w:tblCellMar>
        </w:tblPrEx>
        <w:trPr>
          <w:trHeight w:val="1325"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111000006</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远程会诊</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邀请方和受邀方医疗机构在远程会诊中心或会诊科室通过可视、交互、实时、同步的方式在线开展的单个学科或多学科会诊诊疗活动。受邀方出具由相关医师签名的会诊意见书。邀请方根据患者临床资料，参考受邀方的诊疗意见，决定诊断与治疗方案。</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双学科440元，多学科（3个及以上学科）600元，双学科及多学科会诊不区分医务人员级别。《岳阳市现行医疗服务价格目录（2020年版）》中“111000005远程会诊”项目取消</w:t>
            </w:r>
          </w:p>
        </w:tc>
      </w:tr>
      <w:tr>
        <w:tblPrEx>
          <w:tblCellMar>
            <w:top w:w="0" w:type="dxa"/>
            <w:left w:w="108" w:type="dxa"/>
            <w:bottom w:w="0" w:type="dxa"/>
            <w:right w:w="108" w:type="dxa"/>
          </w:tblCellMar>
        </w:tblPrEx>
        <w:trPr>
          <w:trHeight w:val="548"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111000006-1</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副主任医师</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单学科会诊，影像会诊含图像、图片传输设备费。</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200</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170</w:t>
            </w: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X线会诊按50%收取，PET-CT,PET-MRI加收100%</w:t>
            </w:r>
          </w:p>
        </w:tc>
      </w:tr>
      <w:tr>
        <w:tblPrEx>
          <w:tblCellMar>
            <w:top w:w="0" w:type="dxa"/>
            <w:left w:w="108" w:type="dxa"/>
            <w:bottom w:w="0" w:type="dxa"/>
            <w:right w:w="108" w:type="dxa"/>
          </w:tblCellMar>
        </w:tblPrEx>
        <w:trPr>
          <w:trHeight w:val="136"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111000006-2</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主任医师</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单学科会诊，影像会诊含图像、图片传输设备费。</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300</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255</w:t>
            </w: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X线会诊按50%收取，PET-CT,PET-MRI加收100%</w:t>
            </w:r>
          </w:p>
        </w:tc>
      </w:tr>
      <w:tr>
        <w:tblPrEx>
          <w:tblCellMar>
            <w:top w:w="0" w:type="dxa"/>
            <w:left w:w="108" w:type="dxa"/>
            <w:bottom w:w="0" w:type="dxa"/>
            <w:right w:w="108" w:type="dxa"/>
          </w:tblCellMar>
        </w:tblPrEx>
        <w:trPr>
          <w:trHeight w:val="980"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110200008</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互联网复诊</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医疗机构通过远程医疗服务平台，由具有3年以上独立临床工作经验的医师直接向患者提供的常见病、慢性病复诊诊疗服务。在线询问病史，听取患者主诉，查看影像、超声、心电等医疗图文信息，记录病情，提供诊疗建议。</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134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按照相应等级医院普通门诊诊查费标准执行　</w:t>
            </w: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不区分医务人员技术等级</w:t>
            </w:r>
          </w:p>
        </w:tc>
      </w:tr>
      <w:tr>
        <w:tblPrEx>
          <w:tblCellMar>
            <w:top w:w="0" w:type="dxa"/>
            <w:left w:w="108" w:type="dxa"/>
            <w:bottom w:w="0" w:type="dxa"/>
            <w:right w:w="108" w:type="dxa"/>
          </w:tblCellMar>
        </w:tblPrEx>
        <w:trPr>
          <w:trHeight w:val="1300"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270800008</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远程病理会诊</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邀请方和受邀方医疗机构通过数字病理会诊平台进行的网络在线病理会诊活动。受邀方医师由高年资主治及以上医师组成。邀请方把患者临床资料信息、数字病理切片、大体标本图像等上传数字病理会诊平台，受邀方医师在会诊平台进行诊断，出具电子签名的病理诊断报告，供邀请方医疗机构参考。</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260</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以2张切片为基数，超过2张每增加1张加收100元，5张及以上切片不超过600元。受邀方限三级医院，术中冰冻快速切片加收50%</w:t>
            </w:r>
          </w:p>
        </w:tc>
      </w:tr>
      <w:tr>
        <w:tblPrEx>
          <w:tblCellMar>
            <w:top w:w="0" w:type="dxa"/>
            <w:left w:w="108" w:type="dxa"/>
            <w:bottom w:w="0" w:type="dxa"/>
            <w:right w:w="108" w:type="dxa"/>
          </w:tblCellMar>
        </w:tblPrEx>
        <w:trPr>
          <w:trHeight w:val="1048"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310701036</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远程心电监测</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指邀请方和受邀方医疗机构使用心电监测远程传输系统，利用无线网络收集传输数据，监测记录并处理患者的异常心电事件，专业医师根据有关数据提供分析或指导服务。不含院内临床科室内的短距离遥测</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日</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80</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受邀方限三级医院</w:t>
            </w:r>
          </w:p>
        </w:tc>
      </w:tr>
      <w:tr>
        <w:tblPrEx>
          <w:tblCellMar>
            <w:top w:w="0" w:type="dxa"/>
            <w:left w:w="108" w:type="dxa"/>
            <w:bottom w:w="0" w:type="dxa"/>
            <w:right w:w="108" w:type="dxa"/>
          </w:tblCellMar>
        </w:tblPrEx>
        <w:trPr>
          <w:trHeight w:val="1576" w:hRule="atLeast"/>
          <w:jc w:val="center"/>
        </w:trPr>
        <w:tc>
          <w:tcPr>
            <w:tcW w:w="12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T311503001</w:t>
            </w:r>
          </w:p>
        </w:tc>
        <w:tc>
          <w:tcPr>
            <w:tcW w:w="14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互联网</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心理咨询</w:t>
            </w:r>
          </w:p>
        </w:tc>
        <w:tc>
          <w:tcPr>
            <w:tcW w:w="546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指医疗机构通过远程医疗服务平台，精神心理医生（心理咨询师、心理治疗师）运用精神心理学的技术，对咨询者提出的自身心理不适或心理障碍。双方通过语言、文字等交流媒介，一起找出原因，运用专业技术，设计个体化心理咨询方案，以提高咨询者心理韧性、适应能力、人际关系，增进身心健康。每次时间不少于30分钟。咨询期间不受外界干扰。</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　</w:t>
            </w:r>
          </w:p>
        </w:tc>
        <w:tc>
          <w:tcPr>
            <w:tcW w:w="66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次</w:t>
            </w:r>
          </w:p>
        </w:tc>
        <w:tc>
          <w:tcPr>
            <w:tcW w:w="699"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64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自主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定价</w:t>
            </w:r>
          </w:p>
        </w:tc>
        <w:tc>
          <w:tcPr>
            <w:tcW w:w="342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w w:val="90"/>
                <w:sz w:val="21"/>
                <w:szCs w:val="21"/>
              </w:rPr>
            </w:pPr>
            <w:r>
              <w:rPr>
                <w:rFonts w:hint="eastAsia" w:ascii="仿宋_GB2312" w:hAnsi="仿宋_GB2312" w:eastAsia="仿宋_GB2312" w:cs="仿宋_GB2312"/>
                <w:b w:val="0"/>
                <w:bCs w:val="0"/>
                <w:w w:val="90"/>
                <w:sz w:val="21"/>
                <w:szCs w:val="21"/>
              </w:rPr>
              <w:t>特需医疗服务</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mEwNWQzNTRkOTdhNmU5ZTZhZTk1Y2ViNjZmZmMifQ=="/>
  </w:docVars>
  <w:rsids>
    <w:rsidRoot w:val="46DE4BE4"/>
    <w:rsid w:val="46DE4BE4"/>
    <w:rsid w:val="653B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Indent"/>
    <w:basedOn w:val="1"/>
    <w:qFormat/>
    <w:uiPriority w:val="0"/>
    <w:pPr>
      <w:spacing w:line="360" w:lineRule="auto"/>
      <w:ind w:left="1080" w:hanging="1080" w:hangingChars="450"/>
    </w:pPr>
    <w:rPr>
      <w:rFonts w:ascii="宋体" w:hAnsi="宋体"/>
      <w:color w:val="FF6600"/>
      <w:sz w:val="24"/>
    </w:rPr>
  </w:style>
  <w:style w:type="character" w:customStyle="1" w:styleId="7">
    <w:name w:val="18"/>
    <w:qFormat/>
    <w:uiPriority w:val="0"/>
    <w:rPr>
      <w:rFonts w:hint="default" w:ascii="Times New Roman" w:hAnsi="Times New Roman" w:cs="Times New Roman"/>
      <w:b/>
      <w:bCs/>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379</Words>
  <Characters>458</Characters>
  <Lines>0</Lines>
  <Paragraphs>0</Paragraphs>
  <TotalTime>1</TotalTime>
  <ScaleCrop>false</ScaleCrop>
  <LinksUpToDate>false</LinksUpToDate>
  <CharactersWithSpaces>469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2023-04-13T08:45:00Z</dcterms:created>
  <dc:creator>赵丽</dc:creator>
  <cp:lastModifiedBy>赵丽</cp:lastModifiedBy>
  <dcterms:modified xsi:type="dcterms:W3CDTF">2023-04-13T08:47:00Z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2FE49A7721EF4C739ABA9AF05B64A26B_13</vt:lpwstr>
  </property>
</Properties>
</file>