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40" w:rsidRDefault="00F46282" w:rsidP="00635640">
      <w:pPr>
        <w:spacing w:beforeLines="100" w:afterLines="100"/>
        <w:ind w:firstLineChars="500" w:firstLine="1900"/>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10107" w:type="dxa"/>
        <w:jc w:val="center"/>
        <w:tblLayout w:type="fixed"/>
        <w:tblLook w:val="04A0"/>
      </w:tblPr>
      <w:tblGrid>
        <w:gridCol w:w="976"/>
        <w:gridCol w:w="939"/>
        <w:gridCol w:w="1389"/>
        <w:gridCol w:w="4171"/>
        <w:gridCol w:w="521"/>
        <w:gridCol w:w="608"/>
        <w:gridCol w:w="1503"/>
      </w:tblGrid>
      <w:tr w:rsidR="00635640">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521"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608"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503"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635640">
        <w:trPr>
          <w:trHeight w:val="658"/>
          <w:jc w:val="center"/>
        </w:trPr>
        <w:tc>
          <w:tcPr>
            <w:tcW w:w="976" w:type="dxa"/>
            <w:vMerge w:val="restart"/>
            <w:tcBorders>
              <w:top w:val="nil"/>
              <w:left w:val="single" w:sz="4" w:space="0" w:color="auto"/>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sidRPr="005D027F">
              <w:rPr>
                <w:rFonts w:ascii="仿宋_GB2312" w:eastAsia="仿宋_GB2312" w:hAnsi="宋体" w:cs="宋体" w:hint="eastAsia"/>
                <w:kern w:val="0"/>
                <w:sz w:val="18"/>
                <w:szCs w:val="18"/>
              </w:rPr>
              <w:t>在职人数</w:t>
            </w:r>
            <w:r w:rsidRPr="005D027F">
              <w:rPr>
                <w:rFonts w:ascii="仿宋_GB2312" w:eastAsia="仿宋_GB2312" w:hAnsi="宋体" w:cs="宋体" w:hint="eastAsia"/>
                <w:kern w:val="0"/>
                <w:sz w:val="18"/>
                <w:szCs w:val="18"/>
              </w:rPr>
              <w:t>133</w:t>
            </w:r>
            <w:r w:rsidRPr="005D027F">
              <w:rPr>
                <w:rFonts w:ascii="仿宋_GB2312" w:eastAsia="仿宋_GB2312" w:hAnsi="宋体" w:cs="宋体" w:hint="eastAsia"/>
                <w:kern w:val="0"/>
                <w:sz w:val="18"/>
                <w:szCs w:val="18"/>
              </w:rPr>
              <w:t>人，编制人数</w:t>
            </w:r>
            <w:r w:rsidRPr="005D027F">
              <w:rPr>
                <w:rFonts w:ascii="仿宋_GB2312" w:eastAsia="仿宋_GB2312" w:hAnsi="宋体" w:cs="宋体" w:hint="eastAsia"/>
                <w:kern w:val="0"/>
                <w:sz w:val="18"/>
                <w:szCs w:val="18"/>
              </w:rPr>
              <w:t>99</w:t>
            </w:r>
            <w:r w:rsidRPr="005D027F">
              <w:rPr>
                <w:rFonts w:ascii="仿宋_GB2312" w:eastAsia="仿宋_GB2312" w:hAnsi="宋体" w:cs="宋体" w:hint="eastAsia"/>
                <w:kern w:val="0"/>
                <w:sz w:val="18"/>
                <w:szCs w:val="18"/>
              </w:rPr>
              <w:t>人。超编</w:t>
            </w:r>
            <w:r w:rsidRPr="005D027F">
              <w:rPr>
                <w:rFonts w:ascii="仿宋_GB2312" w:eastAsia="仿宋_GB2312" w:hAnsi="宋体" w:cs="宋体" w:hint="eastAsia"/>
                <w:kern w:val="0"/>
                <w:sz w:val="18"/>
                <w:szCs w:val="18"/>
              </w:rPr>
              <w:t>34%</w:t>
            </w:r>
          </w:p>
        </w:tc>
      </w:tr>
      <w:tr w:rsidR="00635640">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较上年减少</w:t>
            </w:r>
            <w:r>
              <w:rPr>
                <w:rFonts w:ascii="仿宋_GB2312" w:eastAsia="仿宋_GB2312" w:hAnsi="宋体" w:cs="宋体" w:hint="eastAsia"/>
                <w:color w:val="000000"/>
                <w:kern w:val="0"/>
                <w:sz w:val="16"/>
                <w:szCs w:val="16"/>
              </w:rPr>
              <w:t>29.78%</w:t>
            </w:r>
          </w:p>
        </w:tc>
      </w:tr>
      <w:tr w:rsidR="00635640">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不得分。</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503" w:type="dxa"/>
            <w:tcBorders>
              <w:top w:val="nil"/>
              <w:left w:val="nil"/>
              <w:bottom w:val="single" w:sz="4" w:space="0" w:color="auto"/>
              <w:right w:val="single" w:sz="4" w:space="0" w:color="auto"/>
            </w:tcBorders>
            <w:noWrap/>
            <w:vAlign w:val="center"/>
          </w:tcPr>
          <w:p w:rsidR="00635640" w:rsidRDefault="00F46282" w:rsidP="005D027F">
            <w:pPr>
              <w:widowControl/>
              <w:spacing w:line="240" w:lineRule="exact"/>
              <w:jc w:val="left"/>
              <w:rPr>
                <w:rFonts w:ascii="仿宋_GB2312" w:eastAsia="仿宋_GB2312" w:hAnsi="宋体" w:cs="宋体"/>
                <w:color w:val="000000"/>
                <w:kern w:val="0"/>
                <w:sz w:val="16"/>
                <w:szCs w:val="16"/>
              </w:rPr>
            </w:pPr>
            <w:r w:rsidRPr="005D027F">
              <w:rPr>
                <w:rFonts w:ascii="仿宋_GB2312" w:eastAsia="仿宋_GB2312" w:hAnsi="宋体" w:cs="宋体" w:hint="eastAsia"/>
                <w:kern w:val="0"/>
                <w:sz w:val="18"/>
                <w:szCs w:val="18"/>
              </w:rPr>
              <w:t>重点</w:t>
            </w:r>
            <w:r w:rsidRPr="005D027F">
              <w:rPr>
                <w:rFonts w:ascii="仿宋_GB2312" w:eastAsia="仿宋_GB2312" w:hAnsi="宋体" w:cs="宋体" w:hint="eastAsia"/>
                <w:kern w:val="0"/>
                <w:sz w:val="18"/>
                <w:szCs w:val="18"/>
              </w:rPr>
              <w:t>项目</w:t>
            </w:r>
            <w:r w:rsidRPr="005D027F">
              <w:rPr>
                <w:rFonts w:ascii="仿宋_GB2312" w:eastAsia="仿宋_GB2312" w:hAnsi="宋体" w:cs="宋体" w:hint="eastAsia"/>
                <w:kern w:val="0"/>
                <w:sz w:val="18"/>
                <w:szCs w:val="18"/>
              </w:rPr>
              <w:t>支出安排</w:t>
            </w:r>
            <w:r w:rsidRPr="005D027F">
              <w:rPr>
                <w:rFonts w:ascii="仿宋_GB2312" w:eastAsia="仿宋_GB2312" w:hAnsi="宋体" w:cs="宋体" w:hint="eastAsia"/>
                <w:kern w:val="0"/>
                <w:sz w:val="18"/>
                <w:szCs w:val="18"/>
              </w:rPr>
              <w:t>4823.58</w:t>
            </w:r>
            <w:r w:rsidRPr="005D027F">
              <w:rPr>
                <w:rFonts w:ascii="仿宋_GB2312" w:eastAsia="仿宋_GB2312" w:hAnsi="宋体" w:cs="宋体" w:hint="eastAsia"/>
                <w:kern w:val="0"/>
                <w:sz w:val="18"/>
                <w:szCs w:val="18"/>
              </w:rPr>
              <w:t>万元，占总支出</w:t>
            </w:r>
            <w:r w:rsidRPr="005D027F">
              <w:rPr>
                <w:rFonts w:ascii="仿宋_GB2312" w:eastAsia="仿宋_GB2312" w:hAnsi="宋体" w:cs="宋体" w:hint="eastAsia"/>
                <w:kern w:val="0"/>
                <w:sz w:val="18"/>
                <w:szCs w:val="18"/>
              </w:rPr>
              <w:t>8218.83</w:t>
            </w:r>
            <w:r w:rsidRPr="005D027F">
              <w:rPr>
                <w:rFonts w:ascii="仿宋_GB2312" w:eastAsia="仿宋_GB2312" w:hAnsi="宋体" w:cs="宋体" w:hint="eastAsia"/>
                <w:kern w:val="0"/>
                <w:sz w:val="18"/>
                <w:szCs w:val="18"/>
              </w:rPr>
              <w:t>万元</w:t>
            </w:r>
            <w:r w:rsidRPr="005D027F">
              <w:rPr>
                <w:rFonts w:ascii="仿宋_GB2312" w:eastAsia="仿宋_GB2312" w:hAnsi="宋体" w:cs="宋体" w:hint="eastAsia"/>
                <w:kern w:val="0"/>
                <w:sz w:val="18"/>
                <w:szCs w:val="18"/>
              </w:rPr>
              <w:t>58.68%</w:t>
            </w:r>
          </w:p>
        </w:tc>
      </w:tr>
      <w:tr w:rsidR="00635640">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sidRPr="005D027F">
              <w:rPr>
                <w:rFonts w:ascii="仿宋_GB2312" w:eastAsia="仿宋_GB2312" w:hAnsi="宋体" w:cs="宋体" w:hint="eastAsia"/>
                <w:kern w:val="0"/>
                <w:sz w:val="18"/>
                <w:szCs w:val="18"/>
              </w:rPr>
              <w:t>2</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center"/>
              <w:rPr>
                <w:rFonts w:ascii="仿宋_GB2312" w:eastAsia="仿宋_GB2312" w:hAnsi="宋体" w:cs="宋体"/>
                <w:color w:val="000000"/>
                <w:kern w:val="0"/>
                <w:sz w:val="16"/>
                <w:szCs w:val="16"/>
              </w:rPr>
            </w:pPr>
            <w:r w:rsidRPr="005D027F">
              <w:rPr>
                <w:rFonts w:ascii="仿宋_GB2312" w:eastAsia="仿宋_GB2312" w:hAnsi="宋体" w:cs="宋体" w:hint="eastAsia"/>
                <w:kern w:val="0"/>
                <w:sz w:val="18"/>
                <w:szCs w:val="18"/>
              </w:rPr>
              <w:t>年初</w:t>
            </w:r>
            <w:r w:rsidRPr="005D027F">
              <w:rPr>
                <w:rFonts w:ascii="仿宋_GB2312" w:eastAsia="仿宋_GB2312" w:hAnsi="宋体" w:cs="宋体" w:hint="eastAsia"/>
                <w:kern w:val="0"/>
                <w:sz w:val="18"/>
                <w:szCs w:val="18"/>
              </w:rPr>
              <w:t>预算调整率</w:t>
            </w:r>
            <w:r w:rsidR="00DA679E">
              <w:rPr>
                <w:rFonts w:ascii="仿宋_GB2312" w:eastAsia="仿宋_GB2312" w:hAnsi="宋体" w:cs="宋体" w:hint="eastAsia"/>
                <w:kern w:val="0"/>
                <w:sz w:val="18"/>
                <w:szCs w:val="18"/>
              </w:rPr>
              <w:t>&lt;20%</w:t>
            </w:r>
            <w:r w:rsidRPr="005D027F">
              <w:rPr>
                <w:rFonts w:ascii="仿宋_GB2312" w:eastAsia="仿宋_GB2312" w:hAnsi="宋体" w:cs="宋体" w:hint="eastAsia"/>
                <w:kern w:val="0"/>
                <w:sz w:val="18"/>
                <w:szCs w:val="18"/>
              </w:rPr>
              <w:t>，</w:t>
            </w:r>
          </w:p>
        </w:tc>
      </w:tr>
      <w:tr w:rsidR="00635640">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资金按施工进度支付</w:t>
            </w:r>
          </w:p>
        </w:tc>
      </w:tr>
      <w:tr w:rsidR="00635640">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有结余未超上年结转金额</w:t>
            </w:r>
          </w:p>
        </w:tc>
      </w:tr>
      <w:tr w:rsidR="00635640">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center"/>
              <w:rPr>
                <w:rFonts w:ascii="仿宋_GB2312" w:eastAsia="仿宋_GB2312" w:hAnsi="宋体" w:cs="宋体"/>
                <w:color w:val="000000"/>
                <w:kern w:val="0"/>
                <w:sz w:val="16"/>
                <w:szCs w:val="16"/>
              </w:rPr>
            </w:pPr>
            <w:r>
              <w:rPr>
                <w:rFonts w:ascii="仿宋_GB2312" w:eastAsia="仿宋_GB2312" w:hAnsi="宋体" w:cs="宋体" w:hint="eastAsia"/>
                <w:kern w:val="0"/>
                <w:sz w:val="16"/>
                <w:szCs w:val="16"/>
              </w:rPr>
              <w:t>三</w:t>
            </w:r>
            <w:proofErr w:type="gramStart"/>
            <w:r>
              <w:rPr>
                <w:rFonts w:ascii="仿宋_GB2312" w:eastAsia="仿宋_GB2312" w:hAnsi="宋体" w:cs="宋体" w:hint="eastAsia"/>
                <w:kern w:val="0"/>
                <w:sz w:val="16"/>
                <w:szCs w:val="16"/>
              </w:rPr>
              <w:t>公经费</w:t>
            </w:r>
            <w:proofErr w:type="gramEnd"/>
            <w:r>
              <w:rPr>
                <w:rFonts w:ascii="仿宋_GB2312" w:eastAsia="仿宋_GB2312" w:hAnsi="宋体" w:cs="宋体" w:hint="eastAsia"/>
                <w:kern w:val="0"/>
                <w:sz w:val="16"/>
                <w:szCs w:val="16"/>
              </w:rPr>
              <w:t>控制率</w:t>
            </w:r>
            <w:r>
              <w:rPr>
                <w:rFonts w:asciiTheme="minorEastAsia" w:eastAsiaTheme="minorEastAsia" w:hAnsiTheme="minorEastAsia" w:cstheme="minorEastAsia" w:hint="eastAsia"/>
                <w:bCs/>
                <w:sz w:val="16"/>
                <w:szCs w:val="16"/>
              </w:rPr>
              <w:t>81.52%</w:t>
            </w:r>
          </w:p>
        </w:tc>
      </w:tr>
      <w:tr w:rsidR="00635640">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制定了财务管理相关制度并严格执行</w:t>
            </w:r>
          </w:p>
        </w:tc>
      </w:tr>
      <w:tr w:rsidR="00635640">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521"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503" w:type="dxa"/>
            <w:tcBorders>
              <w:top w:val="nil"/>
              <w:left w:val="nil"/>
              <w:bottom w:val="single" w:sz="4" w:space="0" w:color="auto"/>
              <w:right w:val="single" w:sz="4" w:space="0" w:color="auto"/>
            </w:tcBorders>
            <w:noWrap/>
            <w:vAlign w:val="center"/>
          </w:tcPr>
          <w:p w:rsidR="00635640" w:rsidRDefault="00F46282">
            <w:pPr>
              <w:widowControl/>
              <w:spacing w:line="200" w:lineRule="exact"/>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严格按照国家财经法规及财务管理制度和专项资金的管理办法的规定使用资金</w:t>
            </w:r>
          </w:p>
        </w:tc>
      </w:tr>
      <w:tr w:rsidR="00635640">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52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503" w:type="dxa"/>
            <w:tcBorders>
              <w:top w:val="nil"/>
              <w:left w:val="nil"/>
              <w:bottom w:val="single" w:sz="4" w:space="0" w:color="auto"/>
              <w:right w:val="single" w:sz="4" w:space="0" w:color="auto"/>
            </w:tcBorders>
            <w:shd w:val="clear" w:color="auto" w:fill="FFFFFF"/>
            <w:noWrap/>
            <w:vAlign w:val="center"/>
          </w:tcPr>
          <w:p w:rsidR="00635640" w:rsidRPr="005D027F" w:rsidRDefault="00F46282">
            <w:pPr>
              <w:widowControl/>
              <w:spacing w:line="200" w:lineRule="exact"/>
              <w:jc w:val="center"/>
              <w:rPr>
                <w:rFonts w:ascii="仿宋_GB2312" w:eastAsia="仿宋_GB2312" w:hAnsi="宋体" w:cs="宋体"/>
                <w:color w:val="000000"/>
                <w:kern w:val="0"/>
                <w:sz w:val="16"/>
                <w:szCs w:val="16"/>
              </w:rPr>
            </w:pPr>
            <w:r w:rsidRPr="005D027F">
              <w:rPr>
                <w:rFonts w:ascii="仿宋_GB2312" w:eastAsia="仿宋_GB2312" w:hAnsi="宋体" w:cs="宋体" w:hint="eastAsia"/>
                <w:color w:val="000000"/>
                <w:kern w:val="0"/>
                <w:sz w:val="16"/>
                <w:szCs w:val="16"/>
              </w:rPr>
              <w:t>未及时公开</w:t>
            </w:r>
            <w:r w:rsidRPr="005D027F">
              <w:rPr>
                <w:rFonts w:ascii="仿宋_GB2312" w:eastAsia="仿宋_GB2312" w:hAnsi="宋体" w:cs="宋体" w:hint="eastAsia"/>
                <w:color w:val="000000"/>
                <w:kern w:val="0"/>
                <w:sz w:val="16"/>
                <w:szCs w:val="16"/>
              </w:rPr>
              <w:t>2021</w:t>
            </w:r>
            <w:r w:rsidRPr="005D027F">
              <w:rPr>
                <w:rFonts w:ascii="仿宋_GB2312" w:eastAsia="仿宋_GB2312" w:hAnsi="宋体" w:cs="宋体" w:hint="eastAsia"/>
                <w:color w:val="000000"/>
                <w:kern w:val="0"/>
                <w:sz w:val="16"/>
                <w:szCs w:val="16"/>
              </w:rPr>
              <w:t>年决算信息</w:t>
            </w:r>
          </w:p>
        </w:tc>
      </w:tr>
      <w:tr w:rsidR="00635640">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52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503"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严格执行政府的采购程序</w:t>
            </w:r>
          </w:p>
        </w:tc>
      </w:tr>
      <w:tr w:rsidR="00635640">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52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503"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刷卡率＞</w:t>
            </w:r>
            <w:r>
              <w:rPr>
                <w:rFonts w:ascii="仿宋_GB2312" w:eastAsia="仿宋_GB2312" w:hAnsi="宋体" w:cs="宋体" w:hint="eastAsia"/>
                <w:kern w:val="0"/>
                <w:sz w:val="16"/>
                <w:szCs w:val="16"/>
              </w:rPr>
              <w:t>50%</w:t>
            </w:r>
          </w:p>
        </w:tc>
      </w:tr>
      <w:tr w:rsidR="00635640">
        <w:trPr>
          <w:trHeight w:val="99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521"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08"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503"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有制度并有效执行</w:t>
            </w:r>
          </w:p>
        </w:tc>
      </w:tr>
    </w:tbl>
    <w:p w:rsidR="00635640" w:rsidRDefault="00635640"/>
    <w:tbl>
      <w:tblPr>
        <w:tblW w:w="9894" w:type="dxa"/>
        <w:jc w:val="center"/>
        <w:tblLayout w:type="fixed"/>
        <w:tblLook w:val="04A0"/>
      </w:tblPr>
      <w:tblGrid>
        <w:gridCol w:w="580"/>
        <w:gridCol w:w="709"/>
        <w:gridCol w:w="2158"/>
        <w:gridCol w:w="1785"/>
        <w:gridCol w:w="2243"/>
        <w:gridCol w:w="619"/>
        <w:gridCol w:w="720"/>
        <w:gridCol w:w="1080"/>
      </w:tblGrid>
      <w:tr w:rsidR="00635640">
        <w:trPr>
          <w:trHeight w:val="609"/>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2158"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028" w:type="dxa"/>
            <w:gridSpan w:val="2"/>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635640" w:rsidRPr="005D027F">
        <w:trPr>
          <w:trHeight w:val="2011"/>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2158"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028" w:type="dxa"/>
            <w:gridSpan w:val="2"/>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sidRPr="005D027F">
              <w:rPr>
                <w:rFonts w:ascii="仿宋_GB2312" w:eastAsia="仿宋_GB2312" w:hAnsi="宋体" w:cs="宋体" w:hint="eastAsia"/>
                <w:kern w:val="0"/>
                <w:sz w:val="18"/>
                <w:szCs w:val="18"/>
              </w:rPr>
              <w:t>个别固定资产超保质期需重新配</w:t>
            </w:r>
            <w:r w:rsidRPr="005D027F">
              <w:rPr>
                <w:rFonts w:ascii="仿宋_GB2312" w:eastAsia="仿宋_GB2312" w:hAnsi="宋体" w:cs="宋体" w:hint="eastAsia"/>
                <w:kern w:val="0"/>
                <w:sz w:val="18"/>
                <w:szCs w:val="18"/>
              </w:rPr>
              <w:t>置</w:t>
            </w:r>
          </w:p>
        </w:tc>
      </w:tr>
      <w:tr w:rsidR="00635640">
        <w:trPr>
          <w:trHeight w:val="774"/>
          <w:jc w:val="center"/>
        </w:trPr>
        <w:tc>
          <w:tcPr>
            <w:tcW w:w="580" w:type="dxa"/>
            <w:vMerge/>
            <w:tcBorders>
              <w:top w:val="nil"/>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vMerge/>
            <w:tcBorders>
              <w:top w:val="nil"/>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028" w:type="dxa"/>
            <w:gridSpan w:val="2"/>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sidRPr="005D027F">
              <w:rPr>
                <w:rFonts w:ascii="仿宋_GB2312" w:eastAsia="仿宋_GB2312" w:hAnsi="宋体" w:cs="宋体" w:hint="eastAsia"/>
                <w:kern w:val="0"/>
                <w:sz w:val="18"/>
                <w:szCs w:val="18"/>
              </w:rPr>
              <w:t>个别固定资产超保质期在报损处理中</w:t>
            </w:r>
          </w:p>
        </w:tc>
      </w:tr>
      <w:tr w:rsidR="00635640">
        <w:trPr>
          <w:trHeight w:val="974"/>
          <w:jc w:val="center"/>
        </w:trPr>
        <w:tc>
          <w:tcPr>
            <w:tcW w:w="580" w:type="dxa"/>
            <w:tcBorders>
              <w:top w:val="nil"/>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ind w:firstLineChars="300" w:firstLine="542"/>
              <w:jc w:val="left"/>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具体内容</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ind w:firstLineChars="300" w:firstLine="542"/>
              <w:jc w:val="left"/>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记分标准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635640">
        <w:trPr>
          <w:trHeight w:val="836"/>
          <w:jc w:val="center"/>
        </w:trPr>
        <w:tc>
          <w:tcPr>
            <w:tcW w:w="580" w:type="dxa"/>
            <w:vMerge w:val="restart"/>
            <w:tcBorders>
              <w:top w:val="nil"/>
              <w:left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产出（</w:t>
            </w:r>
            <w:r>
              <w:rPr>
                <w:rFonts w:ascii="仿宋_GB2312" w:eastAsia="仿宋_GB2312" w:hAnsi="宋体" w:cs="宋体" w:hint="eastAsia"/>
                <w:kern w:val="0"/>
                <w:sz w:val="16"/>
                <w:szCs w:val="16"/>
              </w:rPr>
              <w:t>25</w:t>
            </w:r>
            <w:r>
              <w:rPr>
                <w:rFonts w:ascii="仿宋_GB2312" w:eastAsia="仿宋_GB2312" w:hAnsi="宋体" w:cs="宋体" w:hint="eastAsia"/>
                <w:kern w:val="0"/>
                <w:sz w:val="16"/>
                <w:szCs w:val="16"/>
              </w:rPr>
              <w:t>分）</w:t>
            </w:r>
          </w:p>
        </w:tc>
        <w:tc>
          <w:tcPr>
            <w:tcW w:w="709" w:type="dxa"/>
            <w:vMerge w:val="restart"/>
            <w:tcBorders>
              <w:top w:val="nil"/>
              <w:left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职责履行（</w:t>
            </w:r>
            <w:r>
              <w:rPr>
                <w:rFonts w:ascii="仿宋_GB2312" w:eastAsia="仿宋_GB2312" w:hAnsi="宋体" w:cs="宋体" w:hint="eastAsia"/>
                <w:kern w:val="0"/>
                <w:sz w:val="16"/>
                <w:szCs w:val="16"/>
              </w:rPr>
              <w:t>6</w:t>
            </w:r>
            <w:r>
              <w:rPr>
                <w:rFonts w:ascii="仿宋_GB2312" w:eastAsia="仿宋_GB2312" w:hAnsi="宋体" w:cs="宋体" w:hint="eastAsia"/>
                <w:kern w:val="0"/>
                <w:sz w:val="16"/>
                <w:szCs w:val="16"/>
              </w:rPr>
              <w:t>分）</w:t>
            </w: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1</w:t>
            </w: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推进全面小康建设指标任务完成情况</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全面完成省、市定小康目标任务</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完成确定的指标计满分，未完成按比例扣分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720"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tc>
      </w:tr>
      <w:tr w:rsidR="00635640">
        <w:trPr>
          <w:trHeight w:val="676"/>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709"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建设湖南新增</w:t>
            </w:r>
            <w:proofErr w:type="gramStart"/>
            <w:r>
              <w:rPr>
                <w:rFonts w:ascii="仿宋_GB2312" w:eastAsia="仿宋_GB2312" w:hAnsi="宋体" w:cs="宋体" w:hint="eastAsia"/>
                <w:kern w:val="0"/>
                <w:sz w:val="16"/>
                <w:szCs w:val="16"/>
              </w:rPr>
              <w:t>极</w:t>
            </w:r>
            <w:proofErr w:type="gramEnd"/>
            <w:r>
              <w:rPr>
                <w:rFonts w:ascii="仿宋_GB2312" w:eastAsia="仿宋_GB2312" w:hAnsi="宋体" w:cs="宋体" w:hint="eastAsia"/>
                <w:kern w:val="0"/>
                <w:sz w:val="16"/>
                <w:szCs w:val="16"/>
              </w:rPr>
              <w:t>目标任务完成情况</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w:t>
            </w:r>
            <w:r>
              <w:rPr>
                <w:rFonts w:ascii="仿宋_GB2312" w:eastAsia="仿宋_GB2312" w:hAnsi="宋体" w:cs="宋体" w:hint="eastAsia"/>
                <w:kern w:val="0"/>
                <w:sz w:val="16"/>
                <w:szCs w:val="16"/>
              </w:rPr>
              <w:t>建设湖南新增</w:t>
            </w:r>
            <w:proofErr w:type="gramStart"/>
            <w:r>
              <w:rPr>
                <w:rFonts w:ascii="仿宋_GB2312" w:eastAsia="仿宋_GB2312" w:hAnsi="宋体" w:cs="宋体" w:hint="eastAsia"/>
                <w:kern w:val="0"/>
                <w:sz w:val="16"/>
                <w:szCs w:val="16"/>
              </w:rPr>
              <w:t>极</w:t>
            </w:r>
            <w:proofErr w:type="gramEnd"/>
            <w:r>
              <w:rPr>
                <w:rFonts w:ascii="仿宋_GB2312" w:eastAsia="仿宋_GB2312" w:hAnsi="宋体" w:cs="宋体" w:hint="eastAsia"/>
                <w:kern w:val="0"/>
                <w:sz w:val="16"/>
                <w:szCs w:val="16"/>
              </w:rPr>
              <w:t>目标任务</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完成确定的指标计满分，未完成按比例扣分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720"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tc>
      </w:tr>
      <w:tr w:rsidR="00635640">
        <w:trPr>
          <w:trHeight w:val="668"/>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709"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3</w:t>
            </w: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《政府工作报告》目标任务完成情况</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w:t>
            </w:r>
            <w:r>
              <w:rPr>
                <w:rFonts w:ascii="仿宋_GB2312" w:eastAsia="仿宋_GB2312" w:hAnsi="宋体" w:cs="宋体" w:hint="eastAsia"/>
                <w:kern w:val="0"/>
                <w:sz w:val="16"/>
                <w:szCs w:val="16"/>
              </w:rPr>
              <w:t>《政府工作报告》目标任务</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完成确定的指标计满分，未完成按比例扣分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720"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tc>
      </w:tr>
      <w:tr w:rsidR="00635640">
        <w:trPr>
          <w:trHeight w:val="718"/>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709"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4</w:t>
            </w: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省市重点民生实事完成情况</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具体完成情况见以下产出、效益指标</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完成确定的指标计满分，未完成按比例扣分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635640">
            <w:pPr>
              <w:widowControl/>
              <w:spacing w:line="200" w:lineRule="exact"/>
              <w:jc w:val="center"/>
              <w:rPr>
                <w:rFonts w:ascii="仿宋_GB2312" w:eastAsia="仿宋_GB2312" w:hAnsi="宋体" w:cs="宋体"/>
                <w:kern w:val="0"/>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635640" w:rsidRDefault="00635640">
            <w:pPr>
              <w:widowControl/>
              <w:spacing w:line="200" w:lineRule="exact"/>
              <w:jc w:val="center"/>
              <w:rPr>
                <w:rFonts w:ascii="仿宋_GB2312" w:eastAsia="仿宋_GB2312" w:hAnsi="宋体" w:cs="宋体"/>
                <w:kern w:val="0"/>
                <w:sz w:val="16"/>
                <w:szCs w:val="16"/>
                <w:highlight w:val="yellow"/>
              </w:rPr>
            </w:pPr>
          </w:p>
        </w:tc>
        <w:tc>
          <w:tcPr>
            <w:tcW w:w="1080" w:type="dxa"/>
            <w:tcBorders>
              <w:top w:val="nil"/>
              <w:left w:val="nil"/>
              <w:bottom w:val="single" w:sz="4" w:space="0" w:color="auto"/>
              <w:right w:val="single" w:sz="4" w:space="0" w:color="auto"/>
            </w:tcBorders>
            <w:shd w:val="clear" w:color="auto" w:fill="FFFFFF"/>
            <w:noWrap/>
            <w:vAlign w:val="center"/>
          </w:tcPr>
          <w:p w:rsidR="00635640" w:rsidRDefault="00635640">
            <w:pPr>
              <w:widowControl/>
              <w:spacing w:line="240" w:lineRule="exact"/>
              <w:jc w:val="center"/>
              <w:rPr>
                <w:rFonts w:ascii="仿宋_GB2312" w:eastAsia="仿宋_GB2312" w:hAnsi="宋体" w:cs="宋体"/>
                <w:kern w:val="0"/>
                <w:sz w:val="16"/>
                <w:szCs w:val="16"/>
              </w:rPr>
            </w:pPr>
          </w:p>
        </w:tc>
      </w:tr>
      <w:tr w:rsidR="00635640">
        <w:trPr>
          <w:trHeight w:val="711"/>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709"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5</w:t>
            </w: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省市重点工程和重大项目建设完成情况</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具体完成情况见以下产出、效益指标</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完成确定的指标计满分，未完成按比例扣分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635640">
            <w:pPr>
              <w:widowControl/>
              <w:spacing w:line="200" w:lineRule="exact"/>
              <w:jc w:val="center"/>
              <w:rPr>
                <w:rFonts w:ascii="仿宋_GB2312" w:eastAsia="仿宋_GB2312" w:hAnsi="宋体" w:cs="宋体"/>
                <w:kern w:val="0"/>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635640" w:rsidRDefault="00635640">
            <w:pPr>
              <w:widowControl/>
              <w:spacing w:line="200" w:lineRule="exact"/>
              <w:jc w:val="center"/>
              <w:rPr>
                <w:rFonts w:ascii="仿宋_GB2312" w:eastAsia="仿宋_GB2312" w:hAnsi="宋体" w:cs="宋体"/>
                <w:kern w:val="0"/>
                <w:sz w:val="16"/>
                <w:szCs w:val="16"/>
                <w:highlight w:val="yellow"/>
              </w:rPr>
            </w:pPr>
          </w:p>
        </w:tc>
        <w:tc>
          <w:tcPr>
            <w:tcW w:w="1080" w:type="dxa"/>
            <w:tcBorders>
              <w:top w:val="nil"/>
              <w:left w:val="nil"/>
              <w:bottom w:val="single" w:sz="4" w:space="0" w:color="auto"/>
              <w:right w:val="single" w:sz="4" w:space="0" w:color="auto"/>
            </w:tcBorders>
            <w:shd w:val="clear" w:color="auto" w:fill="FFFFFF"/>
            <w:noWrap/>
            <w:vAlign w:val="center"/>
          </w:tcPr>
          <w:p w:rsidR="00635640" w:rsidRDefault="00635640">
            <w:pPr>
              <w:widowControl/>
              <w:spacing w:line="240" w:lineRule="exact"/>
              <w:jc w:val="center"/>
              <w:rPr>
                <w:rFonts w:ascii="仿宋_GB2312" w:eastAsia="仿宋_GB2312" w:hAnsi="宋体" w:cs="宋体"/>
                <w:kern w:val="0"/>
                <w:sz w:val="16"/>
                <w:szCs w:val="16"/>
              </w:rPr>
            </w:pPr>
          </w:p>
        </w:tc>
      </w:tr>
      <w:tr w:rsidR="00635640">
        <w:trPr>
          <w:trHeight w:val="1132"/>
          <w:jc w:val="center"/>
        </w:trPr>
        <w:tc>
          <w:tcPr>
            <w:tcW w:w="580" w:type="dxa"/>
            <w:vMerge/>
            <w:tcBorders>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709" w:type="dxa"/>
            <w:vMerge/>
            <w:tcBorders>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6</w:t>
            </w: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其他工作实绩指标完成情况</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具体完成情况见以下产出、效益指标</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完成确定的指标计满分，未完成按比例扣分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635640">
            <w:pPr>
              <w:widowControl/>
              <w:spacing w:line="200" w:lineRule="exact"/>
              <w:jc w:val="center"/>
              <w:rPr>
                <w:rFonts w:ascii="仿宋_GB2312" w:eastAsia="仿宋_GB2312" w:hAnsi="宋体" w:cs="宋体"/>
                <w:kern w:val="0"/>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635640" w:rsidRDefault="00635640">
            <w:pPr>
              <w:widowControl/>
              <w:spacing w:line="200" w:lineRule="exact"/>
              <w:jc w:val="center"/>
              <w:rPr>
                <w:rFonts w:ascii="仿宋_GB2312" w:eastAsia="仿宋_GB2312" w:hAnsi="宋体" w:cs="宋体"/>
                <w:kern w:val="0"/>
                <w:sz w:val="16"/>
                <w:szCs w:val="16"/>
                <w:highlight w:val="yellow"/>
              </w:rPr>
            </w:pPr>
          </w:p>
        </w:tc>
        <w:tc>
          <w:tcPr>
            <w:tcW w:w="1080" w:type="dxa"/>
            <w:tcBorders>
              <w:top w:val="nil"/>
              <w:left w:val="nil"/>
              <w:bottom w:val="single" w:sz="4" w:space="0" w:color="auto"/>
              <w:right w:val="single" w:sz="4" w:space="0" w:color="auto"/>
            </w:tcBorders>
            <w:shd w:val="clear" w:color="auto" w:fill="FFFFFF"/>
            <w:noWrap/>
            <w:vAlign w:val="center"/>
          </w:tcPr>
          <w:p w:rsidR="00635640" w:rsidRDefault="00635640">
            <w:pPr>
              <w:widowControl/>
              <w:spacing w:line="240" w:lineRule="exact"/>
              <w:jc w:val="center"/>
              <w:rPr>
                <w:rFonts w:ascii="仿宋_GB2312" w:eastAsia="仿宋_GB2312" w:hAnsi="宋体" w:cs="宋体"/>
                <w:kern w:val="0"/>
                <w:sz w:val="16"/>
                <w:szCs w:val="16"/>
              </w:rPr>
            </w:pPr>
          </w:p>
        </w:tc>
      </w:tr>
      <w:tr w:rsidR="00635640">
        <w:trPr>
          <w:trHeight w:val="2143"/>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sz w:val="20"/>
                <w:szCs w:val="22"/>
              </w:rPr>
            </w:pPr>
          </w:p>
          <w:p w:rsidR="00635640" w:rsidRDefault="00635640">
            <w:pPr>
              <w:widowControl/>
              <w:spacing w:line="240" w:lineRule="exact"/>
              <w:jc w:val="left"/>
              <w:rPr>
                <w:sz w:val="20"/>
                <w:szCs w:val="22"/>
              </w:rPr>
            </w:pPr>
          </w:p>
          <w:p w:rsidR="00635640" w:rsidRDefault="00635640">
            <w:pPr>
              <w:widowControl/>
              <w:spacing w:line="240" w:lineRule="exact"/>
              <w:jc w:val="left"/>
              <w:rPr>
                <w:sz w:val="20"/>
                <w:szCs w:val="22"/>
              </w:rPr>
            </w:pPr>
          </w:p>
          <w:p w:rsidR="00635640" w:rsidRDefault="00F46282">
            <w:pPr>
              <w:widowControl/>
              <w:spacing w:line="240" w:lineRule="exact"/>
              <w:jc w:val="left"/>
              <w:rPr>
                <w:b/>
                <w:bCs/>
                <w:sz w:val="16"/>
                <w:szCs w:val="20"/>
              </w:rPr>
            </w:pPr>
            <w:r>
              <w:rPr>
                <w:rFonts w:hint="eastAsia"/>
                <w:b/>
                <w:bCs/>
                <w:sz w:val="16"/>
                <w:szCs w:val="20"/>
              </w:rPr>
              <w:t>产出</w:t>
            </w:r>
          </w:p>
          <w:p w:rsidR="00635640" w:rsidRDefault="00635640">
            <w:pPr>
              <w:widowControl/>
              <w:spacing w:line="240" w:lineRule="exact"/>
              <w:jc w:val="left"/>
              <w:rPr>
                <w:b/>
                <w:bCs/>
                <w:sz w:val="16"/>
                <w:szCs w:val="20"/>
              </w:rPr>
            </w:pPr>
          </w:p>
          <w:p w:rsidR="00635640" w:rsidRDefault="00F46282">
            <w:pPr>
              <w:widowControl/>
              <w:spacing w:line="240" w:lineRule="exact"/>
              <w:jc w:val="left"/>
              <w:rPr>
                <w:sz w:val="20"/>
                <w:szCs w:val="22"/>
              </w:rPr>
            </w:pPr>
            <w:r>
              <w:rPr>
                <w:rFonts w:hint="eastAsia"/>
                <w:b/>
                <w:bCs/>
                <w:sz w:val="16"/>
                <w:szCs w:val="20"/>
              </w:rPr>
              <w:t>（</w:t>
            </w:r>
            <w:r>
              <w:rPr>
                <w:rFonts w:hint="eastAsia"/>
                <w:b/>
                <w:bCs/>
                <w:sz w:val="16"/>
                <w:szCs w:val="20"/>
              </w:rPr>
              <w:t>25</w:t>
            </w:r>
            <w:r>
              <w:rPr>
                <w:rFonts w:hint="eastAsia"/>
                <w:b/>
                <w:bCs/>
                <w:sz w:val="16"/>
                <w:szCs w:val="20"/>
              </w:rPr>
              <w:t>分）</w:t>
            </w: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F46282">
            <w:pPr>
              <w:widowControl/>
              <w:spacing w:line="240" w:lineRule="exact"/>
              <w:jc w:val="left"/>
              <w:rPr>
                <w:b/>
                <w:bCs/>
                <w:sz w:val="18"/>
                <w:szCs w:val="21"/>
              </w:rPr>
            </w:pPr>
            <w:r>
              <w:rPr>
                <w:rFonts w:hint="eastAsia"/>
                <w:b/>
                <w:bCs/>
                <w:sz w:val="18"/>
                <w:szCs w:val="21"/>
              </w:rPr>
              <w:t>产</w:t>
            </w:r>
          </w:p>
          <w:p w:rsidR="00635640" w:rsidRDefault="00635640">
            <w:pPr>
              <w:widowControl/>
              <w:spacing w:line="240" w:lineRule="exact"/>
              <w:jc w:val="left"/>
              <w:rPr>
                <w:b/>
                <w:bCs/>
                <w:sz w:val="18"/>
                <w:szCs w:val="21"/>
              </w:rPr>
            </w:pPr>
          </w:p>
          <w:p w:rsidR="00635640" w:rsidRDefault="00F46282">
            <w:pPr>
              <w:widowControl/>
              <w:spacing w:line="240" w:lineRule="exact"/>
              <w:jc w:val="left"/>
              <w:rPr>
                <w:b/>
                <w:bCs/>
                <w:sz w:val="18"/>
                <w:szCs w:val="21"/>
              </w:rPr>
            </w:pPr>
            <w:r>
              <w:rPr>
                <w:rFonts w:hint="eastAsia"/>
                <w:b/>
                <w:bCs/>
                <w:sz w:val="18"/>
                <w:szCs w:val="21"/>
              </w:rPr>
              <w:t>出</w:t>
            </w:r>
          </w:p>
          <w:p w:rsidR="00635640" w:rsidRDefault="00635640">
            <w:pPr>
              <w:widowControl/>
              <w:spacing w:line="240" w:lineRule="exact"/>
              <w:jc w:val="left"/>
              <w:rPr>
                <w:b/>
                <w:bCs/>
                <w:sz w:val="18"/>
                <w:szCs w:val="21"/>
              </w:rPr>
            </w:pPr>
          </w:p>
          <w:p w:rsidR="00635640" w:rsidRDefault="00635640">
            <w:pPr>
              <w:widowControl/>
              <w:spacing w:line="240" w:lineRule="exact"/>
              <w:jc w:val="left"/>
              <w:rPr>
                <w:b/>
                <w:bCs/>
                <w:sz w:val="18"/>
                <w:szCs w:val="21"/>
              </w:rPr>
            </w:pPr>
          </w:p>
          <w:p w:rsidR="00635640" w:rsidRDefault="00F46282">
            <w:pPr>
              <w:widowControl/>
              <w:spacing w:line="240" w:lineRule="exact"/>
              <w:jc w:val="left"/>
            </w:pPr>
            <w:r>
              <w:rPr>
                <w:rFonts w:hint="eastAsia"/>
                <w:b/>
                <w:bCs/>
                <w:sz w:val="18"/>
                <w:szCs w:val="21"/>
              </w:rPr>
              <w:t>（</w:t>
            </w:r>
            <w:r>
              <w:rPr>
                <w:rFonts w:hint="eastAsia"/>
                <w:b/>
                <w:bCs/>
                <w:sz w:val="18"/>
                <w:szCs w:val="21"/>
              </w:rPr>
              <w:t>25</w:t>
            </w:r>
            <w:r>
              <w:rPr>
                <w:rFonts w:hint="eastAsia"/>
                <w:b/>
                <w:bCs/>
                <w:sz w:val="18"/>
                <w:szCs w:val="21"/>
              </w:rPr>
              <w:t>分）</w:t>
            </w:r>
          </w:p>
          <w:p w:rsidR="00635640" w:rsidRDefault="00635640">
            <w:pPr>
              <w:pStyle w:val="a0"/>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F46282">
            <w:pPr>
              <w:pStyle w:val="5"/>
              <w:rPr>
                <w:rFonts w:ascii="仿宋_GB2312" w:eastAsia="仿宋_GB2312" w:hAnsi="宋体" w:cs="宋体"/>
                <w:kern w:val="0"/>
                <w:sz w:val="16"/>
                <w:szCs w:val="16"/>
              </w:rPr>
            </w:pPr>
            <w:r>
              <w:rPr>
                <w:rFonts w:ascii="仿宋_GB2312" w:eastAsia="仿宋_GB2312" w:hAnsi="宋体" w:cs="宋体" w:hint="eastAsia"/>
                <w:kern w:val="0"/>
                <w:sz w:val="16"/>
                <w:szCs w:val="16"/>
              </w:rPr>
              <w:t>产出（</w:t>
            </w:r>
            <w:r>
              <w:rPr>
                <w:rFonts w:ascii="仿宋_GB2312" w:eastAsia="仿宋_GB2312" w:hAnsi="宋体" w:cs="宋体" w:hint="eastAsia"/>
                <w:kern w:val="0"/>
                <w:sz w:val="16"/>
                <w:szCs w:val="16"/>
              </w:rPr>
              <w:t>25</w:t>
            </w:r>
            <w:r>
              <w:rPr>
                <w:rFonts w:ascii="仿宋_GB2312" w:eastAsia="仿宋_GB2312" w:hAnsi="宋体" w:cs="宋体" w:hint="eastAsia"/>
                <w:kern w:val="0"/>
                <w:sz w:val="16"/>
                <w:szCs w:val="16"/>
              </w:rPr>
              <w:t>分）</w:t>
            </w:r>
          </w:p>
          <w:p w:rsidR="00635640" w:rsidRDefault="00F46282">
            <w:pPr>
              <w:widowControl/>
              <w:spacing w:line="240" w:lineRule="exact"/>
              <w:jc w:val="left"/>
              <w:rPr>
                <w:b/>
                <w:bCs/>
                <w:sz w:val="16"/>
                <w:szCs w:val="20"/>
              </w:rPr>
            </w:pPr>
            <w:r>
              <w:rPr>
                <w:rFonts w:hint="eastAsia"/>
                <w:b/>
                <w:bCs/>
                <w:sz w:val="16"/>
                <w:szCs w:val="20"/>
              </w:rPr>
              <w:t>产</w:t>
            </w:r>
          </w:p>
          <w:p w:rsidR="00635640" w:rsidRDefault="00635640">
            <w:pPr>
              <w:widowControl/>
              <w:spacing w:line="240" w:lineRule="exact"/>
              <w:jc w:val="left"/>
              <w:rPr>
                <w:b/>
                <w:bCs/>
                <w:sz w:val="16"/>
                <w:szCs w:val="20"/>
              </w:rPr>
            </w:pPr>
          </w:p>
          <w:p w:rsidR="00635640" w:rsidRDefault="00F46282">
            <w:pPr>
              <w:widowControl/>
              <w:spacing w:line="240" w:lineRule="exact"/>
              <w:jc w:val="left"/>
              <w:rPr>
                <w:b/>
                <w:bCs/>
                <w:sz w:val="16"/>
                <w:szCs w:val="20"/>
              </w:rPr>
            </w:pPr>
            <w:r>
              <w:rPr>
                <w:rFonts w:hint="eastAsia"/>
                <w:b/>
                <w:bCs/>
                <w:sz w:val="16"/>
                <w:szCs w:val="20"/>
              </w:rPr>
              <w:t>出</w:t>
            </w:r>
          </w:p>
          <w:p w:rsidR="00635640" w:rsidRDefault="00635640">
            <w:pPr>
              <w:widowControl/>
              <w:spacing w:line="240" w:lineRule="exact"/>
              <w:jc w:val="left"/>
              <w:rPr>
                <w:b/>
                <w:bCs/>
                <w:sz w:val="16"/>
                <w:szCs w:val="20"/>
              </w:rPr>
            </w:pPr>
          </w:p>
          <w:p w:rsidR="00635640" w:rsidRDefault="00635640">
            <w:pPr>
              <w:widowControl/>
              <w:spacing w:line="240" w:lineRule="exact"/>
              <w:jc w:val="left"/>
              <w:rPr>
                <w:b/>
                <w:bCs/>
                <w:sz w:val="16"/>
                <w:szCs w:val="20"/>
              </w:rPr>
            </w:pPr>
          </w:p>
          <w:p w:rsidR="00635640" w:rsidRDefault="00F46282">
            <w:pPr>
              <w:widowControl/>
              <w:spacing w:line="240" w:lineRule="exact"/>
              <w:jc w:val="left"/>
              <w:rPr>
                <w:rFonts w:ascii="仿宋_GB2312" w:eastAsia="仿宋_GB2312" w:hAnsi="宋体" w:cs="宋体"/>
                <w:kern w:val="0"/>
                <w:sz w:val="16"/>
                <w:szCs w:val="16"/>
              </w:rPr>
            </w:pPr>
            <w:r>
              <w:rPr>
                <w:rFonts w:hint="eastAsia"/>
                <w:b/>
                <w:bCs/>
                <w:sz w:val="16"/>
                <w:szCs w:val="20"/>
              </w:rPr>
              <w:t>（</w:t>
            </w:r>
            <w:r>
              <w:rPr>
                <w:rFonts w:hint="eastAsia"/>
                <w:b/>
                <w:bCs/>
                <w:sz w:val="16"/>
                <w:szCs w:val="20"/>
              </w:rPr>
              <w:t>25</w:t>
            </w:r>
            <w:r>
              <w:rPr>
                <w:rFonts w:hint="eastAsia"/>
                <w:b/>
                <w:bCs/>
                <w:sz w:val="16"/>
                <w:szCs w:val="20"/>
              </w:rPr>
              <w:t>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p w:rsidR="00635640" w:rsidRDefault="00635640">
            <w:pPr>
              <w:widowControl/>
              <w:spacing w:line="240" w:lineRule="exact"/>
              <w:jc w:val="left"/>
              <w:rPr>
                <w:rFonts w:ascii="仿宋_GB2312" w:eastAsia="仿宋_GB2312" w:hAnsi="宋体" w:cs="宋体"/>
                <w:kern w:val="0"/>
                <w:sz w:val="16"/>
                <w:szCs w:val="16"/>
              </w:rPr>
            </w:pPr>
          </w:p>
          <w:p w:rsidR="00635640" w:rsidRDefault="00635640">
            <w:pPr>
              <w:widowControl/>
              <w:spacing w:line="240" w:lineRule="exact"/>
              <w:jc w:val="left"/>
              <w:rPr>
                <w:rFonts w:ascii="仿宋_GB2312" w:eastAsia="仿宋_GB2312" w:hAnsi="宋体" w:cs="宋体"/>
                <w:kern w:val="0"/>
                <w:sz w:val="16"/>
                <w:szCs w:val="16"/>
              </w:rPr>
            </w:pPr>
          </w:p>
          <w:p w:rsidR="00635640" w:rsidRDefault="00F46282">
            <w:pPr>
              <w:widowControl/>
              <w:spacing w:line="240" w:lineRule="exact"/>
              <w:jc w:val="left"/>
              <w:rPr>
                <w:rFonts w:ascii="仿宋_GB2312" w:eastAsia="仿宋_GB2312" w:hAnsi="宋体" w:cs="宋体"/>
                <w:b/>
                <w:bCs/>
                <w:kern w:val="0"/>
                <w:sz w:val="16"/>
                <w:szCs w:val="16"/>
              </w:rPr>
            </w:pPr>
            <w:r>
              <w:rPr>
                <w:rFonts w:ascii="仿宋_GB2312" w:eastAsia="仿宋_GB2312" w:hAnsi="宋体" w:cs="宋体" w:hint="eastAsia"/>
                <w:b/>
                <w:bCs/>
                <w:kern w:val="0"/>
                <w:sz w:val="16"/>
                <w:szCs w:val="16"/>
              </w:rPr>
              <w:t>数量</w:t>
            </w:r>
          </w:p>
          <w:p w:rsidR="00635640" w:rsidRDefault="00F46282">
            <w:pPr>
              <w:widowControl/>
              <w:spacing w:line="240" w:lineRule="exact"/>
              <w:jc w:val="left"/>
              <w:rPr>
                <w:rFonts w:ascii="仿宋_GB2312" w:eastAsia="仿宋_GB2312" w:hAnsi="宋体" w:cs="宋体"/>
                <w:kern w:val="0"/>
                <w:sz w:val="16"/>
                <w:szCs w:val="16"/>
              </w:rPr>
            </w:pPr>
            <w:r>
              <w:rPr>
                <w:rFonts w:ascii="仿宋_GB2312" w:eastAsia="仿宋_GB2312" w:hAnsi="宋体" w:cs="宋体" w:hint="eastAsia"/>
                <w:b/>
                <w:bCs/>
                <w:kern w:val="0"/>
                <w:sz w:val="16"/>
                <w:szCs w:val="16"/>
              </w:rPr>
              <w:t>指标（</w:t>
            </w:r>
            <w:r>
              <w:rPr>
                <w:rFonts w:ascii="仿宋_GB2312" w:eastAsia="仿宋_GB2312" w:hAnsi="宋体" w:cs="宋体" w:hint="eastAsia"/>
                <w:b/>
                <w:bCs/>
                <w:kern w:val="0"/>
                <w:sz w:val="16"/>
                <w:szCs w:val="16"/>
              </w:rPr>
              <w:t>10</w:t>
            </w:r>
            <w:r>
              <w:rPr>
                <w:rFonts w:ascii="仿宋_GB2312" w:eastAsia="仿宋_GB2312" w:hAnsi="宋体" w:cs="宋体" w:hint="eastAsia"/>
                <w:b/>
                <w:bCs/>
                <w:kern w:val="0"/>
                <w:sz w:val="16"/>
                <w:szCs w:val="16"/>
              </w:rPr>
              <w:t>分</w:t>
            </w:r>
            <w:r>
              <w:rPr>
                <w:rFonts w:ascii="仿宋_GB2312" w:eastAsia="仿宋_GB2312" w:hAnsi="宋体" w:cs="宋体" w:hint="eastAsia"/>
                <w:b/>
                <w:bCs/>
                <w:kern w:val="0"/>
                <w:sz w:val="16"/>
                <w:szCs w:val="16"/>
              </w:rPr>
              <w:t>)</w:t>
            </w:r>
          </w:p>
          <w:p w:rsidR="00635640" w:rsidRDefault="00635640">
            <w:pPr>
              <w:pStyle w:val="a0"/>
              <w:rPr>
                <w:rFonts w:ascii="仿宋_GB2312" w:eastAsia="仿宋_GB2312" w:hAnsi="宋体" w:cs="宋体"/>
                <w:kern w:val="0"/>
                <w:sz w:val="16"/>
                <w:szCs w:val="16"/>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F46282">
            <w:pPr>
              <w:pStyle w:val="a0"/>
              <w:spacing w:line="240" w:lineRule="exact"/>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数量</w:t>
            </w:r>
          </w:p>
          <w:p w:rsidR="00635640" w:rsidRDefault="00F46282">
            <w:pPr>
              <w:pStyle w:val="a0"/>
              <w:spacing w:line="240" w:lineRule="exact"/>
              <w:rPr>
                <w:sz w:val="20"/>
                <w:szCs w:val="22"/>
              </w:rPr>
            </w:pPr>
            <w:r>
              <w:rPr>
                <w:rFonts w:ascii="仿宋_GB2312" w:eastAsia="仿宋_GB2312" w:hAnsi="宋体" w:cs="宋体" w:hint="eastAsia"/>
                <w:b/>
                <w:bCs/>
                <w:kern w:val="0"/>
                <w:sz w:val="18"/>
                <w:szCs w:val="18"/>
              </w:rPr>
              <w:t>指标</w:t>
            </w:r>
            <w:r>
              <w:rPr>
                <w:rFonts w:ascii="仿宋_GB2312" w:eastAsia="仿宋_GB2312" w:hAnsi="宋体" w:cs="宋体" w:hint="eastAsia"/>
                <w:b/>
                <w:bCs/>
                <w:kern w:val="0"/>
                <w:sz w:val="18"/>
                <w:szCs w:val="18"/>
              </w:rPr>
              <w:t>(10</w:t>
            </w:r>
            <w:r>
              <w:rPr>
                <w:rFonts w:ascii="仿宋_GB2312" w:eastAsia="仿宋_GB2312" w:hAnsi="宋体" w:cs="宋体" w:hint="eastAsia"/>
                <w:b/>
                <w:bCs/>
                <w:kern w:val="0"/>
                <w:sz w:val="18"/>
                <w:szCs w:val="18"/>
              </w:rPr>
              <w:t>分</w:t>
            </w:r>
            <w:r>
              <w:rPr>
                <w:rFonts w:ascii="仿宋_GB2312" w:eastAsia="仿宋_GB2312" w:hAnsi="宋体" w:cs="宋体" w:hint="eastAsia"/>
                <w:b/>
                <w:bCs/>
                <w:kern w:val="0"/>
                <w:sz w:val="18"/>
                <w:szCs w:val="18"/>
              </w:rPr>
              <w:t>)</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autoSpaceDN w:val="0"/>
              <w:spacing w:line="520" w:lineRule="exac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b/>
                <w:bCs/>
                <w:color w:val="000000"/>
                <w:sz w:val="16"/>
                <w:szCs w:val="16"/>
              </w:rPr>
              <w:lastRenderedPageBreak/>
              <w:t>1</w:t>
            </w:r>
            <w:r>
              <w:rPr>
                <w:rFonts w:ascii="仿宋_GB2312" w:eastAsia="仿宋_GB2312" w:hAnsi="仿宋_GB2312" w:cs="仿宋_GB2312" w:hint="eastAsia"/>
                <w:b/>
                <w:bCs/>
                <w:color w:val="000000"/>
                <w:sz w:val="16"/>
                <w:szCs w:val="16"/>
              </w:rPr>
              <w:t>、规划编制与完善方面</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）国土空间规划编制。</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）生态修复治理。</w:t>
            </w:r>
          </w:p>
          <w:p w:rsidR="00635640" w:rsidRDefault="00F46282">
            <w:pPr>
              <w:autoSpaceDN w:val="0"/>
              <w:spacing w:line="200" w:lineRule="exact"/>
              <w:jc w:val="left"/>
              <w:textAlignment w:val="center"/>
              <w:rPr>
                <w:rFonts w:ascii="仿宋_GB2312" w:eastAsia="仿宋_GB2312" w:hAnsi="宋体" w:cs="宋体"/>
                <w:kern w:val="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）绿色矿山建设。</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）国土空间规划编制。统筹划定“三条控制线”，编制城市设计、村庄规划编制。</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）生态修复治理。上报确认未修复历史遗留矿山</w:t>
            </w:r>
            <w:r>
              <w:rPr>
                <w:rFonts w:ascii="仿宋_GB2312" w:eastAsia="仿宋_GB2312" w:hAnsi="仿宋_GB2312" w:cs="仿宋_GB2312" w:hint="eastAsia"/>
                <w:color w:val="000000"/>
                <w:sz w:val="16"/>
                <w:szCs w:val="16"/>
              </w:rPr>
              <w:t>683</w:t>
            </w:r>
            <w:r>
              <w:rPr>
                <w:rFonts w:ascii="仿宋_GB2312" w:eastAsia="仿宋_GB2312" w:hAnsi="仿宋_GB2312" w:cs="仿宋_GB2312" w:hint="eastAsia"/>
                <w:color w:val="000000"/>
                <w:sz w:val="16"/>
                <w:szCs w:val="16"/>
              </w:rPr>
              <w:t>公顷，计划十四五期间</w:t>
            </w:r>
            <w:proofErr w:type="gramStart"/>
            <w:r>
              <w:rPr>
                <w:rFonts w:ascii="仿宋_GB2312" w:eastAsia="仿宋_GB2312" w:hAnsi="仿宋_GB2312" w:cs="仿宋_GB2312" w:hint="eastAsia"/>
                <w:color w:val="000000"/>
                <w:sz w:val="16"/>
                <w:szCs w:val="16"/>
              </w:rPr>
              <w:t>修复约</w:t>
            </w:r>
            <w:proofErr w:type="gramEnd"/>
            <w:r>
              <w:rPr>
                <w:rFonts w:ascii="仿宋_GB2312" w:eastAsia="仿宋_GB2312" w:hAnsi="仿宋_GB2312" w:cs="仿宋_GB2312" w:hint="eastAsia"/>
                <w:color w:val="000000"/>
                <w:sz w:val="16"/>
                <w:szCs w:val="16"/>
              </w:rPr>
              <w:t>546</w:t>
            </w:r>
            <w:r>
              <w:rPr>
                <w:rFonts w:ascii="仿宋_GB2312" w:eastAsia="仿宋_GB2312" w:hAnsi="仿宋_GB2312" w:cs="仿宋_GB2312" w:hint="eastAsia"/>
                <w:color w:val="000000"/>
                <w:sz w:val="16"/>
                <w:szCs w:val="16"/>
              </w:rPr>
              <w:t>公顷，</w:t>
            </w:r>
            <w:proofErr w:type="gramStart"/>
            <w:r>
              <w:rPr>
                <w:rFonts w:ascii="仿宋_GB2312" w:eastAsia="仿宋_GB2312" w:hAnsi="仿宋_GB2312" w:cs="仿宋_GB2312" w:hint="eastAsia"/>
                <w:color w:val="000000"/>
                <w:sz w:val="16"/>
                <w:szCs w:val="16"/>
              </w:rPr>
              <w:t>拟实现</w:t>
            </w:r>
            <w:proofErr w:type="gramEnd"/>
            <w:r>
              <w:rPr>
                <w:rFonts w:ascii="仿宋_GB2312" w:eastAsia="仿宋_GB2312" w:hAnsi="仿宋_GB2312" w:cs="仿宋_GB2312" w:hint="eastAsia"/>
                <w:color w:val="000000"/>
                <w:sz w:val="16"/>
                <w:szCs w:val="16"/>
              </w:rPr>
              <w:t>修复率</w:t>
            </w:r>
            <w:r>
              <w:rPr>
                <w:rFonts w:ascii="仿宋_GB2312" w:eastAsia="仿宋_GB2312" w:hAnsi="仿宋_GB2312" w:cs="仿宋_GB2312" w:hint="eastAsia"/>
                <w:color w:val="000000"/>
                <w:sz w:val="16"/>
                <w:szCs w:val="16"/>
              </w:rPr>
              <w:t>80%</w:t>
            </w:r>
            <w:r>
              <w:rPr>
                <w:rFonts w:ascii="仿宋_GB2312" w:eastAsia="仿宋_GB2312" w:hAnsi="仿宋_GB2312" w:cs="仿宋_GB2312" w:hint="eastAsia"/>
                <w:color w:val="000000"/>
                <w:sz w:val="16"/>
                <w:szCs w:val="16"/>
              </w:rPr>
              <w:t>、</w:t>
            </w:r>
          </w:p>
          <w:p w:rsidR="00635640" w:rsidRDefault="00F46282">
            <w:pPr>
              <w:widowControl/>
              <w:spacing w:line="240" w:lineRule="exact"/>
              <w:jc w:val="left"/>
              <w:rPr>
                <w:rFonts w:ascii="仿宋_GB2312" w:eastAsia="仿宋_GB2312" w:hAnsi="宋体" w:cs="宋体"/>
                <w:kern w:val="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）绿色矿山建设。编制专项规划，推进砂石土矿专项整治，完成了砂石土采矿权关闭目标。</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完成确定的指标计满分，未完成</w:t>
            </w:r>
            <w:r>
              <w:rPr>
                <w:rFonts w:ascii="仿宋_GB2312" w:eastAsia="仿宋_GB2312" w:hAnsi="宋体" w:cs="宋体" w:hint="eastAsia"/>
                <w:kern w:val="0"/>
                <w:sz w:val="16"/>
                <w:szCs w:val="16"/>
              </w:rPr>
              <w:t>1</w:t>
            </w:r>
            <w:r>
              <w:rPr>
                <w:rFonts w:ascii="仿宋_GB2312" w:eastAsia="仿宋_GB2312" w:hAnsi="宋体" w:cs="宋体" w:hint="eastAsia"/>
                <w:kern w:val="0"/>
                <w:sz w:val="16"/>
                <w:szCs w:val="16"/>
              </w:rPr>
              <w:t>项扣</w:t>
            </w:r>
            <w:r>
              <w:rPr>
                <w:rFonts w:ascii="仿宋_GB2312" w:eastAsia="仿宋_GB2312" w:hAnsi="宋体" w:cs="宋体" w:hint="eastAsia"/>
                <w:kern w:val="0"/>
                <w:sz w:val="16"/>
                <w:szCs w:val="16"/>
              </w:rPr>
              <w:t>0.5</w:t>
            </w:r>
            <w:r>
              <w:rPr>
                <w:rFonts w:ascii="仿宋_GB2312" w:eastAsia="仿宋_GB2312" w:hAnsi="宋体" w:cs="宋体" w:hint="eastAsia"/>
                <w:kern w:val="0"/>
                <w:sz w:val="16"/>
                <w:szCs w:val="16"/>
              </w:rPr>
              <w:t>分</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tc>
      </w:tr>
      <w:tr w:rsidR="00635640">
        <w:trPr>
          <w:trHeight w:val="8316"/>
          <w:jc w:val="center"/>
        </w:trPr>
        <w:tc>
          <w:tcPr>
            <w:tcW w:w="5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b/>
                <w:bCs/>
                <w:color w:val="000000"/>
                <w:sz w:val="16"/>
                <w:szCs w:val="16"/>
              </w:rPr>
            </w:pPr>
            <w:r>
              <w:rPr>
                <w:rFonts w:ascii="仿宋_GB2312" w:eastAsia="仿宋_GB2312" w:hAnsi="仿宋_GB2312" w:cs="仿宋_GB2312" w:hint="eastAsia"/>
                <w:b/>
                <w:bCs/>
                <w:color w:val="000000"/>
                <w:sz w:val="16"/>
                <w:szCs w:val="16"/>
              </w:rPr>
              <w:t>2</w:t>
            </w:r>
            <w:r>
              <w:rPr>
                <w:rFonts w:ascii="仿宋_GB2312" w:eastAsia="仿宋_GB2312" w:hAnsi="仿宋_GB2312" w:cs="仿宋_GB2312" w:hint="eastAsia"/>
                <w:b/>
                <w:bCs/>
                <w:color w:val="000000"/>
                <w:sz w:val="16"/>
                <w:szCs w:val="16"/>
              </w:rPr>
              <w:t>、耕地保护、执法体系建设、“三调”成果、农村乱占耕地建房问题整治方面</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）强化耕地保护。</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）督查执法。</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）资源调查工作。</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b/>
                <w:bCs/>
                <w:color w:val="000000"/>
                <w:sz w:val="16"/>
                <w:szCs w:val="16"/>
              </w:rPr>
            </w:pPr>
            <w:r>
              <w:rPr>
                <w:rFonts w:ascii="仿宋_GB2312" w:eastAsia="仿宋_GB2312" w:hAnsi="仿宋_GB2312" w:cs="仿宋_GB2312" w:hint="eastAsia"/>
                <w:b/>
                <w:bCs/>
                <w:color w:val="000000"/>
                <w:sz w:val="16"/>
                <w:szCs w:val="16"/>
              </w:rPr>
              <w:t>3</w:t>
            </w:r>
            <w:r>
              <w:rPr>
                <w:rFonts w:ascii="仿宋_GB2312" w:eastAsia="仿宋_GB2312" w:hAnsi="仿宋_GB2312" w:cs="仿宋_GB2312" w:hint="eastAsia"/>
                <w:b/>
                <w:bCs/>
                <w:color w:val="000000"/>
                <w:sz w:val="16"/>
                <w:szCs w:val="16"/>
              </w:rPr>
              <w:t>、土地要素、优化营商环境、节约用地方面</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）土地要素保障。</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）优化营商环境。</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）集约用地。</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b/>
                <w:bCs/>
                <w:color w:val="000000"/>
                <w:sz w:val="16"/>
                <w:szCs w:val="16"/>
              </w:rPr>
            </w:pPr>
            <w:r>
              <w:rPr>
                <w:rFonts w:ascii="仿宋_GB2312" w:eastAsia="仿宋_GB2312" w:hAnsi="仿宋_GB2312" w:cs="仿宋_GB2312" w:hint="eastAsia"/>
                <w:b/>
                <w:bCs/>
                <w:color w:val="000000"/>
                <w:sz w:val="16"/>
                <w:szCs w:val="16"/>
              </w:rPr>
              <w:t>4</w:t>
            </w:r>
            <w:r>
              <w:rPr>
                <w:rFonts w:ascii="仿宋_GB2312" w:eastAsia="仿宋_GB2312" w:hAnsi="仿宋_GB2312" w:cs="仿宋_GB2312" w:hint="eastAsia"/>
                <w:b/>
                <w:bCs/>
                <w:color w:val="000000"/>
                <w:sz w:val="16"/>
                <w:szCs w:val="16"/>
              </w:rPr>
              <w:t>、地灾防治、不动产登记服务、信访问题化解</w:t>
            </w:r>
            <w:proofErr w:type="gramStart"/>
            <w:r>
              <w:rPr>
                <w:rFonts w:ascii="仿宋_GB2312" w:eastAsia="仿宋_GB2312" w:hAnsi="仿宋_GB2312" w:cs="仿宋_GB2312" w:hint="eastAsia"/>
                <w:b/>
                <w:bCs/>
                <w:color w:val="000000"/>
                <w:sz w:val="16"/>
                <w:szCs w:val="16"/>
              </w:rPr>
              <w:t>及禁拆治违</w:t>
            </w:r>
            <w:proofErr w:type="gramEnd"/>
            <w:r>
              <w:rPr>
                <w:rFonts w:ascii="仿宋_GB2312" w:eastAsia="仿宋_GB2312" w:hAnsi="仿宋_GB2312" w:cs="仿宋_GB2312" w:hint="eastAsia"/>
                <w:b/>
                <w:bCs/>
                <w:color w:val="000000"/>
                <w:sz w:val="16"/>
                <w:szCs w:val="16"/>
              </w:rPr>
              <w:t>方面</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）地灾防治。</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提升不动产登记服务。</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购房群众合法权益保护。</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完成</w:t>
            </w:r>
            <w:proofErr w:type="gramStart"/>
            <w:r>
              <w:rPr>
                <w:rFonts w:ascii="仿宋_GB2312" w:eastAsia="仿宋_GB2312" w:hAnsi="仿宋_GB2312" w:cs="仿宋_GB2312" w:hint="eastAsia"/>
                <w:color w:val="000000"/>
                <w:sz w:val="16"/>
                <w:szCs w:val="16"/>
              </w:rPr>
              <w:t>禁拆治违</w:t>
            </w:r>
            <w:proofErr w:type="gramEnd"/>
            <w:r>
              <w:rPr>
                <w:rFonts w:ascii="仿宋_GB2312" w:eastAsia="仿宋_GB2312" w:hAnsi="仿宋_GB2312" w:cs="仿宋_GB2312" w:hint="eastAsia"/>
                <w:color w:val="000000"/>
                <w:sz w:val="16"/>
                <w:szCs w:val="16"/>
              </w:rPr>
              <w:t>整治行动。</w:t>
            </w: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b/>
                <w:bCs/>
                <w:color w:val="000000"/>
                <w:sz w:val="16"/>
                <w:szCs w:val="16"/>
              </w:rPr>
            </w:pPr>
            <w:r>
              <w:rPr>
                <w:rFonts w:ascii="仿宋_GB2312" w:eastAsia="仿宋_GB2312" w:hAnsi="仿宋_GB2312" w:cs="仿宋_GB2312" w:hint="eastAsia"/>
                <w:b/>
                <w:bCs/>
                <w:color w:val="000000"/>
                <w:sz w:val="16"/>
                <w:szCs w:val="16"/>
              </w:rPr>
              <w:lastRenderedPageBreak/>
              <w:t>5</w:t>
            </w:r>
            <w:r>
              <w:rPr>
                <w:rFonts w:ascii="仿宋_GB2312" w:eastAsia="仿宋_GB2312" w:hAnsi="仿宋_GB2312" w:cs="仿宋_GB2312" w:hint="eastAsia"/>
                <w:b/>
                <w:bCs/>
                <w:color w:val="000000"/>
                <w:sz w:val="16"/>
                <w:szCs w:val="16"/>
              </w:rPr>
              <w:t>、深化机构改革、人才培养、信息化建设、</w:t>
            </w:r>
            <w:proofErr w:type="gramStart"/>
            <w:r>
              <w:rPr>
                <w:rFonts w:ascii="仿宋_GB2312" w:eastAsia="仿宋_GB2312" w:hAnsi="仿宋_GB2312" w:cs="仿宋_GB2312" w:hint="eastAsia"/>
                <w:b/>
                <w:bCs/>
                <w:color w:val="000000"/>
                <w:sz w:val="16"/>
                <w:szCs w:val="16"/>
              </w:rPr>
              <w:t>信访维稳方面</w:t>
            </w:r>
            <w:proofErr w:type="gramEnd"/>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）深化机构改革。</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）人才培养。</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）信息化建设。</w:t>
            </w:r>
          </w:p>
          <w:p w:rsidR="00635640" w:rsidRDefault="00F46282">
            <w:pPr>
              <w:autoSpaceDN w:val="0"/>
              <w:spacing w:line="200" w:lineRule="exact"/>
              <w:jc w:val="left"/>
              <w:textAlignment w:val="center"/>
              <w:rPr>
                <w:rFonts w:ascii="仿宋_GB2312" w:eastAsia="仿宋_GB2312" w:hAnsi="仿宋_GB2312" w:cs="仿宋_GB2312"/>
                <w:b/>
                <w:bCs/>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）信访维稳。</w:t>
            </w: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b/>
                <w:bCs/>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b/>
                <w:bCs/>
                <w:color w:val="000000"/>
                <w:sz w:val="16"/>
                <w:szCs w:val="16"/>
              </w:rPr>
            </w:pPr>
            <w:r>
              <w:rPr>
                <w:rFonts w:ascii="仿宋_GB2312" w:eastAsia="仿宋_GB2312" w:hAnsi="仿宋_GB2312" w:cs="仿宋_GB2312" w:hint="eastAsia"/>
                <w:b/>
                <w:bCs/>
                <w:color w:val="000000"/>
                <w:sz w:val="16"/>
                <w:szCs w:val="16"/>
              </w:rPr>
              <w:t>6</w:t>
            </w:r>
            <w:r>
              <w:rPr>
                <w:rFonts w:ascii="仿宋_GB2312" w:eastAsia="仿宋_GB2312" w:hAnsi="仿宋_GB2312" w:cs="仿宋_GB2312" w:hint="eastAsia"/>
                <w:b/>
                <w:bCs/>
                <w:color w:val="000000"/>
                <w:sz w:val="16"/>
                <w:szCs w:val="16"/>
              </w:rPr>
              <w:t>、党建及廉政建设方面</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）政治立场。</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）巩固基层党建。</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）意识形态。</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）廉政建设。</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宋体" w:cs="宋体"/>
                <w:kern w:val="0"/>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auto"/>
            <w:noWrap/>
          </w:tcPr>
          <w:p w:rsidR="00635640" w:rsidRDefault="00635640">
            <w:pPr>
              <w:widowControl/>
              <w:spacing w:line="240" w:lineRule="exact"/>
              <w:rPr>
                <w:rFonts w:ascii="仿宋_GB2312" w:eastAsia="仿宋_GB2312" w:hAnsi="仿宋_GB2312" w:cs="仿宋_GB2312"/>
                <w:color w:val="000000"/>
                <w:sz w:val="16"/>
                <w:szCs w:val="16"/>
              </w:rPr>
            </w:pPr>
          </w:p>
          <w:p w:rsidR="00635640" w:rsidRDefault="00F46282">
            <w:pPr>
              <w:autoSpaceDN w:val="0"/>
              <w:spacing w:line="200" w:lineRule="exac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）强化耕地保护。配合省</w:t>
            </w:r>
            <w:proofErr w:type="gramStart"/>
            <w:r>
              <w:rPr>
                <w:rFonts w:ascii="仿宋_GB2312" w:eastAsia="仿宋_GB2312" w:hAnsi="仿宋_GB2312" w:cs="仿宋_GB2312" w:hint="eastAsia"/>
                <w:color w:val="000000"/>
                <w:sz w:val="16"/>
                <w:szCs w:val="16"/>
              </w:rPr>
              <w:t>整治局</w:t>
            </w:r>
            <w:proofErr w:type="gramEnd"/>
            <w:r>
              <w:rPr>
                <w:rFonts w:ascii="仿宋_GB2312" w:eastAsia="仿宋_GB2312" w:hAnsi="仿宋_GB2312" w:cs="仿宋_GB2312" w:hint="eastAsia"/>
                <w:color w:val="000000"/>
                <w:sz w:val="16"/>
                <w:szCs w:val="16"/>
              </w:rPr>
              <w:t>核实验收项目</w:t>
            </w:r>
            <w:r>
              <w:rPr>
                <w:rFonts w:ascii="仿宋_GB2312" w:eastAsia="仿宋_GB2312" w:hAnsi="仿宋_GB2312" w:cs="仿宋_GB2312" w:hint="eastAsia"/>
                <w:color w:val="000000"/>
                <w:sz w:val="16"/>
                <w:szCs w:val="16"/>
              </w:rPr>
              <w:t>30</w:t>
            </w:r>
            <w:r>
              <w:rPr>
                <w:rFonts w:ascii="仿宋_GB2312" w:eastAsia="仿宋_GB2312" w:hAnsi="仿宋_GB2312" w:cs="仿宋_GB2312" w:hint="eastAsia"/>
                <w:color w:val="000000"/>
                <w:sz w:val="16"/>
                <w:szCs w:val="16"/>
              </w:rPr>
              <w:t>个，确认增减挂钩项目</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批次，做到占优补优、占水田补水田。</w:t>
            </w:r>
          </w:p>
          <w:p w:rsidR="00635640" w:rsidRDefault="00F46282">
            <w:pPr>
              <w:autoSpaceDN w:val="0"/>
              <w:spacing w:line="200" w:lineRule="exac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）督查执法。抓</w:t>
            </w:r>
            <w:proofErr w:type="gramStart"/>
            <w:r>
              <w:rPr>
                <w:rFonts w:ascii="仿宋_GB2312" w:eastAsia="仿宋_GB2312" w:hAnsi="仿宋_GB2312" w:cs="仿宋_GB2312" w:hint="eastAsia"/>
                <w:color w:val="000000"/>
                <w:sz w:val="16"/>
                <w:szCs w:val="16"/>
              </w:rPr>
              <w:t>实问题</w:t>
            </w:r>
            <w:proofErr w:type="gramEnd"/>
            <w:r>
              <w:rPr>
                <w:rFonts w:ascii="仿宋_GB2312" w:eastAsia="仿宋_GB2312" w:hAnsi="仿宋_GB2312" w:cs="仿宋_GB2312" w:hint="eastAsia"/>
                <w:color w:val="000000"/>
                <w:sz w:val="16"/>
                <w:szCs w:val="16"/>
              </w:rPr>
              <w:t>“回头看”，全市乱占耕地建房问题整改率达到</w:t>
            </w:r>
            <w:r>
              <w:rPr>
                <w:rFonts w:ascii="仿宋_GB2312" w:eastAsia="仿宋_GB2312" w:hAnsi="仿宋_GB2312" w:cs="仿宋_GB2312" w:hint="eastAsia"/>
                <w:color w:val="000000"/>
                <w:sz w:val="16"/>
                <w:szCs w:val="16"/>
              </w:rPr>
              <w:t>100%</w:t>
            </w:r>
            <w:r>
              <w:rPr>
                <w:rFonts w:ascii="仿宋_GB2312" w:eastAsia="仿宋_GB2312" w:hAnsi="仿宋_GB2312" w:cs="仿宋_GB2312" w:hint="eastAsia"/>
                <w:color w:val="000000"/>
                <w:sz w:val="16"/>
                <w:szCs w:val="16"/>
              </w:rPr>
              <w:t>。</w:t>
            </w:r>
          </w:p>
          <w:p w:rsidR="00635640" w:rsidRDefault="00F46282">
            <w:pPr>
              <w:pStyle w:val="a0"/>
              <w:spacing w:line="200" w:lineRule="exac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）资源调查工作。完成用地专项调查、农村空心房专项调查、年度国土变更调查等工作，成果上报省厅并通过省级核查</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）土地要素保障。重大项目顺利落地，全市清零验收</w:t>
            </w:r>
            <w:r>
              <w:rPr>
                <w:rFonts w:ascii="仿宋_GB2312" w:eastAsia="仿宋_GB2312" w:hAnsi="仿宋_GB2312" w:cs="仿宋_GB2312" w:hint="eastAsia"/>
                <w:color w:val="000000"/>
                <w:sz w:val="16"/>
                <w:szCs w:val="16"/>
              </w:rPr>
              <w:t>121</w:t>
            </w:r>
            <w:r>
              <w:rPr>
                <w:rFonts w:ascii="仿宋_GB2312" w:eastAsia="仿宋_GB2312" w:hAnsi="仿宋_GB2312" w:cs="仿宋_GB2312" w:hint="eastAsia"/>
                <w:color w:val="000000"/>
                <w:sz w:val="16"/>
                <w:szCs w:val="16"/>
              </w:rPr>
              <w:t>个土地依法征收项目，完成建设用地供应</w:t>
            </w:r>
            <w:r>
              <w:rPr>
                <w:rFonts w:ascii="仿宋_GB2312" w:eastAsia="仿宋_GB2312" w:hAnsi="仿宋_GB2312" w:cs="仿宋_GB2312" w:hint="eastAsia"/>
                <w:color w:val="000000"/>
                <w:sz w:val="16"/>
                <w:szCs w:val="16"/>
              </w:rPr>
              <w:t>1099</w:t>
            </w:r>
            <w:r>
              <w:rPr>
                <w:rFonts w:ascii="仿宋_GB2312" w:eastAsia="仿宋_GB2312" w:hAnsi="仿宋_GB2312" w:cs="仿宋_GB2312" w:hint="eastAsia"/>
                <w:color w:val="000000"/>
                <w:sz w:val="16"/>
                <w:szCs w:val="16"/>
              </w:rPr>
              <w:t>宗</w:t>
            </w:r>
            <w:r>
              <w:rPr>
                <w:rFonts w:ascii="仿宋_GB2312" w:eastAsia="仿宋_GB2312" w:hAnsi="仿宋_GB2312" w:cs="仿宋_GB2312" w:hint="eastAsia"/>
                <w:color w:val="000000"/>
                <w:sz w:val="16"/>
                <w:szCs w:val="16"/>
              </w:rPr>
              <w:t>2811.02</w:t>
            </w:r>
            <w:r>
              <w:rPr>
                <w:rFonts w:ascii="仿宋_GB2312" w:eastAsia="仿宋_GB2312" w:hAnsi="仿宋_GB2312" w:cs="仿宋_GB2312" w:hint="eastAsia"/>
                <w:color w:val="000000"/>
                <w:sz w:val="16"/>
                <w:szCs w:val="16"/>
              </w:rPr>
              <w:t>公顷，追缴往年欠缴土地出让金</w:t>
            </w:r>
            <w:r>
              <w:rPr>
                <w:rFonts w:ascii="仿宋_GB2312" w:eastAsia="仿宋_GB2312" w:hAnsi="仿宋_GB2312" w:cs="仿宋_GB2312" w:hint="eastAsia"/>
                <w:color w:val="000000"/>
                <w:sz w:val="16"/>
                <w:szCs w:val="16"/>
              </w:rPr>
              <w:t>12.32</w:t>
            </w:r>
            <w:r>
              <w:rPr>
                <w:rFonts w:ascii="仿宋_GB2312" w:eastAsia="仿宋_GB2312" w:hAnsi="仿宋_GB2312" w:cs="仿宋_GB2312" w:hint="eastAsia"/>
                <w:color w:val="000000"/>
                <w:sz w:val="16"/>
                <w:szCs w:val="16"/>
              </w:rPr>
              <w:t>亿元。</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）优化营商环境。核发建设用地规划许可</w:t>
            </w:r>
            <w:r>
              <w:rPr>
                <w:rFonts w:ascii="仿宋_GB2312" w:eastAsia="仿宋_GB2312" w:hAnsi="仿宋_GB2312" w:cs="仿宋_GB2312" w:hint="eastAsia"/>
                <w:color w:val="000000"/>
                <w:sz w:val="16"/>
                <w:szCs w:val="16"/>
              </w:rPr>
              <w:t>36</w:t>
            </w:r>
            <w:r>
              <w:rPr>
                <w:rFonts w:ascii="仿宋_GB2312" w:eastAsia="仿宋_GB2312" w:hAnsi="仿宋_GB2312" w:cs="仿宋_GB2312" w:hint="eastAsia"/>
                <w:color w:val="000000"/>
                <w:sz w:val="16"/>
                <w:szCs w:val="16"/>
              </w:rPr>
              <w:t>项，建设工程规划许可</w:t>
            </w:r>
            <w:r>
              <w:rPr>
                <w:rFonts w:ascii="仿宋_GB2312" w:eastAsia="仿宋_GB2312" w:hAnsi="仿宋_GB2312" w:cs="仿宋_GB2312" w:hint="eastAsia"/>
                <w:color w:val="000000"/>
                <w:sz w:val="16"/>
                <w:szCs w:val="16"/>
              </w:rPr>
              <w:t>75</w:t>
            </w:r>
            <w:r>
              <w:rPr>
                <w:rFonts w:ascii="仿宋_GB2312" w:eastAsia="仿宋_GB2312" w:hAnsi="仿宋_GB2312" w:cs="仿宋_GB2312" w:hint="eastAsia"/>
                <w:color w:val="000000"/>
                <w:sz w:val="16"/>
                <w:szCs w:val="16"/>
              </w:rPr>
              <w:t>项，“多测合一”改革实现全流程、全覆盖。</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个试点项目顺利实施“拿地即开工”。</w:t>
            </w:r>
          </w:p>
          <w:p w:rsidR="00635640" w:rsidRDefault="00F46282">
            <w:pPr>
              <w:pStyle w:val="a0"/>
              <w:spacing w:line="200" w:lineRule="exac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）集约用地。完成省厅下达处置批而未</w:t>
            </w:r>
            <w:proofErr w:type="gramStart"/>
            <w:r>
              <w:rPr>
                <w:rFonts w:ascii="仿宋_GB2312" w:eastAsia="仿宋_GB2312" w:hAnsi="仿宋_GB2312" w:cs="仿宋_GB2312" w:hint="eastAsia"/>
                <w:color w:val="000000"/>
                <w:sz w:val="16"/>
                <w:szCs w:val="16"/>
              </w:rPr>
              <w:t>供土地</w:t>
            </w:r>
            <w:proofErr w:type="gramEnd"/>
            <w:r>
              <w:rPr>
                <w:rFonts w:ascii="仿宋_GB2312" w:eastAsia="仿宋_GB2312" w:hAnsi="仿宋_GB2312" w:cs="仿宋_GB2312" w:hint="eastAsia"/>
                <w:color w:val="000000"/>
                <w:sz w:val="16"/>
                <w:szCs w:val="16"/>
              </w:rPr>
              <w:t>1357.57</w:t>
            </w:r>
            <w:r>
              <w:rPr>
                <w:rFonts w:ascii="仿宋_GB2312" w:eastAsia="仿宋_GB2312" w:hAnsi="仿宋_GB2312" w:cs="仿宋_GB2312" w:hint="eastAsia"/>
                <w:color w:val="000000"/>
                <w:sz w:val="16"/>
                <w:szCs w:val="16"/>
              </w:rPr>
              <w:t>公顷，处置闲置土地</w:t>
            </w:r>
            <w:r>
              <w:rPr>
                <w:rFonts w:ascii="仿宋_GB2312" w:eastAsia="仿宋_GB2312" w:hAnsi="仿宋_GB2312" w:cs="仿宋_GB2312" w:hint="eastAsia"/>
                <w:color w:val="000000"/>
                <w:sz w:val="16"/>
                <w:szCs w:val="16"/>
              </w:rPr>
              <w:t>781.95</w:t>
            </w:r>
            <w:r>
              <w:rPr>
                <w:rFonts w:ascii="仿宋_GB2312" w:eastAsia="仿宋_GB2312" w:hAnsi="仿宋_GB2312" w:cs="仿宋_GB2312" w:hint="eastAsia"/>
                <w:color w:val="000000"/>
                <w:sz w:val="16"/>
                <w:szCs w:val="16"/>
              </w:rPr>
              <w:t>公顷任务；“摘帽”行动处置</w:t>
            </w:r>
            <w:r>
              <w:rPr>
                <w:rFonts w:ascii="仿宋_GB2312" w:eastAsia="仿宋_GB2312" w:hAnsi="仿宋_GB2312" w:cs="仿宋_GB2312" w:hint="eastAsia"/>
                <w:color w:val="000000"/>
                <w:sz w:val="16"/>
                <w:szCs w:val="16"/>
              </w:rPr>
              <w:t>43</w:t>
            </w:r>
            <w:r>
              <w:rPr>
                <w:rFonts w:ascii="仿宋_GB2312" w:eastAsia="仿宋_GB2312" w:hAnsi="仿宋_GB2312" w:cs="仿宋_GB2312" w:hint="eastAsia"/>
                <w:color w:val="000000"/>
                <w:sz w:val="16"/>
                <w:szCs w:val="16"/>
              </w:rPr>
              <w:t>宗，“净地”攻坚行动处置</w:t>
            </w:r>
            <w:r>
              <w:rPr>
                <w:rFonts w:ascii="仿宋_GB2312" w:eastAsia="仿宋_GB2312" w:hAnsi="仿宋_GB2312" w:cs="仿宋_GB2312" w:hint="eastAsia"/>
                <w:color w:val="000000"/>
                <w:sz w:val="16"/>
                <w:szCs w:val="16"/>
              </w:rPr>
              <w:t>59</w:t>
            </w:r>
            <w:r>
              <w:rPr>
                <w:rFonts w:ascii="仿宋_GB2312" w:eastAsia="仿宋_GB2312" w:hAnsi="仿宋_GB2312" w:cs="仿宋_GB2312" w:hint="eastAsia"/>
                <w:color w:val="000000"/>
                <w:sz w:val="16"/>
                <w:szCs w:val="16"/>
              </w:rPr>
              <w:t>宗“执法”行动</w:t>
            </w:r>
            <w:r>
              <w:rPr>
                <w:rFonts w:ascii="仿宋_GB2312" w:eastAsia="仿宋_GB2312" w:hAnsi="仿宋_GB2312" w:cs="仿宋_GB2312" w:hint="eastAsia"/>
                <w:color w:val="000000"/>
                <w:sz w:val="16"/>
                <w:szCs w:val="16"/>
              </w:rPr>
              <w:t>34</w:t>
            </w:r>
            <w:r>
              <w:rPr>
                <w:rFonts w:ascii="仿宋_GB2312" w:eastAsia="仿宋_GB2312" w:hAnsi="仿宋_GB2312" w:cs="仿宋_GB2312" w:hint="eastAsia"/>
                <w:color w:val="000000"/>
                <w:sz w:val="16"/>
                <w:szCs w:val="16"/>
              </w:rPr>
              <w:t>宗、处置率</w:t>
            </w:r>
            <w:r>
              <w:rPr>
                <w:rFonts w:ascii="仿宋_GB2312" w:eastAsia="仿宋_GB2312" w:hAnsi="仿宋_GB2312" w:cs="仿宋_GB2312" w:hint="eastAsia"/>
                <w:color w:val="000000"/>
                <w:sz w:val="16"/>
                <w:szCs w:val="16"/>
              </w:rPr>
              <w:t>100%</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）地灾防治。全市共举办应急避险演练</w:t>
            </w:r>
            <w:r>
              <w:rPr>
                <w:rFonts w:ascii="仿宋_GB2312" w:eastAsia="仿宋_GB2312" w:hAnsi="仿宋_GB2312" w:cs="仿宋_GB2312" w:hint="eastAsia"/>
                <w:color w:val="000000"/>
                <w:sz w:val="16"/>
                <w:szCs w:val="16"/>
              </w:rPr>
              <w:t>40</w:t>
            </w:r>
            <w:r>
              <w:rPr>
                <w:rFonts w:ascii="仿宋_GB2312" w:eastAsia="仿宋_GB2312" w:hAnsi="仿宋_GB2312" w:cs="仿宋_GB2312" w:hint="eastAsia"/>
                <w:color w:val="000000"/>
                <w:sz w:val="16"/>
                <w:szCs w:val="16"/>
              </w:rPr>
              <w:t>次；持续保持地灾隐患点“零死亡”。</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提升不动产登记服务。建设不动产交易登记审核效率提升，最快“</w:t>
            </w:r>
            <w:r>
              <w:rPr>
                <w:rFonts w:ascii="仿宋_GB2312" w:eastAsia="仿宋_GB2312" w:hAnsi="仿宋_GB2312" w:cs="仿宋_GB2312" w:hint="eastAsia"/>
                <w:color w:val="000000"/>
                <w:sz w:val="16"/>
                <w:szCs w:val="16"/>
              </w:rPr>
              <w:t>60</w:t>
            </w:r>
            <w:r>
              <w:rPr>
                <w:rFonts w:ascii="仿宋_GB2312" w:eastAsia="仿宋_GB2312" w:hAnsi="仿宋_GB2312" w:cs="仿宋_GB2312" w:hint="eastAsia"/>
                <w:color w:val="000000"/>
                <w:sz w:val="16"/>
                <w:szCs w:val="16"/>
              </w:rPr>
              <w:t>分钟”出证；将不动登记“一窗办事”平台延伸；推行各类业务“网上办、掌上办、自助办”，实现了“数据多跑路，群众少跑腿”。</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购房群众合法权益保护。全市</w:t>
            </w:r>
            <w:r>
              <w:rPr>
                <w:rFonts w:ascii="仿宋_GB2312" w:eastAsia="仿宋_GB2312" w:hAnsi="仿宋_GB2312" w:cs="仿宋_GB2312" w:hint="eastAsia"/>
                <w:color w:val="000000"/>
                <w:sz w:val="16"/>
                <w:szCs w:val="16"/>
              </w:rPr>
              <w:t>87</w:t>
            </w:r>
            <w:r>
              <w:rPr>
                <w:rFonts w:ascii="仿宋_GB2312" w:eastAsia="仿宋_GB2312" w:hAnsi="仿宋_GB2312" w:cs="仿宋_GB2312" w:hint="eastAsia"/>
                <w:color w:val="000000"/>
                <w:sz w:val="16"/>
                <w:szCs w:val="16"/>
              </w:rPr>
              <w:t>个房地产办证信访突出问题化解</w:t>
            </w:r>
            <w:r>
              <w:rPr>
                <w:rFonts w:ascii="仿宋_GB2312" w:eastAsia="仿宋_GB2312" w:hAnsi="仿宋_GB2312" w:cs="仿宋_GB2312" w:hint="eastAsia"/>
                <w:color w:val="000000"/>
                <w:sz w:val="16"/>
                <w:szCs w:val="16"/>
              </w:rPr>
              <w:t>90%</w:t>
            </w:r>
            <w:r>
              <w:rPr>
                <w:rFonts w:ascii="仿宋_GB2312" w:eastAsia="仿宋_GB2312" w:hAnsi="仿宋_GB2312" w:cs="仿宋_GB2312" w:hint="eastAsia"/>
                <w:color w:val="000000"/>
                <w:sz w:val="16"/>
                <w:szCs w:val="16"/>
              </w:rPr>
              <w:t>，做到了“交房即交证”改革工作全覆盖。</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完成</w:t>
            </w:r>
            <w:proofErr w:type="gramStart"/>
            <w:r>
              <w:rPr>
                <w:rFonts w:ascii="仿宋_GB2312" w:eastAsia="仿宋_GB2312" w:hAnsi="仿宋_GB2312" w:cs="仿宋_GB2312" w:hint="eastAsia"/>
                <w:color w:val="000000"/>
                <w:sz w:val="16"/>
                <w:szCs w:val="16"/>
              </w:rPr>
              <w:t>禁拆治违</w:t>
            </w:r>
            <w:proofErr w:type="gramEnd"/>
            <w:r>
              <w:rPr>
                <w:rFonts w:ascii="仿宋_GB2312" w:eastAsia="仿宋_GB2312" w:hAnsi="仿宋_GB2312" w:cs="仿宋_GB2312" w:hint="eastAsia"/>
                <w:color w:val="000000"/>
                <w:sz w:val="16"/>
                <w:szCs w:val="16"/>
              </w:rPr>
              <w:t>整治行动。全市拆违</w:t>
            </w:r>
            <w:r>
              <w:rPr>
                <w:rFonts w:ascii="仿宋_GB2312" w:eastAsia="仿宋_GB2312" w:hAnsi="仿宋_GB2312" w:cs="仿宋_GB2312" w:hint="eastAsia"/>
                <w:color w:val="000000"/>
                <w:sz w:val="16"/>
                <w:szCs w:val="16"/>
              </w:rPr>
              <w:t>200</w:t>
            </w:r>
            <w:r>
              <w:rPr>
                <w:rFonts w:ascii="仿宋_GB2312" w:eastAsia="仿宋_GB2312" w:hAnsi="仿宋_GB2312" w:cs="仿宋_GB2312" w:hint="eastAsia"/>
                <w:color w:val="000000"/>
                <w:sz w:val="16"/>
                <w:szCs w:val="16"/>
              </w:rPr>
              <w:t>万㎡以上。</w:t>
            </w:r>
          </w:p>
          <w:p w:rsidR="00635640" w:rsidRDefault="00635640">
            <w:pPr>
              <w:autoSpaceDN w:val="0"/>
              <w:spacing w:line="200" w:lineRule="exact"/>
              <w:textAlignment w:val="center"/>
              <w:rPr>
                <w:rFonts w:ascii="仿宋_GB2312" w:eastAsia="仿宋_GB2312" w:hAnsi="仿宋_GB2312" w:cs="仿宋_GB2312"/>
                <w:color w:val="000000"/>
                <w:sz w:val="16"/>
                <w:szCs w:val="16"/>
              </w:rPr>
            </w:pPr>
          </w:p>
          <w:p w:rsidR="00635640" w:rsidRDefault="00635640">
            <w:pPr>
              <w:autoSpaceDN w:val="0"/>
              <w:spacing w:line="200" w:lineRule="exact"/>
              <w:textAlignment w:val="center"/>
              <w:rPr>
                <w:rFonts w:ascii="仿宋_GB2312" w:eastAsia="仿宋_GB2312" w:hAnsi="仿宋_GB2312" w:cs="仿宋_GB2312"/>
                <w:color w:val="000000"/>
                <w:sz w:val="16"/>
                <w:szCs w:val="16"/>
              </w:rPr>
            </w:pPr>
          </w:p>
          <w:p w:rsidR="00635640" w:rsidRDefault="00635640">
            <w:pPr>
              <w:rPr>
                <w:sz w:val="20"/>
                <w:szCs w:val="22"/>
              </w:rPr>
            </w:pP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）深化机构改革。搞好部分单位职权下放、市规划设计院改制。</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）人才培养。搞好选拔任用干部、岗位交流干部，完成调训、培训任务</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）信息化建设。</w:t>
            </w:r>
            <w:proofErr w:type="gramStart"/>
            <w:r>
              <w:rPr>
                <w:rFonts w:ascii="仿宋_GB2312" w:eastAsia="仿宋_GB2312" w:hAnsi="仿宋_GB2312" w:cs="仿宋_GB2312" w:hint="eastAsia"/>
                <w:color w:val="000000"/>
                <w:sz w:val="16"/>
                <w:szCs w:val="16"/>
              </w:rPr>
              <w:t>完成局政务</w:t>
            </w:r>
            <w:proofErr w:type="gramEnd"/>
            <w:r>
              <w:rPr>
                <w:rFonts w:ascii="仿宋_GB2312" w:eastAsia="仿宋_GB2312" w:hAnsi="仿宋_GB2312" w:cs="仿宋_GB2312" w:hint="eastAsia"/>
                <w:color w:val="000000"/>
                <w:sz w:val="16"/>
                <w:szCs w:val="16"/>
              </w:rPr>
              <w:t>平台综合办公及审批系统业务流程改造和国产化适配。</w:t>
            </w:r>
          </w:p>
          <w:p w:rsidR="00635640" w:rsidRDefault="00F46282">
            <w:pPr>
              <w:pStyle w:val="a0"/>
              <w:spacing w:line="200" w:lineRule="exact"/>
              <w:rPr>
                <w:sz w:val="20"/>
                <w:szCs w:val="22"/>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）信访维稳。完成市级信访积案，接待群众来信来访，办理交办转办件，处置网络舆情事件</w:t>
            </w:r>
            <w:proofErr w:type="gramStart"/>
            <w:r>
              <w:rPr>
                <w:rFonts w:ascii="仿宋_GB2312" w:eastAsia="仿宋_GB2312" w:hAnsi="仿宋_GB2312" w:cs="仿宋_GB2312" w:hint="eastAsia"/>
                <w:color w:val="000000"/>
                <w:sz w:val="16"/>
                <w:szCs w:val="16"/>
              </w:rPr>
              <w:t>件</w:t>
            </w:r>
            <w:proofErr w:type="gramEnd"/>
            <w:r>
              <w:rPr>
                <w:rFonts w:ascii="仿宋_GB2312" w:eastAsia="仿宋_GB2312" w:hAnsi="仿宋_GB2312" w:cs="仿宋_GB2312" w:hint="eastAsia"/>
                <w:color w:val="000000"/>
                <w:sz w:val="16"/>
                <w:szCs w:val="16"/>
              </w:rPr>
              <w:t>，办理建议提案</w:t>
            </w:r>
          </w:p>
          <w:p w:rsidR="00635640" w:rsidRDefault="00635640">
            <w:pPr>
              <w:spacing w:line="200" w:lineRule="exact"/>
              <w:rPr>
                <w:rFonts w:ascii="仿宋_GB2312" w:eastAsia="仿宋_GB2312" w:hAnsi="仿宋_GB2312" w:cs="仿宋_GB2312"/>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）政治立场。组织党组中心组织学习</w:t>
            </w:r>
            <w:r>
              <w:rPr>
                <w:rFonts w:ascii="仿宋_GB2312" w:eastAsia="仿宋_GB2312" w:hAnsi="仿宋_GB2312" w:cs="仿宋_GB2312" w:hint="eastAsia"/>
                <w:color w:val="000000"/>
                <w:sz w:val="16"/>
                <w:szCs w:val="16"/>
              </w:rPr>
              <w:t>18</w:t>
            </w:r>
            <w:r>
              <w:rPr>
                <w:rFonts w:ascii="仿宋_GB2312" w:eastAsia="仿宋_GB2312" w:hAnsi="仿宋_GB2312" w:cs="仿宋_GB2312" w:hint="eastAsia"/>
                <w:color w:val="000000"/>
                <w:sz w:val="16"/>
                <w:szCs w:val="16"/>
              </w:rPr>
              <w:t>次、市委巡察反馈问题整改率</w:t>
            </w:r>
            <w:r>
              <w:rPr>
                <w:rFonts w:ascii="仿宋_GB2312" w:eastAsia="仿宋_GB2312" w:hAnsi="仿宋_GB2312" w:cs="仿宋_GB2312" w:hint="eastAsia"/>
                <w:color w:val="000000"/>
                <w:sz w:val="16"/>
                <w:szCs w:val="16"/>
              </w:rPr>
              <w:t>100%</w:t>
            </w:r>
            <w:r>
              <w:rPr>
                <w:rFonts w:ascii="仿宋_GB2312" w:eastAsia="仿宋_GB2312" w:hAnsi="仿宋_GB2312" w:cs="仿宋_GB2312" w:hint="eastAsia"/>
                <w:color w:val="000000"/>
                <w:sz w:val="16"/>
                <w:szCs w:val="16"/>
              </w:rPr>
              <w:t>。</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）巩固基层党建。开展“主题党日”活动，扎实推进“我为群众办实事”实践活动。组织开展宣讲比赛活动，评选表彰“一先两优”。</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）意识形态。及时清理解散“僵尸”</w:t>
            </w:r>
            <w:r>
              <w:rPr>
                <w:rFonts w:ascii="仿宋_GB2312" w:eastAsia="仿宋_GB2312" w:hAnsi="仿宋_GB2312" w:cs="仿宋_GB2312" w:hint="eastAsia"/>
                <w:color w:val="000000"/>
                <w:sz w:val="16"/>
                <w:szCs w:val="16"/>
              </w:rPr>
              <w:t>QQ</w:t>
            </w:r>
            <w:r>
              <w:rPr>
                <w:rFonts w:ascii="仿宋_GB2312" w:eastAsia="仿宋_GB2312" w:hAnsi="仿宋_GB2312" w:cs="仿宋_GB2312" w:hint="eastAsia"/>
                <w:color w:val="000000"/>
                <w:sz w:val="16"/>
                <w:szCs w:val="16"/>
              </w:rPr>
              <w:t>工作群，推动“学习强</w:t>
            </w:r>
            <w:r>
              <w:rPr>
                <w:rFonts w:ascii="仿宋_GB2312" w:eastAsia="仿宋_GB2312" w:hAnsi="仿宋_GB2312" w:cs="仿宋_GB2312" w:hint="eastAsia"/>
                <w:color w:val="000000"/>
                <w:sz w:val="16"/>
                <w:szCs w:val="16"/>
              </w:rPr>
              <w:t>国”平台深化应用。</w:t>
            </w:r>
          </w:p>
          <w:p w:rsidR="00635640" w:rsidRDefault="00F46282">
            <w:pPr>
              <w:spacing w:line="200" w:lineRule="exact"/>
              <w:rPr>
                <w:sz w:val="20"/>
                <w:szCs w:val="22"/>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）廉政建设。切实履行党风廉政建设主体责任和“一岗双责”，制定工作要点，开展廉政谈话，观看廉政电视教育片</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次，严格执纪问责。</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完成确定的指标计满分，未完成</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项扣</w:t>
            </w:r>
            <w:r>
              <w:rPr>
                <w:rFonts w:ascii="仿宋_GB2312" w:eastAsia="仿宋_GB2312" w:hAnsi="仿宋_GB2312" w:cs="仿宋_GB2312" w:hint="eastAsia"/>
                <w:color w:val="000000"/>
                <w:sz w:val="16"/>
                <w:szCs w:val="16"/>
              </w:rPr>
              <w:t>0.5</w:t>
            </w:r>
            <w:r>
              <w:rPr>
                <w:rFonts w:ascii="仿宋_GB2312" w:eastAsia="仿宋_GB2312" w:hAnsi="仿宋_GB2312" w:cs="仿宋_GB2312" w:hint="eastAsia"/>
                <w:color w:val="000000"/>
                <w:sz w:val="16"/>
                <w:szCs w:val="16"/>
              </w:rPr>
              <w:t>分，扣完为止</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pStyle w:val="5"/>
              <w:rPr>
                <w:sz w:val="20"/>
                <w:szCs w:val="22"/>
              </w:rPr>
            </w:pPr>
          </w:p>
          <w:p w:rsidR="00635640" w:rsidRDefault="00635640">
            <w:pPr>
              <w:rPr>
                <w:sz w:val="20"/>
                <w:szCs w:val="22"/>
              </w:rPr>
            </w:pPr>
          </w:p>
          <w:p w:rsidR="00635640" w:rsidRDefault="00635640">
            <w:pPr>
              <w:pStyle w:val="a0"/>
              <w:rPr>
                <w:sz w:val="20"/>
                <w:szCs w:val="22"/>
              </w:rPr>
            </w:pPr>
          </w:p>
          <w:p w:rsidR="00635640" w:rsidRDefault="00635640">
            <w:pPr>
              <w:pStyle w:val="5"/>
              <w:rPr>
                <w:sz w:val="20"/>
                <w:szCs w:val="22"/>
              </w:rPr>
            </w:pPr>
          </w:p>
          <w:p w:rsidR="00635640" w:rsidRDefault="00635640">
            <w:pPr>
              <w:spacing w:line="200" w:lineRule="exact"/>
              <w:rPr>
                <w:rFonts w:ascii="仿宋_GB2312" w:eastAsia="仿宋_GB2312" w:hAnsi="宋体" w:cs="宋体"/>
                <w:kern w:val="0"/>
                <w:sz w:val="16"/>
                <w:szCs w:val="16"/>
              </w:rPr>
            </w:pPr>
          </w:p>
          <w:p w:rsidR="00635640" w:rsidRDefault="00635640">
            <w:pPr>
              <w:spacing w:line="200" w:lineRule="exact"/>
              <w:rPr>
                <w:rFonts w:ascii="仿宋_GB2312" w:eastAsia="仿宋_GB2312" w:hAnsi="宋体" w:cs="宋体"/>
                <w:kern w:val="0"/>
                <w:sz w:val="16"/>
                <w:szCs w:val="16"/>
              </w:rPr>
            </w:pPr>
          </w:p>
          <w:p w:rsidR="00635640" w:rsidRDefault="00635640">
            <w:pPr>
              <w:spacing w:line="200" w:lineRule="exact"/>
              <w:rPr>
                <w:rFonts w:ascii="仿宋_GB2312" w:eastAsia="仿宋_GB2312" w:hAnsi="宋体" w:cs="宋体"/>
                <w:kern w:val="0"/>
                <w:sz w:val="16"/>
                <w:szCs w:val="16"/>
              </w:rPr>
            </w:pPr>
          </w:p>
          <w:p w:rsidR="00635640" w:rsidRDefault="00635640">
            <w:pPr>
              <w:spacing w:line="200" w:lineRule="exact"/>
              <w:rPr>
                <w:rFonts w:ascii="仿宋_GB2312" w:eastAsia="仿宋_GB2312" w:hAnsi="宋体" w:cs="宋体"/>
                <w:kern w:val="0"/>
                <w:sz w:val="16"/>
                <w:szCs w:val="16"/>
              </w:rPr>
            </w:pPr>
          </w:p>
          <w:p w:rsidR="00635640" w:rsidRDefault="00635640">
            <w:pPr>
              <w:spacing w:line="200" w:lineRule="exact"/>
              <w:rPr>
                <w:rFonts w:ascii="仿宋_GB2312" w:eastAsia="仿宋_GB2312" w:hAnsi="宋体" w:cs="宋体"/>
                <w:kern w:val="0"/>
                <w:sz w:val="16"/>
                <w:szCs w:val="16"/>
              </w:rPr>
            </w:pPr>
          </w:p>
          <w:p w:rsidR="00635640" w:rsidRDefault="00635640">
            <w:pPr>
              <w:spacing w:line="200" w:lineRule="exact"/>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rPr>
                <w:rFonts w:ascii="仿宋_GB2312" w:eastAsia="仿宋_GB2312" w:hAnsi="宋体" w:cs="宋体"/>
                <w:kern w:val="0"/>
                <w:sz w:val="16"/>
                <w:szCs w:val="16"/>
              </w:rPr>
            </w:pPr>
          </w:p>
          <w:p w:rsidR="00635640" w:rsidRDefault="00635640">
            <w:pPr>
              <w:rPr>
                <w:rFonts w:ascii="仿宋_GB2312" w:eastAsia="仿宋_GB2312" w:hAnsi="宋体" w:cs="宋体"/>
                <w:kern w:val="0"/>
                <w:sz w:val="16"/>
                <w:szCs w:val="16"/>
              </w:rPr>
            </w:pPr>
          </w:p>
          <w:p w:rsidR="00635640" w:rsidRDefault="00635640">
            <w:pPr>
              <w:pStyle w:val="a0"/>
              <w:rPr>
                <w:rFonts w:ascii="仿宋_GB2312" w:eastAsia="仿宋_GB2312" w:hAnsi="宋体" w:cs="宋体"/>
                <w:kern w:val="0"/>
                <w:sz w:val="16"/>
                <w:szCs w:val="16"/>
              </w:rPr>
            </w:pPr>
          </w:p>
          <w:p w:rsidR="00635640" w:rsidRDefault="00635640">
            <w:pPr>
              <w:pStyle w:val="5"/>
            </w:pPr>
          </w:p>
          <w:p w:rsidR="00635640" w:rsidRDefault="00F46282">
            <w:pPr>
              <w:spacing w:line="200" w:lineRule="exact"/>
              <w:rPr>
                <w:sz w:val="20"/>
                <w:szCs w:val="22"/>
              </w:rPr>
            </w:pPr>
            <w:r>
              <w:rPr>
                <w:rFonts w:ascii="仿宋_GB2312" w:eastAsia="仿宋_GB2312" w:hAnsi="宋体" w:cs="宋体" w:hint="eastAsia"/>
                <w:kern w:val="0"/>
                <w:sz w:val="16"/>
                <w:szCs w:val="16"/>
              </w:rPr>
              <w:t>完成确定的指标计满分，未完成</w:t>
            </w:r>
            <w:r>
              <w:rPr>
                <w:rFonts w:ascii="仿宋_GB2312" w:eastAsia="仿宋_GB2312" w:hAnsi="宋体" w:cs="宋体" w:hint="eastAsia"/>
                <w:kern w:val="0"/>
                <w:sz w:val="16"/>
                <w:szCs w:val="16"/>
              </w:rPr>
              <w:t>1</w:t>
            </w:r>
            <w:r>
              <w:rPr>
                <w:rFonts w:ascii="仿宋_GB2312" w:eastAsia="仿宋_GB2312" w:hAnsi="宋体" w:cs="宋体" w:hint="eastAsia"/>
                <w:kern w:val="0"/>
                <w:sz w:val="16"/>
                <w:szCs w:val="16"/>
              </w:rPr>
              <w:t>项扣</w:t>
            </w:r>
            <w:r>
              <w:rPr>
                <w:rFonts w:ascii="仿宋_GB2312" w:eastAsia="仿宋_GB2312" w:hAnsi="宋体" w:cs="宋体" w:hint="eastAsia"/>
                <w:kern w:val="0"/>
                <w:sz w:val="16"/>
                <w:szCs w:val="16"/>
              </w:rPr>
              <w:t>0.5</w:t>
            </w:r>
            <w:r>
              <w:rPr>
                <w:rFonts w:ascii="仿宋_GB2312" w:eastAsia="仿宋_GB2312" w:hAnsi="宋体" w:cs="宋体" w:hint="eastAsia"/>
                <w:kern w:val="0"/>
                <w:sz w:val="16"/>
                <w:szCs w:val="16"/>
              </w:rPr>
              <w:t>分，扣完为止</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w:t>
            </w: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6</w:t>
            </w: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F46282">
            <w:pPr>
              <w:widowControl/>
              <w:spacing w:line="24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rPr>
                <w:rFonts w:ascii="仿宋_GB2312" w:eastAsia="仿宋_GB2312" w:hAnsi="宋体" w:cs="宋体"/>
                <w:kern w:val="0"/>
                <w:sz w:val="16"/>
                <w:szCs w:val="16"/>
              </w:rPr>
            </w:pPr>
          </w:p>
          <w:p w:rsidR="00635640" w:rsidRDefault="00F46282">
            <w:pPr>
              <w:widowControl/>
              <w:spacing w:line="24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6</w:t>
            </w: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F46282">
            <w:pPr>
              <w:widowControl/>
              <w:spacing w:line="24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635640">
            <w:pPr>
              <w:widowControl/>
              <w:spacing w:line="240" w:lineRule="exact"/>
              <w:jc w:val="center"/>
              <w:rPr>
                <w:rFonts w:ascii="仿宋_GB2312" w:eastAsia="仿宋_GB2312" w:hAnsi="宋体" w:cs="宋体"/>
                <w:kern w:val="0"/>
                <w:sz w:val="16"/>
                <w:szCs w:val="16"/>
              </w:rPr>
            </w:pPr>
          </w:p>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tc>
      </w:tr>
      <w:tr w:rsidR="00635640">
        <w:trPr>
          <w:trHeight w:val="3699"/>
          <w:jc w:val="center"/>
        </w:trPr>
        <w:tc>
          <w:tcPr>
            <w:tcW w:w="580" w:type="dxa"/>
            <w:vMerge/>
            <w:tcBorders>
              <w:top w:val="single" w:sz="4" w:space="0" w:color="auto"/>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sz w:val="18"/>
                <w:szCs w:val="18"/>
              </w:rPr>
            </w:pPr>
            <w:r>
              <w:rPr>
                <w:rFonts w:hint="eastAsia"/>
                <w:b/>
                <w:bCs/>
                <w:sz w:val="18"/>
                <w:szCs w:val="18"/>
              </w:rPr>
              <w:t>质量目标</w:t>
            </w:r>
          </w:p>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p>
        </w:tc>
        <w:tc>
          <w:tcPr>
            <w:tcW w:w="2158"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）编制国土空间规划成果</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）耕地保有量</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）完成督查整改</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）地质灾害隐患点、优化营商环境、专项巡察整改</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5</w:t>
            </w:r>
            <w:r>
              <w:rPr>
                <w:rFonts w:ascii="仿宋_GB2312" w:eastAsia="仿宋_GB2312" w:hAnsi="仿宋_GB2312" w:cs="仿宋_GB2312" w:hint="eastAsia"/>
                <w:color w:val="000000"/>
                <w:sz w:val="16"/>
                <w:szCs w:val="16"/>
              </w:rPr>
              <w:t>）违法行为查处</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6</w:t>
            </w:r>
            <w:r>
              <w:rPr>
                <w:rFonts w:ascii="仿宋_GB2312" w:eastAsia="仿宋_GB2312" w:hAnsi="仿宋_GB2312" w:cs="仿宋_GB2312" w:hint="eastAsia"/>
                <w:color w:val="000000"/>
                <w:sz w:val="16"/>
                <w:szCs w:val="16"/>
              </w:rPr>
              <w:t>）重点项目跟踪服务落地</w:t>
            </w:r>
          </w:p>
          <w:p w:rsidR="00635640" w:rsidRDefault="00635640">
            <w:pPr>
              <w:autoSpaceDN w:val="0"/>
              <w:spacing w:line="200" w:lineRule="exact"/>
              <w:jc w:val="left"/>
              <w:textAlignment w:val="center"/>
              <w:rPr>
                <w:rFonts w:ascii="仿宋_GB2312" w:eastAsia="仿宋_GB2312" w:hAnsi="宋体" w:cs="宋体"/>
                <w:kern w:val="0"/>
                <w:sz w:val="16"/>
                <w:szCs w:val="16"/>
              </w:rPr>
            </w:pPr>
          </w:p>
        </w:tc>
        <w:tc>
          <w:tcPr>
            <w:tcW w:w="1785"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）编制国土空间规划成果通过上级部门及专家审查通过。</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）耕地保有量达到省标准。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）完成督查整改问题</w:t>
            </w:r>
            <w:r>
              <w:rPr>
                <w:rFonts w:ascii="仿宋_GB2312" w:eastAsia="仿宋_GB2312" w:hAnsi="仿宋_GB2312" w:cs="仿宋_GB2312" w:hint="eastAsia"/>
                <w:color w:val="000000"/>
                <w:sz w:val="16"/>
                <w:szCs w:val="16"/>
              </w:rPr>
              <w:t>100%</w:t>
            </w:r>
            <w:r>
              <w:rPr>
                <w:rFonts w:ascii="仿宋_GB2312" w:eastAsia="仿宋_GB2312" w:hAnsi="仿宋_GB2312" w:cs="仿宋_GB2312" w:hint="eastAsia"/>
                <w:color w:val="000000"/>
                <w:sz w:val="16"/>
                <w:szCs w:val="16"/>
              </w:rPr>
              <w:t>，</w:t>
            </w:r>
            <w:proofErr w:type="gramStart"/>
            <w:r>
              <w:rPr>
                <w:rFonts w:ascii="仿宋_GB2312" w:eastAsia="仿宋_GB2312" w:hAnsi="仿宋_GB2312" w:cs="仿宋_GB2312" w:hint="eastAsia"/>
                <w:color w:val="000000"/>
                <w:sz w:val="16"/>
                <w:szCs w:val="16"/>
              </w:rPr>
              <w:t>违建别墅</w:t>
            </w:r>
            <w:proofErr w:type="gramEnd"/>
            <w:r>
              <w:rPr>
                <w:rFonts w:ascii="仿宋_GB2312" w:eastAsia="仿宋_GB2312" w:hAnsi="仿宋_GB2312" w:cs="仿宋_GB2312" w:hint="eastAsia"/>
                <w:color w:val="000000"/>
                <w:sz w:val="16"/>
                <w:szCs w:val="16"/>
              </w:rPr>
              <w:t>问题无新增。</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）持续保持地质灾害隐患点“零死亡”“最多跑一次”改革落实到位，优化营商环境专项巡察整改率</w:t>
            </w:r>
            <w:r>
              <w:rPr>
                <w:rFonts w:ascii="仿宋_GB2312" w:eastAsia="仿宋_GB2312" w:hAnsi="仿宋_GB2312" w:cs="仿宋_GB2312" w:hint="eastAsia"/>
                <w:color w:val="000000"/>
                <w:sz w:val="16"/>
                <w:szCs w:val="16"/>
              </w:rPr>
              <w:t>100%</w:t>
            </w:r>
            <w:r>
              <w:rPr>
                <w:rFonts w:ascii="仿宋_GB2312" w:eastAsia="仿宋_GB2312" w:hAnsi="仿宋_GB2312" w:cs="仿宋_GB2312" w:hint="eastAsia"/>
                <w:color w:val="000000"/>
                <w:sz w:val="16"/>
                <w:szCs w:val="16"/>
              </w:rPr>
              <w:t>。</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5</w:t>
            </w:r>
            <w:r>
              <w:rPr>
                <w:rFonts w:ascii="仿宋_GB2312" w:eastAsia="仿宋_GB2312" w:hAnsi="仿宋_GB2312" w:cs="仿宋_GB2312" w:hint="eastAsia"/>
                <w:color w:val="000000"/>
                <w:sz w:val="16"/>
                <w:szCs w:val="16"/>
              </w:rPr>
              <w:t>）违法行为查处整改率合格，上级部门约谈和问责为</w:t>
            </w:r>
            <w:r>
              <w:rPr>
                <w:rFonts w:ascii="仿宋_GB2312" w:eastAsia="仿宋_GB2312" w:hAnsi="仿宋_GB2312" w:cs="仿宋_GB2312" w:hint="eastAsia"/>
                <w:color w:val="000000"/>
                <w:sz w:val="16"/>
                <w:szCs w:val="16"/>
              </w:rPr>
              <w:t>0</w:t>
            </w:r>
            <w:r>
              <w:rPr>
                <w:rFonts w:ascii="仿宋_GB2312" w:eastAsia="仿宋_GB2312" w:hAnsi="仿宋_GB2312" w:cs="仿宋_GB2312" w:hint="eastAsia"/>
                <w:color w:val="000000"/>
                <w:sz w:val="16"/>
                <w:szCs w:val="16"/>
              </w:rPr>
              <w:t>次</w:t>
            </w:r>
          </w:p>
          <w:p w:rsidR="00635640" w:rsidRDefault="00F46282">
            <w:pPr>
              <w:autoSpaceDN w:val="0"/>
              <w:spacing w:line="200" w:lineRule="exact"/>
              <w:jc w:val="left"/>
              <w:textAlignment w:val="center"/>
              <w:rPr>
                <w:rFonts w:ascii="仿宋_GB2312" w:eastAsia="仿宋_GB2312" w:hAnsi="宋体" w:cs="宋体"/>
                <w:kern w:val="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6</w:t>
            </w:r>
            <w:r>
              <w:rPr>
                <w:rFonts w:ascii="仿宋_GB2312" w:eastAsia="仿宋_GB2312" w:hAnsi="仿宋_GB2312" w:cs="仿宋_GB2312" w:hint="eastAsia"/>
                <w:color w:val="000000"/>
                <w:sz w:val="16"/>
                <w:szCs w:val="16"/>
              </w:rPr>
              <w:t>）重点项目跟踪服务落地率</w:t>
            </w:r>
            <w:r>
              <w:rPr>
                <w:rFonts w:ascii="仿宋_GB2312" w:eastAsia="仿宋_GB2312" w:hAnsi="仿宋_GB2312" w:cs="仿宋_GB2312" w:hint="eastAsia"/>
                <w:color w:val="000000"/>
                <w:sz w:val="16"/>
                <w:szCs w:val="16"/>
              </w:rPr>
              <w:t>100%</w:t>
            </w:r>
            <w:r>
              <w:rPr>
                <w:rFonts w:ascii="仿宋_GB2312" w:eastAsia="仿宋_GB2312" w:hAnsi="仿宋_GB2312" w:cs="仿宋_GB2312" w:hint="eastAsia"/>
                <w:color w:val="000000"/>
                <w:sz w:val="16"/>
                <w:szCs w:val="16"/>
              </w:rPr>
              <w:t>。</w:t>
            </w:r>
          </w:p>
        </w:tc>
        <w:tc>
          <w:tcPr>
            <w:tcW w:w="2243"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完成相关要求满分，未完成</w:t>
            </w:r>
            <w:r>
              <w:rPr>
                <w:rFonts w:ascii="仿宋_GB2312" w:eastAsia="仿宋_GB2312" w:hAnsi="宋体" w:cs="宋体" w:hint="eastAsia"/>
                <w:kern w:val="0"/>
                <w:sz w:val="16"/>
                <w:szCs w:val="16"/>
              </w:rPr>
              <w:t>1</w:t>
            </w:r>
            <w:r>
              <w:rPr>
                <w:rFonts w:ascii="仿宋_GB2312" w:eastAsia="仿宋_GB2312" w:hAnsi="宋体" w:cs="宋体" w:hint="eastAsia"/>
                <w:kern w:val="0"/>
                <w:sz w:val="16"/>
                <w:szCs w:val="16"/>
              </w:rPr>
              <w:t>项扣</w:t>
            </w:r>
            <w:r>
              <w:rPr>
                <w:rFonts w:ascii="仿宋_GB2312" w:eastAsia="仿宋_GB2312" w:hAnsi="宋体" w:cs="宋体" w:hint="eastAsia"/>
                <w:kern w:val="0"/>
                <w:sz w:val="16"/>
                <w:szCs w:val="16"/>
              </w:rPr>
              <w:t>0.5</w:t>
            </w:r>
            <w:r>
              <w:rPr>
                <w:rFonts w:ascii="仿宋_GB2312" w:eastAsia="仿宋_GB2312" w:hAnsi="宋体" w:cs="宋体" w:hint="eastAsia"/>
                <w:kern w:val="0"/>
                <w:sz w:val="16"/>
                <w:szCs w:val="16"/>
              </w:rPr>
              <w:t>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774"/>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tcBorders>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仿宋_GB2312" w:cs="仿宋_GB2312" w:hint="eastAsia"/>
                <w:b/>
                <w:bCs/>
                <w:color w:val="000000"/>
                <w:sz w:val="18"/>
                <w:szCs w:val="18"/>
              </w:rPr>
              <w:t>时效目标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numPr>
                <w:ilvl w:val="0"/>
                <w:numId w:val="1"/>
              </w:num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color w:val="000000"/>
                <w:sz w:val="16"/>
                <w:szCs w:val="16"/>
              </w:rPr>
              <w:t>审批日期缩短</w:t>
            </w:r>
          </w:p>
          <w:p w:rsidR="00635640" w:rsidRDefault="00F46282">
            <w:pPr>
              <w:numPr>
                <w:ilvl w:val="0"/>
                <w:numId w:val="1"/>
              </w:num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color w:val="000000"/>
                <w:sz w:val="16"/>
                <w:szCs w:val="16"/>
              </w:rPr>
              <w:t>来信来访答复</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w:t>
            </w:r>
            <w:r>
              <w:rPr>
                <w:rFonts w:ascii="仿宋_GB2312" w:eastAsia="仿宋_GB2312" w:hAnsi="仿宋_GB2312" w:cs="仿宋_GB2312"/>
                <w:color w:val="000000"/>
                <w:sz w:val="16"/>
                <w:szCs w:val="16"/>
              </w:rPr>
              <w:t>腾地、供地和整改</w:t>
            </w:r>
          </w:p>
          <w:p w:rsidR="00635640" w:rsidRDefault="00635640">
            <w:pPr>
              <w:autoSpaceDN w:val="0"/>
              <w:spacing w:line="200" w:lineRule="exact"/>
              <w:jc w:val="left"/>
              <w:textAlignment w:val="center"/>
              <w:rPr>
                <w:rFonts w:ascii="仿宋_GB2312" w:eastAsia="仿宋_GB2312" w:hAnsi="宋体" w:cs="宋体"/>
                <w:kern w:val="0"/>
                <w:sz w:val="16"/>
                <w:szCs w:val="16"/>
              </w:rPr>
            </w:pP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w:t>
            </w:r>
            <w:r>
              <w:rPr>
                <w:rFonts w:ascii="仿宋_GB2312" w:eastAsia="仿宋_GB2312" w:hAnsi="仿宋_GB2312" w:cs="仿宋_GB2312"/>
                <w:color w:val="000000"/>
                <w:sz w:val="16"/>
                <w:szCs w:val="16"/>
              </w:rPr>
              <w:t>优化营商环境，审批日期缩短</w:t>
            </w:r>
            <w:r>
              <w:rPr>
                <w:rFonts w:ascii="仿宋_GB2312" w:eastAsia="仿宋_GB2312" w:hAnsi="仿宋_GB2312" w:cs="仿宋_GB2312"/>
                <w:color w:val="000000"/>
                <w:sz w:val="16"/>
                <w:szCs w:val="16"/>
              </w:rPr>
              <w:t>10</w:t>
            </w:r>
            <w:r>
              <w:rPr>
                <w:rFonts w:ascii="仿宋_GB2312" w:eastAsia="仿宋_GB2312" w:hAnsi="仿宋_GB2312" w:cs="仿宋_GB2312"/>
                <w:color w:val="000000"/>
                <w:sz w:val="16"/>
                <w:szCs w:val="16"/>
              </w:rPr>
              <w:t>个工作日。</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w:t>
            </w:r>
            <w:r>
              <w:rPr>
                <w:rFonts w:ascii="仿宋_GB2312" w:eastAsia="仿宋_GB2312" w:hAnsi="仿宋_GB2312" w:cs="仿宋_GB2312"/>
                <w:color w:val="000000"/>
                <w:sz w:val="16"/>
                <w:szCs w:val="16"/>
              </w:rPr>
              <w:t>所有来信来访及时答复</w:t>
            </w:r>
          </w:p>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w:t>
            </w:r>
            <w:r>
              <w:rPr>
                <w:rFonts w:ascii="仿宋_GB2312" w:eastAsia="仿宋_GB2312" w:hAnsi="仿宋_GB2312" w:cs="仿宋_GB2312"/>
                <w:color w:val="000000"/>
                <w:sz w:val="16"/>
                <w:szCs w:val="16"/>
              </w:rPr>
              <w:t>在规定时限内腾地、供地和完成整改、销号等任务</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在规定时间内完成满分，未按时完成</w:t>
            </w:r>
            <w:r>
              <w:rPr>
                <w:rFonts w:ascii="仿宋_GB2312" w:eastAsia="仿宋_GB2312" w:hAnsi="宋体" w:cs="宋体" w:hint="eastAsia"/>
                <w:kern w:val="0"/>
                <w:sz w:val="16"/>
                <w:szCs w:val="16"/>
              </w:rPr>
              <w:t>1</w:t>
            </w:r>
            <w:r>
              <w:rPr>
                <w:rFonts w:ascii="仿宋_GB2312" w:eastAsia="仿宋_GB2312" w:hAnsi="宋体" w:cs="宋体" w:hint="eastAsia"/>
                <w:kern w:val="0"/>
                <w:sz w:val="16"/>
                <w:szCs w:val="16"/>
              </w:rPr>
              <w:t>项扣</w:t>
            </w:r>
            <w:r>
              <w:rPr>
                <w:rFonts w:ascii="仿宋_GB2312" w:eastAsia="仿宋_GB2312" w:hAnsi="宋体" w:cs="宋体" w:hint="eastAsia"/>
                <w:kern w:val="0"/>
                <w:sz w:val="16"/>
                <w:szCs w:val="16"/>
              </w:rPr>
              <w:t>0.5</w:t>
            </w:r>
            <w:r>
              <w:rPr>
                <w:rFonts w:ascii="仿宋_GB2312" w:eastAsia="仿宋_GB2312" w:hAnsi="宋体" w:cs="宋体" w:hint="eastAsia"/>
                <w:kern w:val="0"/>
                <w:sz w:val="16"/>
                <w:szCs w:val="16"/>
              </w:rPr>
              <w:t>分，扣完为止</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756"/>
          <w:jc w:val="center"/>
        </w:trPr>
        <w:tc>
          <w:tcPr>
            <w:tcW w:w="580" w:type="dxa"/>
            <w:vMerge/>
            <w:tcBorders>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仿宋_GB2312" w:cs="仿宋_GB2312" w:hint="eastAsia"/>
                <w:b/>
                <w:bCs/>
                <w:color w:val="000000"/>
                <w:sz w:val="18"/>
                <w:szCs w:val="18"/>
              </w:rPr>
              <w:t>成本控制</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numPr>
                <w:ilvl w:val="0"/>
                <w:numId w:val="2"/>
              </w:num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全年预算</w:t>
            </w:r>
          </w:p>
          <w:p w:rsidR="00635640" w:rsidRDefault="00F46282">
            <w:pPr>
              <w:numPr>
                <w:ilvl w:val="0"/>
                <w:numId w:val="2"/>
              </w:num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项目预算</w:t>
            </w:r>
          </w:p>
          <w:p w:rsidR="00635640" w:rsidRDefault="00635640">
            <w:pPr>
              <w:widowControl/>
              <w:spacing w:line="200" w:lineRule="exact"/>
              <w:rPr>
                <w:rFonts w:ascii="仿宋_GB2312" w:eastAsia="仿宋_GB2312" w:hAnsi="宋体" w:cs="宋体"/>
                <w:kern w:val="0"/>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）全年预算资金支出控制在总额内</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）项目资金支出控制在预算额内</w:t>
            </w:r>
          </w:p>
          <w:p w:rsidR="00635640" w:rsidRDefault="00635640">
            <w:pPr>
              <w:widowControl/>
              <w:spacing w:line="200" w:lineRule="exact"/>
              <w:jc w:val="left"/>
              <w:rPr>
                <w:rFonts w:ascii="仿宋_GB2312" w:eastAsia="仿宋_GB2312" w:hAnsi="宋体" w:cs="宋体"/>
                <w:kern w:val="0"/>
                <w:sz w:val="16"/>
                <w:szCs w:val="16"/>
              </w:rPr>
            </w:pP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预算控制</w:t>
            </w:r>
            <w:r>
              <w:rPr>
                <w:rFonts w:ascii="仿宋_GB2312" w:eastAsia="仿宋_GB2312" w:hAnsi="宋体" w:cs="宋体" w:hint="eastAsia"/>
                <w:kern w:val="0"/>
                <w:sz w:val="16"/>
                <w:szCs w:val="16"/>
              </w:rPr>
              <w:t>100%</w:t>
            </w:r>
            <w:r>
              <w:rPr>
                <w:rFonts w:ascii="仿宋_GB2312" w:eastAsia="仿宋_GB2312" w:hAnsi="宋体" w:cs="宋体" w:hint="eastAsia"/>
                <w:kern w:val="0"/>
                <w:sz w:val="16"/>
                <w:szCs w:val="16"/>
              </w:rPr>
              <w:t>得满分，超预算</w:t>
            </w:r>
            <w:r>
              <w:rPr>
                <w:rFonts w:ascii="仿宋_GB2312" w:eastAsia="仿宋_GB2312" w:hAnsi="宋体" w:cs="宋体" w:hint="eastAsia"/>
                <w:kern w:val="0"/>
                <w:sz w:val="16"/>
                <w:szCs w:val="16"/>
              </w:rPr>
              <w:t>10%</w:t>
            </w:r>
            <w:r>
              <w:rPr>
                <w:rFonts w:ascii="仿宋_GB2312" w:eastAsia="仿宋_GB2312" w:hAnsi="宋体" w:cs="宋体" w:hint="eastAsia"/>
                <w:kern w:val="0"/>
                <w:sz w:val="16"/>
                <w:szCs w:val="16"/>
              </w:rPr>
              <w:t>扣</w:t>
            </w:r>
            <w:r>
              <w:rPr>
                <w:rFonts w:ascii="仿宋_GB2312" w:eastAsia="仿宋_GB2312" w:hAnsi="宋体" w:cs="宋体" w:hint="eastAsia"/>
                <w:kern w:val="0"/>
                <w:sz w:val="16"/>
                <w:szCs w:val="16"/>
              </w:rPr>
              <w:t xml:space="preserve">1 </w:t>
            </w:r>
            <w:r>
              <w:rPr>
                <w:rFonts w:ascii="仿宋_GB2312" w:eastAsia="仿宋_GB2312" w:hAnsi="宋体" w:cs="宋体" w:hint="eastAsia"/>
                <w:kern w:val="0"/>
                <w:sz w:val="16"/>
                <w:szCs w:val="16"/>
              </w:rPr>
              <w:t>分，超</w:t>
            </w:r>
            <w:r>
              <w:rPr>
                <w:rFonts w:ascii="仿宋_GB2312" w:eastAsia="仿宋_GB2312" w:hAnsi="宋体" w:cs="宋体" w:hint="eastAsia"/>
                <w:kern w:val="0"/>
                <w:sz w:val="16"/>
                <w:szCs w:val="16"/>
              </w:rPr>
              <w:t>20%</w:t>
            </w:r>
            <w:r>
              <w:rPr>
                <w:rFonts w:ascii="仿宋_GB2312" w:eastAsia="仿宋_GB2312" w:hAnsi="宋体" w:cs="宋体" w:hint="eastAsia"/>
                <w:kern w:val="0"/>
                <w:sz w:val="16"/>
                <w:szCs w:val="16"/>
              </w:rPr>
              <w:t>不得分</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985"/>
          <w:jc w:val="center"/>
        </w:trPr>
        <w:tc>
          <w:tcPr>
            <w:tcW w:w="580" w:type="dxa"/>
            <w:vMerge w:val="restart"/>
            <w:tcBorders>
              <w:left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b/>
                <w:bCs/>
                <w:kern w:val="0"/>
                <w:sz w:val="18"/>
                <w:szCs w:val="18"/>
              </w:rPr>
            </w:pPr>
            <w:proofErr w:type="gramStart"/>
            <w:r>
              <w:rPr>
                <w:rFonts w:ascii="仿宋_GB2312" w:eastAsia="仿宋_GB2312" w:hAnsi="宋体" w:cs="宋体" w:hint="eastAsia"/>
                <w:b/>
                <w:bCs/>
                <w:kern w:val="0"/>
                <w:sz w:val="18"/>
                <w:szCs w:val="18"/>
              </w:rPr>
              <w:t>效</w:t>
            </w:r>
            <w:proofErr w:type="gramEnd"/>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果</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w:t>
            </w:r>
            <w:r>
              <w:rPr>
                <w:rFonts w:ascii="仿宋_GB2312" w:eastAsia="仿宋_GB2312" w:hAnsi="宋体" w:cs="宋体" w:hint="eastAsia"/>
                <w:b/>
                <w:bCs/>
                <w:kern w:val="0"/>
                <w:sz w:val="18"/>
                <w:szCs w:val="18"/>
              </w:rPr>
              <w:t>20</w:t>
            </w:r>
            <w:r>
              <w:rPr>
                <w:rFonts w:ascii="仿宋_GB2312" w:eastAsia="仿宋_GB2312" w:hAnsi="宋体" w:cs="宋体" w:hint="eastAsia"/>
                <w:b/>
                <w:bCs/>
                <w:kern w:val="0"/>
                <w:sz w:val="18"/>
                <w:szCs w:val="18"/>
              </w:rPr>
              <w:t>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b/>
                <w:bCs/>
                <w:kern w:val="0"/>
                <w:sz w:val="18"/>
                <w:szCs w:val="18"/>
              </w:rPr>
              <w:t>经济效益</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）追缴往年欠缴土地出让金</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）追缴往年欠缴土地出让金</w:t>
            </w:r>
            <w:r>
              <w:rPr>
                <w:rFonts w:ascii="仿宋_GB2312" w:eastAsia="仿宋_GB2312" w:hAnsi="仿宋_GB2312" w:cs="仿宋_GB2312" w:hint="eastAsia"/>
                <w:color w:val="000000"/>
                <w:sz w:val="16"/>
                <w:szCs w:val="16"/>
              </w:rPr>
              <w:t>12.32</w:t>
            </w:r>
            <w:r>
              <w:rPr>
                <w:rFonts w:ascii="仿宋_GB2312" w:eastAsia="仿宋_GB2312" w:hAnsi="仿宋_GB2312" w:cs="仿宋_GB2312" w:hint="eastAsia"/>
                <w:color w:val="000000"/>
                <w:sz w:val="16"/>
                <w:szCs w:val="16"/>
              </w:rPr>
              <w:t>亿元</w:t>
            </w:r>
          </w:p>
          <w:p w:rsidR="00635640" w:rsidRDefault="00635640">
            <w:pPr>
              <w:widowControl/>
              <w:spacing w:line="200" w:lineRule="exact"/>
              <w:jc w:val="left"/>
              <w:rPr>
                <w:rFonts w:ascii="仿宋_GB2312" w:eastAsia="仿宋_GB2312" w:hAnsi="宋体" w:cs="宋体"/>
                <w:kern w:val="0"/>
                <w:sz w:val="16"/>
                <w:szCs w:val="16"/>
              </w:rPr>
            </w:pP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基本完成得满分，未完成按完成比例扣分</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901"/>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highlight w:val="yellow"/>
              </w:rPr>
              <w:t>（</w:t>
            </w:r>
            <w:r>
              <w:rPr>
                <w:rFonts w:ascii="仿宋_GB2312" w:eastAsia="仿宋_GB2312" w:hAnsi="仿宋_GB2312" w:cs="仿宋_GB2312" w:hint="eastAsia"/>
                <w:color w:val="000000"/>
                <w:sz w:val="16"/>
                <w:szCs w:val="16"/>
                <w:highlight w:val="yellow"/>
              </w:rPr>
              <w:t>2</w:t>
            </w:r>
            <w:r>
              <w:rPr>
                <w:rFonts w:ascii="仿宋_GB2312" w:eastAsia="仿宋_GB2312" w:hAnsi="仿宋_GB2312" w:cs="仿宋_GB2312" w:hint="eastAsia"/>
                <w:color w:val="000000"/>
                <w:sz w:val="16"/>
                <w:szCs w:val="16"/>
                <w:highlight w:val="yellow"/>
              </w:rPr>
              <w:t>）实现非税收入</w:t>
            </w:r>
            <w:r>
              <w:rPr>
                <w:rFonts w:ascii="仿宋_GB2312" w:eastAsia="仿宋_GB2312" w:hAnsi="仿宋_GB2312" w:cs="仿宋_GB2312" w:hint="eastAsia"/>
                <w:color w:val="000000"/>
                <w:sz w:val="16"/>
                <w:szCs w:val="16"/>
                <w:highlight w:val="yellow"/>
              </w:rPr>
              <w:t>11017.59</w:t>
            </w:r>
            <w:r>
              <w:rPr>
                <w:rFonts w:ascii="仿宋_GB2312" w:eastAsia="仿宋_GB2312" w:hAnsi="仿宋_GB2312" w:cs="仿宋_GB2312" w:hint="eastAsia"/>
                <w:color w:val="000000"/>
                <w:sz w:val="16"/>
                <w:szCs w:val="16"/>
                <w:highlight w:val="yellow"/>
              </w:rPr>
              <w:t>万元</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spacing w:line="200" w:lineRule="exact"/>
              <w:rPr>
                <w:sz w:val="20"/>
                <w:szCs w:val="22"/>
                <w:highlight w:val="yellow"/>
              </w:rPr>
            </w:pPr>
            <w:r>
              <w:rPr>
                <w:rFonts w:ascii="仿宋_GB2312" w:eastAsia="仿宋_GB2312" w:hAnsi="仿宋_GB2312" w:cs="仿宋_GB2312" w:hint="eastAsia"/>
                <w:color w:val="000000"/>
                <w:sz w:val="16"/>
                <w:szCs w:val="16"/>
                <w:highlight w:val="yellow"/>
              </w:rPr>
              <w:t>（</w:t>
            </w:r>
            <w:r>
              <w:rPr>
                <w:rFonts w:ascii="仿宋_GB2312" w:eastAsia="仿宋_GB2312" w:hAnsi="仿宋_GB2312" w:cs="仿宋_GB2312" w:hint="eastAsia"/>
                <w:color w:val="000000"/>
                <w:sz w:val="16"/>
                <w:szCs w:val="16"/>
                <w:highlight w:val="yellow"/>
              </w:rPr>
              <w:t>2</w:t>
            </w:r>
            <w:r>
              <w:rPr>
                <w:rFonts w:ascii="仿宋_GB2312" w:eastAsia="仿宋_GB2312" w:hAnsi="仿宋_GB2312" w:cs="仿宋_GB2312" w:hint="eastAsia"/>
                <w:color w:val="000000"/>
                <w:sz w:val="16"/>
                <w:szCs w:val="16"/>
                <w:highlight w:val="yellow"/>
              </w:rPr>
              <w:t>）全年实现非税收入万元，完成任务</w:t>
            </w:r>
            <w:r>
              <w:rPr>
                <w:rFonts w:ascii="仿宋_GB2312" w:eastAsia="仿宋_GB2312" w:hAnsi="仿宋_GB2312" w:cs="仿宋_GB2312" w:hint="eastAsia"/>
                <w:color w:val="000000"/>
                <w:sz w:val="16"/>
                <w:szCs w:val="16"/>
                <w:highlight w:val="yellow"/>
              </w:rPr>
              <w:t>%</w:t>
            </w:r>
            <w:r>
              <w:rPr>
                <w:rFonts w:ascii="仿宋_GB2312" w:eastAsia="仿宋_GB2312" w:hAnsi="仿宋_GB2312" w:cs="仿宋_GB2312" w:hint="eastAsia"/>
                <w:color w:val="000000"/>
                <w:sz w:val="16"/>
                <w:szCs w:val="16"/>
                <w:highlight w:val="yellow"/>
              </w:rPr>
              <w:t>。</w:t>
            </w:r>
          </w:p>
          <w:p w:rsidR="00635640" w:rsidRDefault="00635640">
            <w:pPr>
              <w:widowControl/>
              <w:spacing w:line="200" w:lineRule="exact"/>
              <w:jc w:val="left"/>
              <w:rPr>
                <w:rFonts w:ascii="仿宋_GB2312" w:eastAsia="仿宋_GB2312" w:hAnsi="宋体" w:cs="宋体"/>
                <w:kern w:val="0"/>
                <w:sz w:val="16"/>
                <w:szCs w:val="16"/>
              </w:rPr>
            </w:pP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基本完成得满分，未完成按完成比例扣分</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已完成</w:t>
            </w:r>
          </w:p>
        </w:tc>
      </w:tr>
      <w:tr w:rsidR="00635640">
        <w:trPr>
          <w:trHeight w:val="901"/>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）实现土地收入支撑地方债务化解</w:t>
            </w:r>
          </w:p>
        </w:tc>
        <w:tc>
          <w:tcPr>
            <w:tcW w:w="1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w:t>
            </w:r>
            <w:r>
              <w:rPr>
                <w:rFonts w:ascii="仿宋_GB2312" w:eastAsia="仿宋_GB2312" w:hAnsi="宋体" w:cs="宋体" w:hint="eastAsia"/>
                <w:kern w:val="0"/>
                <w:sz w:val="16"/>
                <w:szCs w:val="16"/>
              </w:rPr>
              <w:t>3</w:t>
            </w:r>
            <w:r>
              <w:rPr>
                <w:rFonts w:ascii="仿宋_GB2312" w:eastAsia="仿宋_GB2312" w:hAnsi="宋体" w:cs="宋体" w:hint="eastAsia"/>
                <w:kern w:val="0"/>
                <w:sz w:val="16"/>
                <w:szCs w:val="16"/>
              </w:rPr>
              <w:t>）实现土地价款</w:t>
            </w:r>
            <w:r>
              <w:rPr>
                <w:rFonts w:ascii="仿宋_GB2312" w:eastAsia="仿宋_GB2312" w:hAnsi="宋体" w:cs="宋体" w:hint="eastAsia"/>
                <w:kern w:val="0"/>
                <w:sz w:val="16"/>
                <w:szCs w:val="16"/>
              </w:rPr>
              <w:t>282.62</w:t>
            </w:r>
            <w:r>
              <w:rPr>
                <w:rFonts w:ascii="仿宋_GB2312" w:eastAsia="仿宋_GB2312" w:hAnsi="宋体" w:cs="宋体" w:hint="eastAsia"/>
                <w:kern w:val="0"/>
                <w:sz w:val="16"/>
                <w:szCs w:val="16"/>
              </w:rPr>
              <w:t>亿元，价款同比增长。</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完成土地收入任务得满分，未完成按完成比例扣分</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2518"/>
          <w:jc w:val="center"/>
        </w:trPr>
        <w:tc>
          <w:tcPr>
            <w:tcW w:w="580" w:type="dxa"/>
            <w:vMerge/>
            <w:tcBorders>
              <w:left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b/>
                <w:bCs/>
                <w:kern w:val="0"/>
                <w:sz w:val="18"/>
                <w:szCs w:val="18"/>
              </w:rPr>
              <w:t>社会效益</w:t>
            </w:r>
            <w:r>
              <w:rPr>
                <w:rFonts w:ascii="仿宋_GB2312" w:eastAsia="仿宋_GB2312" w:hAnsi="宋体" w:cs="宋体" w:hint="eastAsia"/>
                <w:b/>
                <w:bCs/>
                <w:kern w:val="0"/>
                <w:sz w:val="18"/>
                <w:szCs w:val="18"/>
              </w:rPr>
              <w:t>（</w:t>
            </w:r>
            <w:r>
              <w:rPr>
                <w:rFonts w:ascii="仿宋_GB2312" w:eastAsia="仿宋_GB2312" w:hAnsi="宋体" w:cs="宋体" w:hint="eastAsia"/>
                <w:b/>
                <w:bCs/>
                <w:kern w:val="0"/>
                <w:sz w:val="18"/>
                <w:szCs w:val="18"/>
              </w:rPr>
              <w:t>6</w:t>
            </w:r>
            <w:r>
              <w:rPr>
                <w:rFonts w:ascii="仿宋_GB2312" w:eastAsia="仿宋_GB2312" w:hAnsi="宋体" w:cs="宋体" w:hint="eastAsia"/>
                <w:b/>
                <w:bCs/>
                <w:kern w:val="0"/>
                <w:sz w:val="18"/>
                <w:szCs w:val="18"/>
              </w:rPr>
              <w:t>分）</w:t>
            </w:r>
          </w:p>
        </w:tc>
        <w:tc>
          <w:tcPr>
            <w:tcW w:w="2158"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）推动了乡村振兴，为未来城市发展提供战略引领。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）盘活存量土地，提高土地开发利用水平</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）保障购房群众合法权益。</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4</w:t>
            </w:r>
            <w:r>
              <w:rPr>
                <w:rFonts w:ascii="仿宋_GB2312" w:eastAsia="仿宋_GB2312" w:hAnsi="仿宋_GB2312" w:cs="仿宋_GB2312" w:hint="eastAsia"/>
                <w:color w:val="000000"/>
                <w:sz w:val="16"/>
                <w:szCs w:val="16"/>
              </w:rPr>
              <w:t>）为老百姓提供合法合</w:t>
            </w:r>
            <w:proofErr w:type="gramStart"/>
            <w:r>
              <w:rPr>
                <w:rFonts w:ascii="仿宋_GB2312" w:eastAsia="仿宋_GB2312" w:hAnsi="仿宋_GB2312" w:cs="仿宋_GB2312" w:hint="eastAsia"/>
                <w:color w:val="000000"/>
                <w:sz w:val="16"/>
                <w:szCs w:val="16"/>
              </w:rPr>
              <w:t>规</w:t>
            </w:r>
            <w:proofErr w:type="gramEnd"/>
            <w:r>
              <w:rPr>
                <w:rFonts w:ascii="仿宋_GB2312" w:eastAsia="仿宋_GB2312" w:hAnsi="仿宋_GB2312" w:cs="仿宋_GB2312" w:hint="eastAsia"/>
                <w:color w:val="000000"/>
                <w:sz w:val="16"/>
                <w:szCs w:val="16"/>
              </w:rPr>
              <w:t>、便民利民的不动产登记服务。</w:t>
            </w:r>
          </w:p>
          <w:p w:rsidR="00635640" w:rsidRDefault="00F46282">
            <w:pPr>
              <w:autoSpaceDN w:val="0"/>
              <w:spacing w:line="200" w:lineRule="exact"/>
              <w:jc w:val="left"/>
              <w:textAlignment w:val="center"/>
              <w:rPr>
                <w:rFonts w:ascii="仿宋_GB2312" w:eastAsia="仿宋_GB2312" w:hAnsi="宋体" w:cs="宋体"/>
                <w:kern w:val="0"/>
                <w:sz w:val="18"/>
                <w:szCs w:val="18"/>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5</w:t>
            </w:r>
            <w:r>
              <w:rPr>
                <w:rFonts w:ascii="仿宋_GB2312" w:eastAsia="仿宋_GB2312" w:hAnsi="仿宋_GB2312" w:cs="仿宋_GB2312" w:hint="eastAsia"/>
                <w:color w:val="000000"/>
                <w:sz w:val="16"/>
                <w:szCs w:val="16"/>
              </w:rPr>
              <w:t>）切实维护和保障群众利益。</w:t>
            </w:r>
          </w:p>
        </w:tc>
        <w:tc>
          <w:tcPr>
            <w:tcW w:w="1785"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）规划编制成果助力推动了乡村振兴，为未来城市发展提供战略引领。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）盘活存量土地，提高土地开发利用水平</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）为老百姓提供合法合</w:t>
            </w:r>
            <w:proofErr w:type="gramStart"/>
            <w:r>
              <w:rPr>
                <w:rFonts w:ascii="仿宋_GB2312" w:eastAsia="仿宋_GB2312" w:hAnsi="仿宋_GB2312" w:cs="仿宋_GB2312" w:hint="eastAsia"/>
                <w:color w:val="000000"/>
                <w:sz w:val="16"/>
                <w:szCs w:val="16"/>
              </w:rPr>
              <w:t>规</w:t>
            </w:r>
            <w:proofErr w:type="gramEnd"/>
            <w:r>
              <w:rPr>
                <w:rFonts w:ascii="仿宋_GB2312" w:eastAsia="仿宋_GB2312" w:hAnsi="仿宋_GB2312" w:cs="仿宋_GB2312" w:hint="eastAsia"/>
                <w:color w:val="000000"/>
                <w:sz w:val="16"/>
                <w:szCs w:val="16"/>
              </w:rPr>
              <w:t>、便民利民的不动产登记服务。</w:t>
            </w:r>
          </w:p>
          <w:p w:rsidR="00635640" w:rsidRDefault="00635640">
            <w:pPr>
              <w:widowControl/>
              <w:spacing w:line="240" w:lineRule="exact"/>
              <w:jc w:val="left"/>
              <w:rPr>
                <w:rFonts w:ascii="仿宋_GB2312" w:eastAsia="仿宋_GB2312" w:hAnsi="宋体" w:cs="宋体"/>
                <w:kern w:val="0"/>
                <w:sz w:val="18"/>
                <w:szCs w:val="18"/>
              </w:rPr>
            </w:pPr>
          </w:p>
        </w:tc>
        <w:tc>
          <w:tcPr>
            <w:tcW w:w="2243"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社</w:t>
            </w:r>
            <w:r>
              <w:rPr>
                <w:rFonts w:ascii="仿宋_GB2312" w:eastAsia="仿宋_GB2312" w:hAnsi="仿宋_GB2312" w:cs="仿宋_GB2312" w:hint="eastAsia"/>
                <w:color w:val="000000"/>
                <w:sz w:val="16"/>
                <w:szCs w:val="16"/>
              </w:rPr>
              <w:t>会效益良好得满分。完成效果未达标</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项扣</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分，扣完不止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1702"/>
          <w:jc w:val="center"/>
        </w:trPr>
        <w:tc>
          <w:tcPr>
            <w:tcW w:w="580" w:type="dxa"/>
            <w:vMerge/>
            <w:tcBorders>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tcBorders>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b/>
                <w:bCs/>
                <w:kern w:val="0"/>
                <w:sz w:val="18"/>
                <w:szCs w:val="18"/>
              </w:rPr>
              <w:t>生态效益</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）生态修复治理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）绿色矿山建设</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）增强防洪抗灾能力。</w:t>
            </w: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p w:rsidR="00635640" w:rsidRDefault="00635640">
            <w:pPr>
              <w:autoSpaceDN w:val="0"/>
              <w:spacing w:line="200" w:lineRule="exact"/>
              <w:jc w:val="left"/>
              <w:textAlignment w:val="center"/>
              <w:rPr>
                <w:rFonts w:ascii="仿宋_GB2312" w:eastAsia="仿宋_GB2312" w:hAnsi="仿宋_GB2312" w:cs="仿宋_GB2312"/>
                <w:color w:val="000000"/>
                <w:sz w:val="16"/>
                <w:szCs w:val="16"/>
              </w:rPr>
            </w:pP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）加快生态修复治理。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）加快绿色矿山建设。</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）有效防止和减少水土流失，增强防洪抗灾能力。</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生态效益良好得满分。完成效果未达标</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项扣</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分，扣完不止</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774"/>
          <w:jc w:val="center"/>
        </w:trPr>
        <w:tc>
          <w:tcPr>
            <w:tcW w:w="580" w:type="dxa"/>
            <w:tcBorders>
              <w:left w:val="single" w:sz="4" w:space="0" w:color="auto"/>
              <w:bottom w:val="single" w:sz="4" w:space="0" w:color="auto"/>
              <w:right w:val="single" w:sz="4" w:space="0" w:color="auto"/>
            </w:tcBorders>
            <w:shd w:val="clear" w:color="auto" w:fill="auto"/>
            <w:noWrap/>
            <w:vAlign w:val="center"/>
          </w:tcPr>
          <w:p w:rsidR="00635640" w:rsidRDefault="00635640">
            <w:pPr>
              <w:widowControl/>
              <w:spacing w:line="240" w:lineRule="exact"/>
              <w:jc w:val="left"/>
              <w:rPr>
                <w:rFonts w:ascii="仿宋_GB2312" w:eastAsia="仿宋_GB2312" w:hAnsi="宋体" w:cs="宋体"/>
                <w:kern w:val="0"/>
                <w:sz w:val="18"/>
                <w:szCs w:val="18"/>
              </w:rPr>
            </w:pPr>
          </w:p>
        </w:tc>
        <w:tc>
          <w:tcPr>
            <w:tcW w:w="709" w:type="dxa"/>
            <w:tcBorders>
              <w:left w:val="single" w:sz="4" w:space="0" w:color="auto"/>
              <w:bottom w:val="single" w:sz="4" w:space="0" w:color="auto"/>
              <w:right w:val="single" w:sz="4" w:space="0" w:color="auto"/>
            </w:tcBorders>
            <w:shd w:val="clear" w:color="auto" w:fill="auto"/>
            <w:noWrap/>
            <w:vAlign w:val="center"/>
          </w:tcPr>
          <w:p w:rsidR="00635640" w:rsidRDefault="00F462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b/>
                <w:bCs/>
                <w:kern w:val="0"/>
                <w:sz w:val="18"/>
                <w:szCs w:val="18"/>
              </w:rPr>
              <w:t>社会公众或服务对象满意度</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tc>
        <w:tc>
          <w:tcPr>
            <w:tcW w:w="2158"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）议案回复满意率</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）信访办结回复满意率</w:t>
            </w:r>
          </w:p>
        </w:tc>
        <w:tc>
          <w:tcPr>
            <w:tcW w:w="1785"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）议案回复满意率</w:t>
            </w:r>
            <w:r>
              <w:rPr>
                <w:rFonts w:ascii="仿宋_GB2312" w:eastAsia="仿宋_GB2312" w:hAnsi="仿宋_GB2312" w:cs="仿宋_GB2312" w:hint="eastAsia"/>
                <w:color w:val="000000"/>
                <w:sz w:val="16"/>
                <w:szCs w:val="16"/>
              </w:rPr>
              <w:t>95%</w:t>
            </w:r>
            <w:r>
              <w:rPr>
                <w:rFonts w:ascii="仿宋_GB2312" w:eastAsia="仿宋_GB2312" w:hAnsi="仿宋_GB2312" w:cs="仿宋_GB2312" w:hint="eastAsia"/>
                <w:color w:val="000000"/>
                <w:sz w:val="16"/>
                <w:szCs w:val="16"/>
              </w:rPr>
              <w:t>以上；</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w:t>
            </w:r>
            <w:r>
              <w:rPr>
                <w:rFonts w:ascii="仿宋_GB2312" w:eastAsia="仿宋_GB2312" w:hAnsi="仿宋_GB2312" w:cs="仿宋_GB2312" w:hint="eastAsia"/>
                <w:color w:val="000000"/>
                <w:sz w:val="16"/>
                <w:szCs w:val="16"/>
              </w:rPr>
              <w:t>2</w:t>
            </w:r>
            <w:r>
              <w:rPr>
                <w:rFonts w:ascii="仿宋_GB2312" w:eastAsia="仿宋_GB2312" w:hAnsi="仿宋_GB2312" w:cs="仿宋_GB2312" w:hint="eastAsia"/>
                <w:color w:val="000000"/>
                <w:sz w:val="16"/>
                <w:szCs w:val="16"/>
              </w:rPr>
              <w:t>）信访办结回复满意率</w:t>
            </w:r>
            <w:r>
              <w:rPr>
                <w:rFonts w:ascii="仿宋_GB2312" w:eastAsia="仿宋_GB2312" w:hAnsi="仿宋_GB2312" w:cs="仿宋_GB2312" w:hint="eastAsia"/>
                <w:color w:val="000000"/>
                <w:sz w:val="16"/>
                <w:szCs w:val="16"/>
              </w:rPr>
              <w:t>90%</w:t>
            </w:r>
            <w:r>
              <w:rPr>
                <w:rFonts w:ascii="仿宋_GB2312" w:eastAsia="仿宋_GB2312" w:hAnsi="仿宋_GB2312" w:cs="仿宋_GB2312" w:hint="eastAsia"/>
                <w:color w:val="000000"/>
                <w:sz w:val="16"/>
                <w:szCs w:val="16"/>
              </w:rPr>
              <w:t>以上</w:t>
            </w:r>
          </w:p>
        </w:tc>
        <w:tc>
          <w:tcPr>
            <w:tcW w:w="2243" w:type="dxa"/>
            <w:tcBorders>
              <w:top w:val="nil"/>
              <w:left w:val="nil"/>
              <w:bottom w:val="single" w:sz="4" w:space="0" w:color="auto"/>
              <w:right w:val="single" w:sz="4" w:space="0" w:color="auto"/>
            </w:tcBorders>
            <w:shd w:val="clear" w:color="auto" w:fill="auto"/>
            <w:noWrap/>
            <w:vAlign w:val="center"/>
          </w:tcPr>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95%</w:t>
            </w:r>
            <w:r>
              <w:rPr>
                <w:rFonts w:ascii="仿宋_GB2312" w:eastAsia="仿宋_GB2312" w:hAnsi="仿宋_GB2312" w:cs="仿宋_GB2312" w:hint="eastAsia"/>
                <w:color w:val="000000"/>
                <w:sz w:val="16"/>
                <w:szCs w:val="16"/>
              </w:rPr>
              <w:t>（含）以上计</w:t>
            </w:r>
            <w:r>
              <w:rPr>
                <w:rFonts w:ascii="仿宋_GB2312" w:eastAsia="仿宋_GB2312" w:hAnsi="仿宋_GB2312" w:cs="仿宋_GB2312" w:hint="eastAsia"/>
                <w:color w:val="000000"/>
                <w:sz w:val="16"/>
                <w:szCs w:val="16"/>
              </w:rPr>
              <w:t>5</w:t>
            </w:r>
            <w:r>
              <w:rPr>
                <w:rFonts w:ascii="仿宋_GB2312" w:eastAsia="仿宋_GB2312" w:hAnsi="仿宋_GB2312" w:cs="仿宋_GB2312" w:hint="eastAsia"/>
                <w:color w:val="000000"/>
                <w:sz w:val="16"/>
                <w:szCs w:val="16"/>
              </w:rPr>
              <w:t>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85%</w:t>
            </w:r>
            <w:r>
              <w:rPr>
                <w:rFonts w:ascii="仿宋_GB2312" w:eastAsia="仿宋_GB2312" w:hAnsi="仿宋_GB2312" w:cs="仿宋_GB2312" w:hint="eastAsia"/>
                <w:color w:val="000000"/>
                <w:sz w:val="16"/>
                <w:szCs w:val="16"/>
              </w:rPr>
              <w:t>（含）</w:t>
            </w:r>
            <w:r>
              <w:rPr>
                <w:rFonts w:ascii="仿宋_GB2312" w:eastAsia="仿宋_GB2312" w:hAnsi="仿宋_GB2312" w:cs="仿宋_GB2312" w:hint="eastAsia"/>
                <w:color w:val="000000"/>
                <w:sz w:val="16"/>
                <w:szCs w:val="16"/>
              </w:rPr>
              <w:t>-95%</w:t>
            </w:r>
            <w:r>
              <w:rPr>
                <w:rFonts w:ascii="仿宋_GB2312" w:eastAsia="仿宋_GB2312" w:hAnsi="仿宋_GB2312" w:cs="仿宋_GB2312" w:hint="eastAsia"/>
                <w:color w:val="000000"/>
                <w:sz w:val="16"/>
                <w:szCs w:val="16"/>
              </w:rPr>
              <w:t>，计</w:t>
            </w:r>
            <w:r>
              <w:rPr>
                <w:rFonts w:ascii="仿宋_GB2312" w:eastAsia="仿宋_GB2312" w:hAnsi="仿宋_GB2312" w:cs="仿宋_GB2312" w:hint="eastAsia"/>
                <w:color w:val="000000"/>
                <w:sz w:val="16"/>
                <w:szCs w:val="16"/>
              </w:rPr>
              <w:t>3</w:t>
            </w:r>
            <w:r>
              <w:rPr>
                <w:rFonts w:ascii="仿宋_GB2312" w:eastAsia="仿宋_GB2312" w:hAnsi="仿宋_GB2312" w:cs="仿宋_GB2312" w:hint="eastAsia"/>
                <w:color w:val="000000"/>
                <w:sz w:val="16"/>
                <w:szCs w:val="16"/>
              </w:rPr>
              <w:t>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75%</w:t>
            </w:r>
            <w:r>
              <w:rPr>
                <w:rFonts w:ascii="仿宋_GB2312" w:eastAsia="仿宋_GB2312" w:hAnsi="仿宋_GB2312" w:cs="仿宋_GB2312" w:hint="eastAsia"/>
                <w:color w:val="000000"/>
                <w:sz w:val="16"/>
                <w:szCs w:val="16"/>
              </w:rPr>
              <w:t>（含）</w:t>
            </w:r>
            <w:r>
              <w:rPr>
                <w:rFonts w:ascii="仿宋_GB2312" w:eastAsia="仿宋_GB2312" w:hAnsi="仿宋_GB2312" w:cs="仿宋_GB2312" w:hint="eastAsia"/>
                <w:color w:val="000000"/>
                <w:sz w:val="16"/>
                <w:szCs w:val="16"/>
              </w:rPr>
              <w:t>-85%</w:t>
            </w:r>
            <w:r>
              <w:rPr>
                <w:rFonts w:ascii="仿宋_GB2312" w:eastAsia="仿宋_GB2312" w:hAnsi="仿宋_GB2312" w:cs="仿宋_GB2312" w:hint="eastAsia"/>
                <w:color w:val="000000"/>
                <w:sz w:val="16"/>
                <w:szCs w:val="16"/>
              </w:rPr>
              <w:t>，计</w:t>
            </w:r>
            <w:r>
              <w:rPr>
                <w:rFonts w:ascii="仿宋_GB2312" w:eastAsia="仿宋_GB2312" w:hAnsi="仿宋_GB2312" w:cs="仿宋_GB2312" w:hint="eastAsia"/>
                <w:color w:val="000000"/>
                <w:sz w:val="16"/>
                <w:szCs w:val="16"/>
              </w:rPr>
              <w:t>1</w:t>
            </w:r>
            <w:r>
              <w:rPr>
                <w:rFonts w:ascii="仿宋_GB2312" w:eastAsia="仿宋_GB2312" w:hAnsi="仿宋_GB2312" w:cs="仿宋_GB2312" w:hint="eastAsia"/>
                <w:color w:val="000000"/>
                <w:sz w:val="16"/>
                <w:szCs w:val="16"/>
              </w:rPr>
              <w:t>分；</w:t>
            </w:r>
          </w:p>
          <w:p w:rsidR="00635640" w:rsidRDefault="00F46282">
            <w:pPr>
              <w:autoSpaceDN w:val="0"/>
              <w:spacing w:line="200" w:lineRule="exact"/>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低于</w:t>
            </w:r>
            <w:r>
              <w:rPr>
                <w:rFonts w:ascii="仿宋_GB2312" w:eastAsia="仿宋_GB2312" w:hAnsi="仿宋_GB2312" w:cs="仿宋_GB2312" w:hint="eastAsia"/>
                <w:color w:val="000000"/>
                <w:sz w:val="16"/>
                <w:szCs w:val="16"/>
              </w:rPr>
              <w:t>75%</w:t>
            </w:r>
            <w:r>
              <w:rPr>
                <w:rFonts w:ascii="仿宋_GB2312" w:eastAsia="仿宋_GB2312" w:hAnsi="仿宋_GB2312" w:cs="仿宋_GB2312" w:hint="eastAsia"/>
                <w:color w:val="000000"/>
                <w:sz w:val="16"/>
                <w:szCs w:val="16"/>
              </w:rPr>
              <w:t>计</w:t>
            </w:r>
            <w:r>
              <w:rPr>
                <w:rFonts w:ascii="仿宋_GB2312" w:eastAsia="仿宋_GB2312" w:hAnsi="仿宋_GB2312" w:cs="仿宋_GB2312" w:hint="eastAsia"/>
                <w:color w:val="000000"/>
                <w:sz w:val="16"/>
                <w:szCs w:val="16"/>
              </w:rPr>
              <w:t>0</w:t>
            </w:r>
            <w:r>
              <w:rPr>
                <w:rFonts w:ascii="仿宋_GB2312" w:eastAsia="仿宋_GB2312" w:hAnsi="仿宋_GB2312" w:cs="仿宋_GB2312" w:hint="eastAsia"/>
                <w:color w:val="000000"/>
                <w:sz w:val="16"/>
                <w:szCs w:val="16"/>
              </w:rPr>
              <w:t>分。</w:t>
            </w:r>
          </w:p>
        </w:tc>
        <w:tc>
          <w:tcPr>
            <w:tcW w:w="619" w:type="dxa"/>
            <w:tcBorders>
              <w:top w:val="nil"/>
              <w:left w:val="nil"/>
              <w:bottom w:val="single" w:sz="4" w:space="0" w:color="auto"/>
              <w:right w:val="single" w:sz="4" w:space="0" w:color="auto"/>
            </w:tcBorders>
            <w:shd w:val="clear" w:color="auto" w:fill="auto"/>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635640" w:rsidRDefault="00F46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6"/>
                <w:szCs w:val="16"/>
              </w:rPr>
              <w:t>已完成</w:t>
            </w:r>
          </w:p>
        </w:tc>
      </w:tr>
      <w:tr w:rsidR="00635640">
        <w:trPr>
          <w:trHeight w:val="1331"/>
          <w:jc w:val="center"/>
        </w:trPr>
        <w:tc>
          <w:tcPr>
            <w:tcW w:w="580" w:type="dxa"/>
            <w:tcBorders>
              <w:top w:val="nil"/>
              <w:left w:val="single" w:sz="4" w:space="0" w:color="auto"/>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70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158" w:type="dxa"/>
            <w:tcBorders>
              <w:top w:val="nil"/>
              <w:left w:val="nil"/>
              <w:bottom w:val="single" w:sz="4" w:space="0" w:color="auto"/>
              <w:right w:val="single" w:sz="4" w:space="0" w:color="auto"/>
            </w:tcBorders>
            <w:noWrap/>
            <w:vAlign w:val="center"/>
          </w:tcPr>
          <w:p w:rsidR="00635640" w:rsidRDefault="00635640">
            <w:pPr>
              <w:widowControl/>
              <w:spacing w:line="200" w:lineRule="exact"/>
              <w:jc w:val="center"/>
              <w:rPr>
                <w:rFonts w:ascii="仿宋_GB2312" w:eastAsia="仿宋_GB2312" w:hAnsi="仿宋_GB2312" w:cs="仿宋_GB2312"/>
                <w:sz w:val="18"/>
                <w:szCs w:val="18"/>
              </w:rPr>
            </w:pPr>
          </w:p>
        </w:tc>
        <w:tc>
          <w:tcPr>
            <w:tcW w:w="4028" w:type="dxa"/>
            <w:gridSpan w:val="2"/>
            <w:tcBorders>
              <w:top w:val="nil"/>
              <w:left w:val="nil"/>
              <w:bottom w:val="single" w:sz="4" w:space="0" w:color="auto"/>
              <w:right w:val="single" w:sz="4" w:space="0" w:color="auto"/>
            </w:tcBorders>
            <w:noWrap/>
            <w:vAlign w:val="center"/>
          </w:tcPr>
          <w:p w:rsidR="00635640" w:rsidRDefault="00635640">
            <w:pPr>
              <w:widowControl/>
              <w:spacing w:line="200" w:lineRule="exact"/>
              <w:jc w:val="center"/>
              <w:rPr>
                <w:rFonts w:ascii="仿宋_GB2312" w:eastAsia="仿宋_GB2312" w:hAnsi="仿宋_GB2312" w:cs="仿宋_GB2312"/>
                <w:sz w:val="18"/>
                <w:szCs w:val="18"/>
              </w:rPr>
            </w:pPr>
            <w:bookmarkStart w:id="0" w:name="_GoBack"/>
            <w:bookmarkEnd w:id="0"/>
          </w:p>
        </w:tc>
        <w:tc>
          <w:tcPr>
            <w:tcW w:w="619"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635640" w:rsidRDefault="00F462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94</w:t>
            </w:r>
          </w:p>
        </w:tc>
        <w:tc>
          <w:tcPr>
            <w:tcW w:w="1080" w:type="dxa"/>
            <w:tcBorders>
              <w:top w:val="nil"/>
              <w:left w:val="nil"/>
              <w:bottom w:val="single" w:sz="4" w:space="0" w:color="auto"/>
              <w:right w:val="single" w:sz="4" w:space="0" w:color="auto"/>
            </w:tcBorders>
            <w:noWrap/>
            <w:vAlign w:val="center"/>
          </w:tcPr>
          <w:p w:rsidR="00635640" w:rsidRDefault="00635640">
            <w:pPr>
              <w:widowControl/>
              <w:spacing w:line="240" w:lineRule="exact"/>
              <w:jc w:val="center"/>
              <w:rPr>
                <w:rFonts w:ascii="仿宋_GB2312" w:eastAsia="仿宋_GB2312" w:hAnsi="宋体" w:cs="宋体"/>
                <w:b/>
                <w:bCs/>
                <w:kern w:val="0"/>
                <w:sz w:val="18"/>
                <w:szCs w:val="18"/>
              </w:rPr>
            </w:pPr>
          </w:p>
        </w:tc>
      </w:tr>
    </w:tbl>
    <w:p w:rsidR="00635640" w:rsidRDefault="00635640">
      <w:pPr>
        <w:rPr>
          <w:sz w:val="18"/>
          <w:szCs w:val="18"/>
        </w:rPr>
      </w:pPr>
    </w:p>
    <w:sectPr w:rsidR="00635640" w:rsidSect="006356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27F" w:rsidRDefault="005D027F" w:rsidP="005D027F">
      <w:r>
        <w:separator/>
      </w:r>
    </w:p>
  </w:endnote>
  <w:endnote w:type="continuationSeparator" w:id="1">
    <w:p w:rsidR="005D027F" w:rsidRDefault="005D027F" w:rsidP="005D0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27F" w:rsidRDefault="005D027F" w:rsidP="005D027F">
      <w:r>
        <w:separator/>
      </w:r>
    </w:p>
  </w:footnote>
  <w:footnote w:type="continuationSeparator" w:id="1">
    <w:p w:rsidR="005D027F" w:rsidRDefault="005D027F" w:rsidP="005D0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31D1CD"/>
    <w:multiLevelType w:val="singleLevel"/>
    <w:tmpl w:val="9D31D1CD"/>
    <w:lvl w:ilvl="0">
      <w:start w:val="1"/>
      <w:numFmt w:val="decimal"/>
      <w:suff w:val="nothing"/>
      <w:lvlText w:val="（%1）"/>
      <w:lvlJc w:val="left"/>
    </w:lvl>
  </w:abstractNum>
  <w:abstractNum w:abstractNumId="1">
    <w:nsid w:val="6FC5820C"/>
    <w:multiLevelType w:val="singleLevel"/>
    <w:tmpl w:val="6FC5820C"/>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QwYzIxZTY5Njc5YjJmMmUwOTAzMzg4ZDAwOTc1YTAifQ=="/>
  </w:docVars>
  <w:rsids>
    <w:rsidRoot w:val="00635640"/>
    <w:rsid w:val="00010B5E"/>
    <w:rsid w:val="005D027F"/>
    <w:rsid w:val="00635640"/>
    <w:rsid w:val="0098594D"/>
    <w:rsid w:val="009A2E91"/>
    <w:rsid w:val="00AA49B7"/>
    <w:rsid w:val="00BB0442"/>
    <w:rsid w:val="00D94A7C"/>
    <w:rsid w:val="00DA679E"/>
    <w:rsid w:val="00F251AF"/>
    <w:rsid w:val="00F46282"/>
    <w:rsid w:val="00F8308F"/>
    <w:rsid w:val="00F911D0"/>
    <w:rsid w:val="08100688"/>
    <w:rsid w:val="0BA34133"/>
    <w:rsid w:val="2ABA427C"/>
    <w:rsid w:val="2D1124B2"/>
    <w:rsid w:val="4A8F4BB7"/>
    <w:rsid w:val="505C1A3A"/>
    <w:rsid w:val="5A9B3B59"/>
    <w:rsid w:val="5E2D3AD3"/>
    <w:rsid w:val="668927E9"/>
    <w:rsid w:val="68326BBA"/>
    <w:rsid w:val="69B1115E"/>
    <w:rsid w:val="6E0924D3"/>
    <w:rsid w:val="78AB479B"/>
    <w:rsid w:val="7B417AFA"/>
    <w:rsid w:val="7F731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uiPriority="99"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3564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99"/>
    <w:qFormat/>
    <w:rsid w:val="00635640"/>
    <w:pPr>
      <w:spacing w:after="120"/>
    </w:pPr>
  </w:style>
  <w:style w:type="paragraph" w:styleId="5">
    <w:name w:val="toc 5"/>
    <w:basedOn w:val="a"/>
    <w:next w:val="a"/>
    <w:qFormat/>
    <w:rsid w:val="00635640"/>
    <w:pPr>
      <w:ind w:leftChars="800" w:left="1680"/>
    </w:pPr>
  </w:style>
  <w:style w:type="paragraph" w:styleId="a4">
    <w:name w:val="Body Text Indent"/>
    <w:basedOn w:val="a"/>
    <w:uiPriority w:val="99"/>
    <w:semiHidden/>
    <w:unhideWhenUsed/>
    <w:qFormat/>
    <w:rsid w:val="00635640"/>
    <w:pPr>
      <w:spacing w:after="120"/>
      <w:ind w:leftChars="200" w:left="420"/>
    </w:pPr>
  </w:style>
  <w:style w:type="paragraph" w:styleId="2">
    <w:name w:val="Body Text First Indent 2"/>
    <w:basedOn w:val="a4"/>
    <w:uiPriority w:val="99"/>
    <w:unhideWhenUsed/>
    <w:qFormat/>
    <w:rsid w:val="00635640"/>
    <w:pPr>
      <w:ind w:firstLineChars="200" w:firstLine="420"/>
    </w:pPr>
  </w:style>
  <w:style w:type="paragraph" w:styleId="a5">
    <w:name w:val="header"/>
    <w:basedOn w:val="a"/>
    <w:link w:val="Char"/>
    <w:rsid w:val="005D0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5D027F"/>
    <w:rPr>
      <w:rFonts w:ascii="Times New Roman" w:eastAsia="宋体" w:hAnsi="Times New Roman" w:cs="Times New Roman"/>
      <w:kern w:val="2"/>
      <w:sz w:val="18"/>
      <w:szCs w:val="18"/>
    </w:rPr>
  </w:style>
  <w:style w:type="paragraph" w:styleId="a6">
    <w:name w:val="footer"/>
    <w:basedOn w:val="a"/>
    <w:link w:val="Char0"/>
    <w:rsid w:val="005D027F"/>
    <w:pPr>
      <w:tabs>
        <w:tab w:val="center" w:pos="4153"/>
        <w:tab w:val="right" w:pos="8306"/>
      </w:tabs>
      <w:snapToGrid w:val="0"/>
      <w:jc w:val="left"/>
    </w:pPr>
    <w:rPr>
      <w:sz w:val="18"/>
      <w:szCs w:val="18"/>
    </w:rPr>
  </w:style>
  <w:style w:type="character" w:customStyle="1" w:styleId="Char0">
    <w:name w:val="页脚 Char"/>
    <w:basedOn w:val="a1"/>
    <w:link w:val="a6"/>
    <w:rsid w:val="005D02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724B-3892-415B-8DB3-5AC54E00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4246</Words>
  <Characters>1241</Characters>
  <Application>Microsoft Office Word</Application>
  <DocSecurity>0</DocSecurity>
  <Lines>10</Lines>
  <Paragraphs>10</Paragraphs>
  <ScaleCrop>false</ScaleCrop>
  <Company>P R C</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lhm8880769</dc:creator>
  <cp:lastModifiedBy>李梦滢</cp:lastModifiedBy>
  <cp:revision>13</cp:revision>
  <cp:lastPrinted>2021-06-27T15:05:00Z</cp:lastPrinted>
  <dcterms:created xsi:type="dcterms:W3CDTF">2021-06-17T13:57:00Z</dcterms:created>
  <dcterms:modified xsi:type="dcterms:W3CDTF">2022-09-26T02:18:00Z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31FB0311B6534BCCA0C88D26652F19BA</vt:lpwstr>
  </property>
</Properties>
</file>