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ind w:left="0" w:leftChars="0" w:firstLine="0" w:firstLineChars="0"/>
        <w:jc w:val="center"/>
        <w:rPr>
          <w:rFonts w:hint="default" w:ascii="楷体_GB2312" w:hAnsi="宋体" w:eastAsia="楷体_GB2312"/>
          <w:b/>
          <w:sz w:val="32"/>
          <w:szCs w:val="32"/>
          <w:lang w:val="en-US" w:eastAsia="zh-CN"/>
        </w:rPr>
      </w:pPr>
      <w:r>
        <w:rPr>
          <w:rFonts w:hint="eastAsia" w:ascii="楷体_GB2312" w:hAnsi="宋体" w:eastAsia="楷体_GB2312"/>
          <w:b/>
          <w:sz w:val="32"/>
          <w:szCs w:val="32"/>
          <w:lang w:eastAsia="zh-CN"/>
        </w:rPr>
        <w:t>岳阳市</w:t>
      </w:r>
      <w:r>
        <w:rPr>
          <w:rFonts w:hint="eastAsia" w:ascii="楷体_GB2312" w:hAnsi="宋体" w:eastAsia="楷体_GB2312"/>
          <w:b/>
          <w:sz w:val="32"/>
          <w:szCs w:val="32"/>
          <w:lang w:val="en-US" w:eastAsia="zh-CN"/>
        </w:rPr>
        <w:t>自然资源和规划局</w:t>
      </w:r>
      <w:r>
        <w:rPr>
          <w:rFonts w:hint="eastAsia" w:ascii="楷体_GB2312" w:hAnsi="宋体" w:eastAsia="楷体_GB2312"/>
          <w:b/>
          <w:sz w:val="32"/>
          <w:szCs w:val="32"/>
          <w:lang w:eastAsia="zh-CN"/>
        </w:rPr>
        <w:t>整体支出</w:t>
      </w:r>
    </w:p>
    <w:p>
      <w:pPr>
        <w:spacing w:line="1200" w:lineRule="exact"/>
        <w:jc w:val="center"/>
        <w:rPr>
          <w:rFonts w:hint="eastAsia" w:ascii="楷体_GB2312" w:hAnsi="宋体" w:eastAsia="楷体_GB2312"/>
          <w:b/>
          <w:bCs/>
          <w:spacing w:val="152"/>
          <w:sz w:val="84"/>
          <w:szCs w:val="84"/>
        </w:rPr>
      </w:pPr>
      <w:r>
        <w:rPr>
          <w:rFonts w:hint="eastAsia" w:ascii="楷体_GB2312" w:hAnsi="宋体" w:eastAsia="楷体_GB2312"/>
          <w:b/>
          <w:bCs/>
          <w:spacing w:val="152"/>
          <w:sz w:val="72"/>
          <w:szCs w:val="72"/>
        </w:rPr>
        <w:t>绩效</w:t>
      </w:r>
      <w:r>
        <w:rPr>
          <w:rFonts w:hint="eastAsia" w:ascii="楷体_GB2312" w:hAnsi="宋体" w:eastAsia="楷体_GB2312"/>
          <w:b/>
          <w:bCs/>
          <w:spacing w:val="152"/>
          <w:sz w:val="72"/>
          <w:szCs w:val="72"/>
          <w:lang w:val="en-US" w:eastAsia="zh-CN"/>
        </w:rPr>
        <w:t>自</w:t>
      </w:r>
      <w:r>
        <w:rPr>
          <w:rFonts w:hint="eastAsia" w:ascii="楷体_GB2312" w:hAnsi="宋体" w:eastAsia="楷体_GB2312"/>
          <w:b/>
          <w:bCs/>
          <w:spacing w:val="152"/>
          <w:sz w:val="72"/>
          <w:szCs w:val="72"/>
        </w:rPr>
        <w:t>评报告书</w:t>
      </w:r>
    </w:p>
    <w:p>
      <w:pPr>
        <w:spacing w:line="760" w:lineRule="exact"/>
        <w:jc w:val="center"/>
        <w:outlineLvl w:val="0"/>
        <w:rPr>
          <w:rFonts w:hint="eastAsia" w:ascii="楷体_GB2312" w:hAnsi="宋体" w:eastAsia="楷体_GB2312"/>
          <w:b/>
          <w:bCs/>
          <w:color w:val="FF0000"/>
          <w:sz w:val="32"/>
          <w:szCs w:val="32"/>
        </w:rPr>
      </w:pPr>
      <w:r>
        <w:rPr>
          <w:rFonts w:hint="eastAsia" w:ascii="楷体_GB2312" w:hAnsi="宋体" w:eastAsia="楷体_GB2312"/>
          <w:b/>
          <w:bCs/>
          <w:sz w:val="32"/>
          <w:szCs w:val="32"/>
        </w:rPr>
        <w:t>湘恒兴专审字（</w:t>
      </w:r>
      <w:r>
        <w:rPr>
          <w:rFonts w:hint="eastAsia" w:ascii="楷体_GB2312" w:hAnsi="宋体" w:eastAsia="楷体_GB2312"/>
          <w:b/>
          <w:bCs/>
          <w:sz w:val="32"/>
          <w:szCs w:val="32"/>
          <w:lang w:val="en-US" w:eastAsia="zh-CN"/>
        </w:rPr>
        <w:t>2022</w:t>
      </w:r>
      <w:r>
        <w:rPr>
          <w:rFonts w:hint="eastAsia" w:ascii="楷体_GB2312" w:hAnsi="宋体" w:eastAsia="楷体_GB2312"/>
          <w:b/>
          <w:bCs/>
          <w:sz w:val="32"/>
          <w:szCs w:val="32"/>
        </w:rPr>
        <w:t>）</w:t>
      </w:r>
      <w:r>
        <w:rPr>
          <w:rFonts w:hint="eastAsia" w:ascii="楷体_GB2312" w:hAnsi="宋体" w:eastAsia="楷体_GB2312"/>
          <w:b/>
          <w:bCs/>
          <w:color w:val="auto"/>
          <w:sz w:val="32"/>
          <w:szCs w:val="32"/>
        </w:rPr>
        <w:t>第</w:t>
      </w:r>
      <w:r>
        <w:rPr>
          <w:rFonts w:hint="eastAsia" w:ascii="楷体_GB2312" w:hAnsi="宋体" w:eastAsia="楷体_GB2312"/>
          <w:b/>
          <w:bCs/>
          <w:color w:val="auto"/>
          <w:sz w:val="32"/>
          <w:szCs w:val="32"/>
          <w:lang w:val="en-US" w:eastAsia="zh-CN"/>
        </w:rPr>
        <w:t>00</w:t>
      </w:r>
      <w:r>
        <w:rPr>
          <w:rFonts w:hint="eastAsia" w:ascii="楷体_GB2312" w:hAnsi="宋体" w:eastAsia="楷体_GB2312"/>
          <w:b/>
          <w:bCs/>
          <w:color w:val="auto"/>
          <w:sz w:val="32"/>
          <w:szCs w:val="32"/>
        </w:rPr>
        <w:t>号</w:t>
      </w:r>
    </w:p>
    <w:p>
      <w:pPr>
        <w:spacing w:line="760" w:lineRule="exact"/>
        <w:jc w:val="center"/>
        <w:rPr>
          <w:rFonts w:hint="eastAsia" w:ascii="楷体_GB2312" w:hAnsi="宋体" w:eastAsia="楷体_GB2312"/>
          <w:b/>
          <w:bCs/>
        </w:rPr>
      </w:pPr>
    </w:p>
    <w:p>
      <w:pPr>
        <w:spacing w:line="760" w:lineRule="exact"/>
        <w:jc w:val="center"/>
        <w:rPr>
          <w:rFonts w:hint="eastAsia" w:ascii="楷体_GB2312" w:hAnsi="宋体" w:eastAsia="楷体_GB2312"/>
          <w:b/>
          <w:bCs/>
        </w:rPr>
      </w:pPr>
    </w:p>
    <w:p>
      <w:pPr>
        <w:spacing w:line="760" w:lineRule="exact"/>
        <w:jc w:val="center"/>
        <w:rPr>
          <w:rFonts w:hint="eastAsia" w:ascii="楷体_GB2312" w:hAnsi="宋体" w:eastAsia="楷体_GB2312"/>
          <w:b/>
          <w:bCs/>
        </w:rPr>
      </w:pPr>
    </w:p>
    <w:p>
      <w:pPr>
        <w:spacing w:line="760" w:lineRule="exact"/>
        <w:jc w:val="center"/>
        <w:rPr>
          <w:rFonts w:hint="eastAsia" w:ascii="楷体_GB2312" w:hAnsi="宋体" w:eastAsia="楷体_GB2312"/>
          <w:b/>
          <w:bCs/>
        </w:rPr>
      </w:pPr>
    </w:p>
    <w:p>
      <w:pPr>
        <w:spacing w:line="760" w:lineRule="exact"/>
        <w:rPr>
          <w:rFonts w:hint="eastAsia" w:ascii="楷体_GB2312" w:hAnsi="宋体" w:eastAsia="楷体_GB2312"/>
          <w:b/>
          <w:bCs/>
        </w:rPr>
      </w:pPr>
    </w:p>
    <w:p>
      <w:pPr>
        <w:spacing w:line="760" w:lineRule="exact"/>
        <w:rPr>
          <w:rFonts w:hint="eastAsia" w:ascii="楷体_GB2312" w:hAnsi="宋体" w:eastAsia="楷体_GB2312"/>
          <w:b/>
          <w:bCs/>
        </w:rPr>
      </w:pPr>
    </w:p>
    <w:p>
      <w:pPr>
        <w:spacing w:line="760" w:lineRule="exact"/>
        <w:rPr>
          <w:rFonts w:hint="eastAsia" w:ascii="楷体_GB2312" w:hAnsi="宋体" w:eastAsia="楷体_GB2312"/>
          <w:b/>
          <w:bCs/>
        </w:rPr>
      </w:pPr>
    </w:p>
    <w:p>
      <w:pPr>
        <w:spacing w:line="760" w:lineRule="exact"/>
        <w:rPr>
          <w:rFonts w:hint="eastAsia" w:ascii="楷体_GB2312" w:hAnsi="宋体" w:eastAsia="楷体_GB2312"/>
          <w:b/>
          <w:bCs/>
        </w:rPr>
      </w:pPr>
    </w:p>
    <w:p>
      <w:pPr>
        <w:spacing w:line="760" w:lineRule="exact"/>
        <w:rPr>
          <w:rFonts w:hint="eastAsia" w:ascii="楷体_GB2312" w:hAnsi="宋体" w:eastAsia="楷体_GB2312"/>
          <w:b/>
          <w:bCs/>
        </w:rPr>
      </w:pPr>
    </w:p>
    <w:p>
      <w:pPr>
        <w:spacing w:line="760" w:lineRule="exact"/>
        <w:rPr>
          <w:rFonts w:hint="eastAsia" w:ascii="楷体_GB2312" w:hAnsi="宋体" w:eastAsia="楷体_GB2312"/>
          <w:b/>
          <w:bCs/>
        </w:rPr>
      </w:pPr>
    </w:p>
    <w:p>
      <w:pPr>
        <w:keepNext w:val="0"/>
        <w:keepLines w:val="0"/>
        <w:pageBreakBefore w:val="0"/>
        <w:widowControl w:val="0"/>
        <w:kinsoku/>
        <w:wordWrap/>
        <w:overflowPunct/>
        <w:topLinePunct w:val="0"/>
        <w:autoSpaceDE/>
        <w:autoSpaceDN/>
        <w:bidi w:val="0"/>
        <w:adjustRightInd/>
        <w:snapToGrid/>
        <w:spacing w:line="400" w:lineRule="exact"/>
        <w:ind w:firstLine="1805" w:firstLineChars="500"/>
        <w:jc w:val="both"/>
        <w:textAlignment w:val="auto"/>
        <w:outlineLvl w:val="0"/>
        <w:rPr>
          <w:rFonts w:hint="eastAsia" w:ascii="楷体_GB2312" w:hAnsi="宋体" w:eastAsia="楷体_GB2312"/>
          <w:b/>
          <w:bCs/>
          <w:spacing w:val="40"/>
          <w:sz w:val="28"/>
          <w:szCs w:val="28"/>
        </w:rPr>
      </w:pPr>
    </w:p>
    <w:p>
      <w:pPr>
        <w:keepNext w:val="0"/>
        <w:keepLines w:val="0"/>
        <w:pageBreakBefore w:val="0"/>
        <w:widowControl w:val="0"/>
        <w:kinsoku/>
        <w:wordWrap/>
        <w:overflowPunct/>
        <w:topLinePunct w:val="0"/>
        <w:autoSpaceDE/>
        <w:autoSpaceDN/>
        <w:bidi w:val="0"/>
        <w:adjustRightInd/>
        <w:snapToGrid/>
        <w:spacing w:line="400" w:lineRule="exact"/>
        <w:ind w:firstLine="1805" w:firstLineChars="500"/>
        <w:jc w:val="both"/>
        <w:textAlignment w:val="auto"/>
        <w:outlineLvl w:val="0"/>
        <w:rPr>
          <w:rFonts w:hint="eastAsia" w:ascii="楷体_GB2312" w:hAnsi="宋体" w:eastAsia="楷体_GB2312"/>
          <w:b/>
          <w:bCs/>
          <w:spacing w:val="40"/>
          <w:sz w:val="28"/>
          <w:szCs w:val="28"/>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0"/>
        <w:rPr>
          <w:rFonts w:hint="eastAsia" w:ascii="楷体_GB2312" w:hAnsi="宋体" w:eastAsia="楷体_GB2312"/>
          <w:b/>
          <w:bCs/>
          <w:spacing w:val="40"/>
          <w:sz w:val="30"/>
          <w:szCs w:val="30"/>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楷体_GB2312" w:hAnsi="宋体" w:eastAsia="楷体_GB2312"/>
          <w:b/>
          <w:bCs/>
          <w:spacing w:val="40"/>
          <w:sz w:val="30"/>
          <w:szCs w:val="30"/>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0"/>
        <w:rPr>
          <w:rFonts w:hint="eastAsia" w:ascii="楷体_GB2312" w:hAnsi="宋体" w:eastAsia="楷体_GB2312"/>
          <w:b/>
          <w:bCs/>
          <w:spacing w:val="40"/>
          <w:sz w:val="30"/>
          <w:szCs w:val="30"/>
          <w:lang w:val="en-US" w:eastAsia="zh-CN"/>
        </w:rPr>
      </w:pPr>
      <w:r>
        <w:rPr>
          <w:rFonts w:hint="eastAsia" w:ascii="楷体_GB2312" w:hAnsi="宋体" w:eastAsia="楷体_GB2312"/>
          <w:b/>
          <w:bCs/>
          <w:spacing w:val="40"/>
          <w:sz w:val="30"/>
          <w:szCs w:val="30"/>
        </w:rPr>
        <w:t>湖南恒兴联合会计师事务所</w:t>
      </w:r>
    </w:p>
    <w:p>
      <w:pPr>
        <w:spacing w:line="760" w:lineRule="exact"/>
        <w:jc w:val="center"/>
        <w:rPr>
          <w:rFonts w:hint="eastAsia" w:ascii="楷体_GB2312" w:hAnsi="宋体" w:eastAsia="楷体_GB2312"/>
          <w:b/>
          <w:bCs/>
          <w:sz w:val="30"/>
          <w:szCs w:val="30"/>
        </w:rPr>
      </w:pPr>
      <w:r>
        <w:rPr>
          <w:rFonts w:hint="eastAsia" w:ascii="楷体_GB2312" w:hAnsi="宋体" w:eastAsia="楷体_GB2312"/>
          <w:b/>
          <w:bCs/>
          <w:sz w:val="30"/>
          <w:szCs w:val="30"/>
        </w:rPr>
        <w:t>二</w:t>
      </w:r>
      <w:r>
        <w:rPr>
          <w:rFonts w:hint="eastAsia" w:ascii="楷体_GB2312" w:hAnsi="宋体" w:eastAsia="楷体_GB2312"/>
          <w:b/>
          <w:bCs/>
          <w:sz w:val="30"/>
          <w:szCs w:val="30"/>
          <w:lang w:eastAsia="zh-CN"/>
        </w:rPr>
        <w:t>〇</w:t>
      </w:r>
      <w:r>
        <w:rPr>
          <w:rFonts w:hint="eastAsia" w:ascii="楷体_GB2312" w:hAnsi="宋体" w:eastAsia="楷体_GB2312"/>
          <w:b/>
          <w:bCs/>
          <w:sz w:val="30"/>
          <w:szCs w:val="30"/>
        </w:rPr>
        <w:t>二</w:t>
      </w:r>
      <w:r>
        <w:rPr>
          <w:rFonts w:hint="eastAsia" w:ascii="楷体_GB2312" w:hAnsi="宋体" w:eastAsia="楷体_GB2312"/>
          <w:b/>
          <w:bCs/>
          <w:sz w:val="30"/>
          <w:szCs w:val="30"/>
          <w:lang w:val="en-US" w:eastAsia="zh-CN"/>
        </w:rPr>
        <w:t>二</w:t>
      </w:r>
      <w:r>
        <w:rPr>
          <w:rFonts w:hint="eastAsia" w:ascii="楷体_GB2312" w:hAnsi="宋体" w:eastAsia="楷体_GB2312"/>
          <w:b/>
          <w:bCs/>
          <w:sz w:val="30"/>
          <w:szCs w:val="30"/>
        </w:rPr>
        <w:t>年</w:t>
      </w:r>
      <w:r>
        <w:rPr>
          <w:rFonts w:hint="eastAsia" w:ascii="楷体_GB2312" w:hAnsi="宋体" w:eastAsia="楷体_GB2312"/>
          <w:b/>
          <w:bCs/>
          <w:sz w:val="30"/>
          <w:szCs w:val="30"/>
          <w:lang w:val="en-US" w:eastAsia="zh-CN"/>
        </w:rPr>
        <w:t>九</w:t>
      </w:r>
      <w:r>
        <w:rPr>
          <w:rFonts w:hint="eastAsia" w:ascii="楷体_GB2312" w:hAnsi="宋体" w:eastAsia="楷体_GB2312"/>
          <w:b/>
          <w:bCs/>
          <w:sz w:val="30"/>
          <w:szCs w:val="30"/>
        </w:rPr>
        <w:t>月</w:t>
      </w:r>
    </w:p>
    <w:p>
      <w:pPr>
        <w:spacing w:line="348" w:lineRule="auto"/>
        <w:jc w:val="center"/>
        <w:rPr>
          <w:rFonts w:hint="eastAsia" w:eastAsia="方正小标宋简体"/>
          <w:bCs/>
          <w:sz w:val="42"/>
          <w:szCs w:val="42"/>
        </w:rPr>
      </w:pPr>
    </w:p>
    <w:p>
      <w:pPr>
        <w:spacing w:line="348" w:lineRule="auto"/>
        <w:jc w:val="both"/>
        <w:rPr>
          <w:rFonts w:hint="eastAsia" w:eastAsia="方正小标宋简体"/>
          <w:bCs/>
          <w:sz w:val="42"/>
          <w:szCs w:val="42"/>
        </w:rPr>
      </w:pPr>
    </w:p>
    <w:p>
      <w:pPr>
        <w:spacing w:line="348" w:lineRule="auto"/>
        <w:jc w:val="both"/>
        <w:rPr>
          <w:rFonts w:hint="eastAsia" w:eastAsia="方正小标宋简体"/>
          <w:bCs/>
          <w:sz w:val="42"/>
          <w:szCs w:val="42"/>
        </w:rPr>
      </w:pPr>
    </w:p>
    <w:p>
      <w:pPr>
        <w:spacing w:line="800" w:lineRule="exact"/>
        <w:jc w:val="center"/>
        <w:rPr>
          <w:rFonts w:hint="eastAsia" w:eastAsia="方正小标宋简体"/>
          <w:bCs/>
          <w:sz w:val="46"/>
          <w:szCs w:val="46"/>
          <w:highlight w:val="none"/>
          <w:lang w:val="en-US" w:eastAsia="zh-CN"/>
        </w:rPr>
      </w:pPr>
      <w:r>
        <w:rPr>
          <w:rFonts w:hint="eastAsia" w:eastAsia="方正小标宋简体"/>
          <w:bCs/>
          <w:sz w:val="46"/>
          <w:szCs w:val="46"/>
        </w:rPr>
        <w:t>岳阳市</w:t>
      </w:r>
      <w:r>
        <w:rPr>
          <w:rFonts w:hint="eastAsia" w:eastAsia="方正小标宋简体"/>
          <w:bCs/>
          <w:sz w:val="46"/>
          <w:szCs w:val="46"/>
          <w:highlight w:val="none"/>
          <w:u w:val="none"/>
          <w:lang w:val="en-US" w:eastAsia="zh-CN"/>
        </w:rPr>
        <w:t>2021</w:t>
      </w:r>
      <w:r>
        <w:rPr>
          <w:rFonts w:hint="eastAsia" w:eastAsia="方正小标宋简体"/>
          <w:bCs/>
          <w:sz w:val="46"/>
          <w:szCs w:val="46"/>
          <w:highlight w:val="none"/>
        </w:rPr>
        <w:t>年度</w:t>
      </w:r>
      <w:r>
        <w:rPr>
          <w:rFonts w:hint="eastAsia" w:eastAsia="方正小标宋简体"/>
          <w:bCs/>
          <w:sz w:val="46"/>
          <w:szCs w:val="46"/>
          <w:highlight w:val="none"/>
          <w:lang w:val="en-US" w:eastAsia="zh-CN"/>
        </w:rPr>
        <w:t>自然资源和规划局</w:t>
      </w:r>
    </w:p>
    <w:p>
      <w:pPr>
        <w:spacing w:line="800" w:lineRule="exact"/>
        <w:jc w:val="center"/>
        <w:rPr>
          <w:rFonts w:hint="eastAsia" w:eastAsia="方正小标宋简体"/>
          <w:bCs/>
          <w:sz w:val="46"/>
          <w:szCs w:val="46"/>
        </w:rPr>
      </w:pPr>
      <w:r>
        <w:rPr>
          <w:rFonts w:hint="eastAsia" w:eastAsia="方正小标宋简体"/>
          <w:bCs/>
          <w:sz w:val="46"/>
          <w:szCs w:val="46"/>
        </w:rPr>
        <w:t>整体支出绩效评价自评报告</w:t>
      </w:r>
    </w:p>
    <w:p>
      <w:pPr>
        <w:rPr>
          <w:rFonts w:hint="default" w:eastAsia="仿宋_GB2312"/>
          <w:b/>
          <w:sz w:val="32"/>
          <w:lang w:val="en-US" w:eastAsia="zh-CN"/>
        </w:rPr>
      </w:pPr>
      <w:r>
        <w:rPr>
          <w:rFonts w:hint="eastAsia" w:eastAsia="仿宋_GB2312"/>
          <w:b/>
          <w:sz w:val="32"/>
          <w:lang w:val="en-US" w:eastAsia="zh-CN"/>
        </w:rPr>
        <w:t xml:space="preserve">                       </w:t>
      </w:r>
    </w:p>
    <w:p>
      <w:pPr>
        <w:rPr>
          <w:rFonts w:hint="eastAsia" w:eastAsia="仿宋_GB2312"/>
          <w:b/>
          <w:sz w:val="32"/>
        </w:rPr>
      </w:pPr>
    </w:p>
    <w:p>
      <w:pPr>
        <w:rPr>
          <w:rFonts w:hint="eastAsia" w:eastAsia="仿宋_GB2312"/>
          <w:b/>
          <w:sz w:val="32"/>
        </w:rPr>
      </w:pPr>
    </w:p>
    <w:p>
      <w:pPr>
        <w:spacing w:before="301" w:beforeLines="50" w:line="348" w:lineRule="auto"/>
        <w:ind w:firstLine="1120" w:firstLineChars="3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none"/>
        </w:rPr>
        <w:t xml:space="preserve"> </w:t>
      </w:r>
      <w:r>
        <w:rPr>
          <w:rFonts w:hint="eastAsia" w:eastAsia="仿宋_GB2312"/>
          <w:sz w:val="32"/>
          <w:szCs w:val="32"/>
          <w:u w:val="single"/>
        </w:rPr>
        <w:t xml:space="preserve"> </w:t>
      </w:r>
      <w:r>
        <w:rPr>
          <w:rFonts w:hint="eastAsia" w:eastAsia="仿宋_GB2312"/>
          <w:sz w:val="32"/>
          <w:szCs w:val="32"/>
          <w:u w:val="single"/>
          <w:lang w:val="en-US" w:eastAsia="zh-CN"/>
        </w:rPr>
        <w:t xml:space="preserve"> </w:t>
      </w:r>
      <w:r>
        <w:rPr>
          <w:rFonts w:hint="eastAsia" w:eastAsia="仿宋_GB2312"/>
          <w:sz w:val="32"/>
          <w:szCs w:val="32"/>
          <w:u w:val="single"/>
        </w:rPr>
        <w:t>岳阳市</w:t>
      </w:r>
      <w:r>
        <w:rPr>
          <w:rFonts w:hint="eastAsia" w:eastAsia="仿宋_GB2312"/>
          <w:sz w:val="32"/>
          <w:szCs w:val="32"/>
          <w:u w:val="single"/>
          <w:lang w:val="en-US" w:eastAsia="zh-CN"/>
        </w:rPr>
        <w:t xml:space="preserve">自然资源和规划局  </w:t>
      </w:r>
      <w:r>
        <w:rPr>
          <w:rFonts w:hint="eastAsia" w:eastAsia="仿宋_GB2312"/>
          <w:sz w:val="32"/>
          <w:szCs w:val="32"/>
          <w:u w:val="none"/>
        </w:rPr>
        <w:t xml:space="preserve"> </w:t>
      </w:r>
    </w:p>
    <w:p>
      <w:pPr>
        <w:spacing w:before="301" w:beforeLines="50" w:line="348" w:lineRule="auto"/>
        <w:ind w:firstLine="1120" w:firstLineChars="350"/>
        <w:rPr>
          <w:rFonts w:hint="eastAsia" w:eastAsia="仿宋_GB2312"/>
          <w:spacing w:val="20"/>
          <w:sz w:val="32"/>
          <w:szCs w:val="32"/>
        </w:rPr>
      </w:pPr>
      <w:r>
        <w:rPr>
          <w:rFonts w:hint="eastAsia" w:eastAsia="仿宋_GB2312"/>
          <w:sz w:val="32"/>
          <w:szCs w:val="32"/>
        </w:rPr>
        <w:t>预算编码：</w:t>
      </w:r>
      <w:r>
        <w:rPr>
          <w:rFonts w:hint="eastAsia" w:eastAsia="仿宋_GB2312"/>
          <w:spacing w:val="20"/>
          <w:sz w:val="32"/>
          <w:szCs w:val="32"/>
          <w:u w:val="none"/>
        </w:rPr>
        <w:t xml:space="preserve"> </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 xml:space="preserve">        402001</w:t>
      </w:r>
      <w:r>
        <w:rPr>
          <w:rFonts w:hint="eastAsia" w:eastAsia="仿宋_GB2312"/>
          <w:spacing w:val="20"/>
          <w:sz w:val="32"/>
          <w:szCs w:val="32"/>
          <w:u w:val="single"/>
        </w:rPr>
        <w:t xml:space="preserve">         </w:t>
      </w:r>
      <w:r>
        <w:rPr>
          <w:rFonts w:hint="eastAsia" w:eastAsia="仿宋_GB2312"/>
          <w:spacing w:val="20"/>
          <w:sz w:val="32"/>
          <w:szCs w:val="32"/>
          <w:u w:val="none"/>
        </w:rPr>
        <w:t xml:space="preserve">            </w:t>
      </w:r>
      <w:r>
        <w:rPr>
          <w:rFonts w:hint="eastAsia" w:eastAsia="仿宋_GB2312"/>
          <w:spacing w:val="20"/>
          <w:sz w:val="32"/>
          <w:szCs w:val="32"/>
          <w:u w:val="single"/>
        </w:rPr>
        <w:t xml:space="preserve">  </w:t>
      </w:r>
    </w:p>
    <w:p>
      <w:pPr>
        <w:spacing w:before="301" w:beforeLines="50" w:line="348" w:lineRule="auto"/>
        <w:ind w:firstLine="1120" w:firstLineChars="350"/>
        <w:rPr>
          <w:rFonts w:hint="eastAsia" w:eastAsia="仿宋_GB2312"/>
          <w:sz w:val="32"/>
          <w:szCs w:val="32"/>
          <w:lang w:eastAsia="zh-CN"/>
        </w:rPr>
      </w:pPr>
      <w:r>
        <w:rPr>
          <w:rFonts w:hint="eastAsia" w:eastAsia="仿宋_GB2312"/>
          <w:sz w:val="32"/>
          <w:szCs w:val="32"/>
        </w:rPr>
        <w:t>评价方式</w:t>
      </w:r>
      <w:r>
        <w:rPr>
          <w:rFonts w:hint="eastAsia" w:eastAsia="仿宋_GB2312"/>
          <w:sz w:val="32"/>
          <w:szCs w:val="32"/>
          <w:lang w:eastAsia="zh-CN"/>
        </w:rPr>
        <w:t>：</w:t>
      </w:r>
      <w:r>
        <w:rPr>
          <w:rFonts w:hint="eastAsia" w:eastAsia="仿宋_GB2312"/>
          <w:sz w:val="32"/>
          <w:szCs w:val="32"/>
          <w:lang w:val="en-US" w:eastAsia="zh-CN"/>
        </w:rPr>
        <w:t>岳阳市自然资源和规划局</w:t>
      </w:r>
      <w:r>
        <w:rPr>
          <w:rFonts w:hint="eastAsia" w:eastAsia="仿宋_GB2312"/>
          <w:sz w:val="32"/>
          <w:szCs w:val="32"/>
        </w:rPr>
        <w:t>绩效自评</w:t>
      </w:r>
    </w:p>
    <w:p>
      <w:pPr>
        <w:spacing w:before="301" w:beforeLines="50" w:line="348" w:lineRule="auto"/>
        <w:ind w:firstLine="1120" w:firstLineChars="350"/>
        <w:rPr>
          <w:rFonts w:hint="eastAsia" w:eastAsia="仿宋_GB2312"/>
          <w:sz w:val="32"/>
          <w:szCs w:val="32"/>
        </w:rPr>
      </w:pPr>
      <w:r>
        <w:rPr>
          <w:rFonts w:hint="eastAsia" w:eastAsia="仿宋_GB2312"/>
          <w:sz w:val="32"/>
          <w:szCs w:val="32"/>
        </w:rPr>
        <w:t>评价机构：</w:t>
      </w:r>
      <w:r>
        <w:rPr>
          <w:rFonts w:hint="eastAsia" w:eastAsia="仿宋_GB2312"/>
          <w:sz w:val="32"/>
          <w:szCs w:val="32"/>
          <w:lang w:val="en-US" w:eastAsia="zh-CN"/>
        </w:rPr>
        <w:t>湖南恒兴联合会计师事务所</w:t>
      </w:r>
      <w:r>
        <w:rPr>
          <w:rFonts w:hint="eastAsia" w:eastAsia="仿宋_GB2312"/>
          <w:sz w:val="32"/>
          <w:szCs w:val="32"/>
        </w:rPr>
        <w:t xml:space="preserve">   </w:t>
      </w:r>
    </w:p>
    <w:p>
      <w:pPr>
        <w:spacing w:line="348" w:lineRule="auto"/>
        <w:ind w:firstLine="2208" w:firstLineChars="690"/>
        <w:rPr>
          <w:rFonts w:hint="eastAsia" w:eastAsia="仿宋_GB2312"/>
          <w:sz w:val="32"/>
        </w:rPr>
      </w:pPr>
    </w:p>
    <w:p>
      <w:pPr>
        <w:spacing w:line="348" w:lineRule="auto"/>
        <w:ind w:firstLine="2208" w:firstLineChars="690"/>
        <w:rPr>
          <w:rFonts w:hint="eastAsia" w:eastAsia="仿宋_GB2312"/>
          <w:sz w:val="32"/>
        </w:rPr>
      </w:pPr>
    </w:p>
    <w:p>
      <w:pPr>
        <w:spacing w:line="348" w:lineRule="auto"/>
        <w:jc w:val="center"/>
        <w:rPr>
          <w:rFonts w:hint="eastAsia" w:eastAsia="仿宋_GB2312"/>
          <w:sz w:val="32"/>
        </w:rPr>
      </w:pPr>
    </w:p>
    <w:p>
      <w:pPr>
        <w:spacing w:line="348" w:lineRule="auto"/>
        <w:jc w:val="center"/>
        <w:rPr>
          <w:rFonts w:hint="eastAsia" w:eastAsia="仿宋_GB2312"/>
          <w:sz w:val="32"/>
        </w:rPr>
      </w:pPr>
    </w:p>
    <w:p>
      <w:pPr>
        <w:spacing w:line="348" w:lineRule="auto"/>
        <w:jc w:val="center"/>
        <w:rPr>
          <w:rFonts w:hint="eastAsia" w:eastAsia="仿宋_GB2312"/>
          <w:sz w:val="32"/>
        </w:rPr>
      </w:pPr>
    </w:p>
    <w:p>
      <w:pPr>
        <w:spacing w:line="348" w:lineRule="auto"/>
        <w:jc w:val="center"/>
        <w:rPr>
          <w:rFonts w:hint="eastAsia" w:eastAsia="仿宋_GB2312"/>
          <w:sz w:val="32"/>
        </w:rPr>
      </w:pPr>
    </w:p>
    <w:p>
      <w:pPr>
        <w:spacing w:line="348" w:lineRule="auto"/>
        <w:jc w:val="center"/>
        <w:rPr>
          <w:rFonts w:hint="eastAsia" w:eastAsia="仿宋_GB2312"/>
          <w:sz w:val="32"/>
          <w:highlight w:val="none"/>
        </w:rPr>
      </w:pPr>
      <w:r>
        <w:rPr>
          <w:rFonts w:hint="eastAsia" w:eastAsia="仿宋_GB2312"/>
          <w:sz w:val="32"/>
        </w:rPr>
        <w:t>报告日期：20</w:t>
      </w:r>
      <w:r>
        <w:rPr>
          <w:rFonts w:hint="eastAsia" w:eastAsia="仿宋_GB2312"/>
          <w:sz w:val="32"/>
          <w:lang w:val="en-US" w:eastAsia="zh-CN"/>
        </w:rPr>
        <w:t>22</w:t>
      </w:r>
      <w:r>
        <w:rPr>
          <w:rFonts w:hint="eastAsia" w:eastAsia="仿宋_GB2312"/>
          <w:sz w:val="32"/>
        </w:rPr>
        <w:t>年</w:t>
      </w:r>
      <w:r>
        <w:rPr>
          <w:rFonts w:hint="eastAsia" w:eastAsia="仿宋_GB2312"/>
          <w:sz w:val="32"/>
          <w:highlight w:val="none"/>
          <w:lang w:val="en-US" w:eastAsia="zh-CN"/>
        </w:rPr>
        <w:t>9</w:t>
      </w:r>
      <w:r>
        <w:rPr>
          <w:rFonts w:hint="eastAsia" w:eastAsia="仿宋_GB2312"/>
          <w:sz w:val="32"/>
          <w:highlight w:val="none"/>
        </w:rPr>
        <w:t>月</w:t>
      </w:r>
      <w:r>
        <w:rPr>
          <w:rFonts w:hint="eastAsia" w:eastAsia="仿宋_GB2312"/>
          <w:sz w:val="32"/>
          <w:highlight w:val="none"/>
          <w:lang w:val="en-US" w:eastAsia="zh-CN"/>
        </w:rPr>
        <w:t xml:space="preserve">22 </w:t>
      </w:r>
      <w:r>
        <w:rPr>
          <w:rFonts w:hint="eastAsia" w:eastAsia="仿宋_GB2312"/>
          <w:sz w:val="32"/>
          <w:highlight w:val="none"/>
        </w:rPr>
        <w:t>日</w:t>
      </w:r>
    </w:p>
    <w:p>
      <w:pPr>
        <w:pStyle w:val="2"/>
        <w:rPr>
          <w:rFonts w:hint="eastAsia" w:eastAsia="仿宋_GB2312"/>
          <w:sz w:val="32"/>
          <w:highlight w:val="none"/>
        </w:rPr>
      </w:pPr>
    </w:p>
    <w:tbl>
      <w:tblPr>
        <w:tblStyle w:val="7"/>
        <w:tblW w:w="99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541"/>
        <w:gridCol w:w="317"/>
        <w:gridCol w:w="97"/>
        <w:gridCol w:w="386"/>
        <w:gridCol w:w="83"/>
        <w:gridCol w:w="280"/>
        <w:gridCol w:w="207"/>
        <w:gridCol w:w="886"/>
        <w:gridCol w:w="52"/>
        <w:gridCol w:w="84"/>
        <w:gridCol w:w="1048"/>
        <w:gridCol w:w="293"/>
        <w:gridCol w:w="659"/>
        <w:gridCol w:w="31"/>
        <w:gridCol w:w="188"/>
        <w:gridCol w:w="13"/>
        <w:gridCol w:w="534"/>
        <w:gridCol w:w="650"/>
        <w:gridCol w:w="775"/>
        <w:gridCol w:w="409"/>
        <w:gridCol w:w="198"/>
        <w:gridCol w:w="40"/>
        <w:gridCol w:w="778"/>
        <w:gridCol w:w="180"/>
        <w:gridCol w:w="1068"/>
        <w:gridCol w:w="1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94" w:hRule="atLeast"/>
          <w:jc w:val="center"/>
        </w:trPr>
        <w:tc>
          <w:tcPr>
            <w:tcW w:w="9974" w:type="dxa"/>
            <w:gridSpan w:val="26"/>
            <w:noWrap w:val="0"/>
            <w:vAlign w:val="center"/>
          </w:tcPr>
          <w:p>
            <w:pPr>
              <w:pStyle w:val="3"/>
              <w:rPr>
                <w:rFonts w:hint="eastAsia" w:ascii="仿宋_GB2312" w:hAnsi="仿宋_GB2312" w:eastAsia="仿宋_GB2312" w:cs="仿宋_GB2312"/>
                <w:color w:val="000000"/>
                <w:sz w:val="24"/>
              </w:rPr>
            </w:pPr>
            <w:r>
              <w:rPr>
                <w:rFonts w:hint="eastAsia" w:eastAsia="仿宋_GB2312"/>
                <w:sz w:val="32"/>
                <w:highlight w:val="none"/>
                <w:lang w:val="en-US" w:eastAsia="zh-CN"/>
              </w:rPr>
              <w:t xml:space="preserve">          </w:t>
            </w:r>
            <w:r>
              <w:rPr>
                <w:rFonts w:hint="eastAsia" w:eastAsia="仿宋_GB2312"/>
                <w:sz w:val="28"/>
                <w:szCs w:val="22"/>
                <w:highlight w:val="none"/>
                <w:lang w:val="en-US" w:eastAsia="zh-CN"/>
              </w:rPr>
              <w:t xml:space="preserve"> </w:t>
            </w:r>
            <w:r>
              <w:rPr>
                <w:rFonts w:hint="eastAsia" w:ascii="黑体" w:hAnsi="黑体" w:eastAsia="黑体" w:cs="黑体"/>
                <w:color w:val="000000"/>
                <w:sz w:val="24"/>
                <w:szCs w:val="24"/>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541" w:type="dxa"/>
            <w:noWrap w:val="0"/>
            <w:vAlign w:val="center"/>
          </w:tcPr>
          <w:p>
            <w:pPr>
              <w:keepNext w:val="0"/>
              <w:keepLines w:val="0"/>
              <w:pageBreakBefore w:val="0"/>
              <w:widowControl w:val="0"/>
              <w:kinsoku/>
              <w:wordWrap/>
              <w:overflowPunct/>
              <w:topLinePunct w:val="0"/>
              <w:autoSpaceDE/>
              <w:autoSpaceDN w:val="0"/>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18"/>
                <w:szCs w:val="18"/>
              </w:rPr>
              <w:t>联系人</w:t>
            </w:r>
          </w:p>
        </w:tc>
        <w:tc>
          <w:tcPr>
            <w:tcW w:w="4423" w:type="dxa"/>
            <w:gridSpan w:val="1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eastAsia="仿宋_GB2312" w:cs="仿宋_GB2312"/>
                <w:bCs/>
                <w:sz w:val="24"/>
                <w:szCs w:val="24"/>
                <w:lang w:val="en-US" w:eastAsia="zh-CN"/>
              </w:rPr>
              <w:t>周红霞</w:t>
            </w:r>
            <w:r>
              <w:rPr>
                <w:rFonts w:hint="eastAsia" w:eastAsia="仿宋_GB2312" w:cs="仿宋_GB2312"/>
                <w:bCs/>
                <w:sz w:val="24"/>
                <w:szCs w:val="24"/>
              </w:rPr>
              <w:t xml:space="preserve">   </w:t>
            </w:r>
            <w:r>
              <w:rPr>
                <w:rFonts w:hint="eastAsia" w:eastAsia="仿宋_GB2312" w:cs="仿宋_GB2312"/>
                <w:bCs/>
                <w:sz w:val="28"/>
                <w:szCs w:val="28"/>
              </w:rPr>
              <w:t xml:space="preserve">             </w:t>
            </w:r>
          </w:p>
        </w:tc>
        <w:tc>
          <w:tcPr>
            <w:tcW w:w="2807"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2"/>
                <w:szCs w:val="22"/>
              </w:rPr>
            </w:pPr>
            <w:r>
              <w:rPr>
                <w:rFonts w:hint="eastAsia" w:ascii="仿宋_GB2312" w:hAnsi="仿宋_GB2312" w:eastAsia="仿宋_GB2312" w:cs="仿宋_GB2312"/>
                <w:color w:val="000000"/>
                <w:sz w:val="22"/>
                <w:szCs w:val="22"/>
              </w:rPr>
              <w:t>联络电话</w:t>
            </w:r>
          </w:p>
        </w:tc>
        <w:tc>
          <w:tcPr>
            <w:tcW w:w="2203"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2"/>
                <w:szCs w:val="22"/>
              </w:rPr>
              <w:t>0730-8691983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77" w:hRule="atLeast"/>
          <w:jc w:val="center"/>
        </w:trPr>
        <w:tc>
          <w:tcPr>
            <w:tcW w:w="541" w:type="dxa"/>
            <w:noWrap w:val="0"/>
            <w:vAlign w:val="center"/>
          </w:tcPr>
          <w:p>
            <w:pPr>
              <w:keepNext w:val="0"/>
              <w:keepLines w:val="0"/>
              <w:pageBreakBefore w:val="0"/>
              <w:widowControl w:val="0"/>
              <w:kinsoku/>
              <w:wordWrap/>
              <w:overflowPunct/>
              <w:topLinePunct w:val="0"/>
              <w:autoSpaceDE/>
              <w:autoSpaceDN w:val="0"/>
              <w:bidi w:val="0"/>
              <w:adjustRightInd/>
              <w:snapToGrid/>
              <w:spacing w:line="2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0"/>
                <w:szCs w:val="20"/>
              </w:rPr>
              <w:t>人员编制</w:t>
            </w:r>
          </w:p>
        </w:tc>
        <w:tc>
          <w:tcPr>
            <w:tcW w:w="4423" w:type="dxa"/>
            <w:gridSpan w:val="13"/>
            <w:noWrap w:val="0"/>
            <w:vAlign w:val="center"/>
          </w:tcPr>
          <w:p>
            <w:pPr>
              <w:keepNext w:val="0"/>
              <w:keepLines w:val="0"/>
              <w:pageBreakBefore w:val="0"/>
              <w:widowControl w:val="0"/>
              <w:kinsoku/>
              <w:wordWrap/>
              <w:overflowPunct/>
              <w:topLinePunct w:val="0"/>
              <w:autoSpaceDE/>
              <w:autoSpaceDN w:val="0"/>
              <w:bidi w:val="0"/>
              <w:adjustRightInd/>
              <w:snapToGrid/>
              <w:spacing w:line="26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2"/>
                <w:szCs w:val="22"/>
                <w:highlight w:val="none"/>
                <w:lang w:val="en-US" w:eastAsia="zh-CN"/>
              </w:rPr>
              <w:t>99</w:t>
            </w:r>
          </w:p>
        </w:tc>
        <w:tc>
          <w:tcPr>
            <w:tcW w:w="2807"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auto"/>
                <w:sz w:val="22"/>
                <w:szCs w:val="22"/>
              </w:rPr>
            </w:pPr>
            <w:r>
              <w:rPr>
                <w:rFonts w:hint="eastAsia" w:ascii="仿宋_GB2312" w:hAnsi="仿宋_GB2312" w:eastAsia="仿宋_GB2312" w:cs="仿宋_GB2312"/>
                <w:color w:val="auto"/>
                <w:sz w:val="22"/>
                <w:szCs w:val="22"/>
              </w:rPr>
              <w:t>实有人数</w:t>
            </w:r>
          </w:p>
        </w:tc>
        <w:tc>
          <w:tcPr>
            <w:tcW w:w="2203"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2"/>
                <w:szCs w:val="22"/>
                <w:highlight w:val="none"/>
                <w:lang w:val="en-US" w:eastAsia="zh-CN"/>
              </w:rPr>
              <w:t>133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300" w:hRule="atLeast"/>
          <w:jc w:val="center"/>
        </w:trPr>
        <w:tc>
          <w:tcPr>
            <w:tcW w:w="541"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主要</w:t>
            </w:r>
            <w:r>
              <w:rPr>
                <w:rFonts w:hint="eastAsia" w:ascii="仿宋_GB2312" w:hAnsi="仿宋_GB2312" w:eastAsia="仿宋_GB2312" w:cs="仿宋_GB2312"/>
                <w:color w:val="000000"/>
                <w:sz w:val="24"/>
              </w:rPr>
              <w:t>职能</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职责</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概述</w:t>
            </w:r>
          </w:p>
        </w:tc>
        <w:tc>
          <w:tcPr>
            <w:tcW w:w="9433" w:type="dxa"/>
            <w:gridSpan w:val="25"/>
            <w:noWrap w:val="0"/>
            <w:vAlign w:val="center"/>
          </w:tcPr>
          <w:p>
            <w:pPr>
              <w:autoSpaceDN w:val="0"/>
              <w:spacing w:line="320" w:lineRule="exact"/>
              <w:ind w:firstLine="342" w:firstLineChars="150"/>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1、 依法履行全民所有土地、矿产、森林、草原、湿地、水等自然资源资产所有者职责和国土空间用途管制职责。</w:t>
            </w:r>
          </w:p>
          <w:p>
            <w:pPr>
              <w:autoSpaceDN w:val="0"/>
              <w:spacing w:line="320" w:lineRule="exact"/>
              <w:ind w:firstLine="342" w:firstLineChars="150"/>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2、 负责自然资源调查监测评价。</w:t>
            </w:r>
          </w:p>
          <w:p>
            <w:pPr>
              <w:autoSpaceDN w:val="0"/>
              <w:spacing w:line="320" w:lineRule="exact"/>
              <w:ind w:firstLine="342" w:firstLineChars="150"/>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3、 负责自然资源统一确权登记工作。</w:t>
            </w:r>
          </w:p>
          <w:p>
            <w:pPr>
              <w:autoSpaceDN w:val="0"/>
              <w:spacing w:line="320" w:lineRule="exact"/>
              <w:ind w:firstLine="342" w:firstLineChars="150"/>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4、 负责自然资源资产有偿使用工作。</w:t>
            </w:r>
          </w:p>
          <w:p>
            <w:pPr>
              <w:autoSpaceDN w:val="0"/>
              <w:spacing w:line="320" w:lineRule="exact"/>
              <w:ind w:firstLine="342" w:firstLineChars="150"/>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5、 负责自然资源的合理开发利用。</w:t>
            </w:r>
          </w:p>
          <w:p>
            <w:pPr>
              <w:autoSpaceDN w:val="0"/>
              <w:spacing w:line="320" w:lineRule="exact"/>
              <w:ind w:firstLine="342" w:firstLineChars="150"/>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6、 负责建立国土空间规划体系并监督实施。</w:t>
            </w:r>
          </w:p>
          <w:p>
            <w:pPr>
              <w:autoSpaceDN w:val="0"/>
              <w:spacing w:line="320" w:lineRule="exact"/>
              <w:ind w:firstLine="342" w:firstLineChars="150"/>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7、 负责制定国土空间规划编制计划和近期建设规划，制定土地利用及储备供应、矿产资源保护利用、基础测绘、新增建设用地等年度计划，并组织实施；参与城市发展年度建设计划及实施工作。</w:t>
            </w:r>
          </w:p>
          <w:p>
            <w:pPr>
              <w:autoSpaceDN w:val="0"/>
              <w:spacing w:line="320" w:lineRule="exact"/>
              <w:ind w:firstLine="342" w:firstLineChars="150"/>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8、 负责统筹国土空间生态修复。牵头组织编制国土空间生态修复规划并实施有关生态修复重大工程。牵头建立和实施生态保护补偿制度，并提出市级重大备选项目。</w:t>
            </w:r>
          </w:p>
          <w:p>
            <w:pPr>
              <w:autoSpaceDN w:val="0"/>
              <w:spacing w:line="320" w:lineRule="exact"/>
              <w:ind w:firstLine="342" w:firstLineChars="150"/>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9、 负责组织实施最严格的耕地保护制度。牵头实施耕地保护政策，负责耕地数量和生态保护，做好耕地质量保护有关工作。</w:t>
            </w:r>
          </w:p>
          <w:p>
            <w:pPr>
              <w:autoSpaceDN w:val="0"/>
              <w:spacing w:line="320" w:lineRule="exact"/>
              <w:ind w:firstLine="342" w:firstLineChars="150"/>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10、负责管理地质勘查行业和全市地质工作。</w:t>
            </w:r>
          </w:p>
          <w:p>
            <w:pPr>
              <w:autoSpaceDN w:val="0"/>
              <w:spacing w:line="320" w:lineRule="exact"/>
              <w:ind w:firstLine="342" w:firstLineChars="150"/>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11、负责地质灾害预防和治理。</w:t>
            </w:r>
          </w:p>
          <w:p>
            <w:pPr>
              <w:autoSpaceDN w:val="0"/>
              <w:spacing w:line="320" w:lineRule="exact"/>
              <w:ind w:firstLine="342" w:firstLineChars="150"/>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12、负责矿产资源管理工作。</w:t>
            </w:r>
          </w:p>
          <w:p>
            <w:pPr>
              <w:autoSpaceDN w:val="0"/>
              <w:spacing w:line="320" w:lineRule="exact"/>
              <w:ind w:firstLine="342" w:firstLineChars="150"/>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13、推动自然资源领域科技发展。</w:t>
            </w:r>
          </w:p>
          <w:p>
            <w:pPr>
              <w:autoSpaceDN w:val="0"/>
              <w:spacing w:line="320" w:lineRule="exact"/>
              <w:ind w:firstLine="342" w:firstLineChars="150"/>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14、负责测绘地理信息管理工作。</w:t>
            </w:r>
          </w:p>
          <w:p>
            <w:pPr>
              <w:autoSpaceDN w:val="0"/>
              <w:spacing w:line="320" w:lineRule="exact"/>
              <w:ind w:firstLine="342" w:firstLineChars="150"/>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15、根据授权，对市以下各级政府及相关部门落实市委、市政府关于自然资源、国土空间规划重大政策、决策部署及法规规章执行情况进行督察。依法查处自然资源开发利用、国土空间规划及测绘领域违法案件。负责涉及自然资源和规划管理事项的信访处理、行政复议、行政诉讼等工作。</w:t>
            </w:r>
          </w:p>
          <w:p>
            <w:pPr>
              <w:autoSpaceDN w:val="0"/>
              <w:spacing w:line="320" w:lineRule="exact"/>
              <w:ind w:firstLine="342" w:firstLineChars="150"/>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16、统一领导和管理市林业局。</w:t>
            </w:r>
          </w:p>
          <w:p>
            <w:pPr>
              <w:autoSpaceDN w:val="0"/>
              <w:spacing w:line="320" w:lineRule="exact"/>
              <w:ind w:firstLine="342" w:firstLineChars="150"/>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17、完成市委、市政府交办的其他事项。</w:t>
            </w:r>
          </w:p>
          <w:p>
            <w:pPr>
              <w:autoSpaceDN w:val="0"/>
              <w:spacing w:line="320" w:lineRule="exact"/>
              <w:ind w:firstLine="342" w:firstLineChars="150"/>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18、职能转变。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13" w:hRule="atLeast"/>
          <w:jc w:val="center"/>
        </w:trPr>
        <w:tc>
          <w:tcPr>
            <w:tcW w:w="541"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主</w:t>
            </w:r>
            <w:r>
              <w:rPr>
                <w:rFonts w:hint="eastAsia" w:ascii="仿宋_GB2312" w:hAnsi="仿宋_GB2312" w:eastAsia="仿宋_GB2312" w:cs="仿宋_GB2312"/>
                <w:color w:val="000000"/>
                <w:sz w:val="24"/>
              </w:rPr>
              <w:t>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内容</w:t>
            </w:r>
          </w:p>
        </w:tc>
        <w:tc>
          <w:tcPr>
            <w:tcW w:w="9433" w:type="dxa"/>
            <w:gridSpan w:val="25"/>
            <w:noWrap w:val="0"/>
            <w:vAlign w:val="center"/>
          </w:tcPr>
          <w:p>
            <w:pPr>
              <w:autoSpaceDN w:val="0"/>
              <w:spacing w:line="320" w:lineRule="exact"/>
              <w:ind w:firstLine="342" w:firstLineChars="150"/>
              <w:textAlignment w:val="center"/>
              <w:rPr>
                <w:rFonts w:hint="eastAsia" w:ascii="仿宋_GB2312" w:hAnsi="仿宋_GB2312" w:eastAsia="仿宋_GB2312" w:cs="仿宋_GB2312"/>
                <w:color w:val="000000"/>
                <w:spacing w:val="-6"/>
                <w:sz w:val="24"/>
                <w:szCs w:val="24"/>
              </w:rPr>
            </w:pPr>
            <w:r>
              <w:rPr>
                <w:rFonts w:hint="eastAsia" w:ascii="仿宋_GB2312" w:hAnsi="仿宋_GB2312" w:eastAsia="仿宋_GB2312" w:cs="仿宋_GB2312"/>
                <w:color w:val="000000"/>
                <w:spacing w:val="-6"/>
                <w:sz w:val="24"/>
                <w:szCs w:val="24"/>
              </w:rPr>
              <w:t>1.</w:t>
            </w:r>
            <w:r>
              <w:rPr>
                <w:rFonts w:hint="eastAsia" w:ascii="仿宋_GB2312" w:hAnsi="仿宋_GB2312" w:eastAsia="仿宋_GB2312" w:cs="仿宋_GB2312"/>
                <w:color w:val="000000"/>
                <w:spacing w:val="-6"/>
                <w:sz w:val="24"/>
                <w:szCs w:val="24"/>
                <w:lang w:val="en-US" w:eastAsia="zh-CN"/>
              </w:rPr>
              <w:t>全力编制好规划</w:t>
            </w:r>
            <w:r>
              <w:rPr>
                <w:rFonts w:hint="eastAsia" w:ascii="仿宋_GB2312" w:hAnsi="仿宋_GB2312" w:eastAsia="仿宋_GB2312" w:cs="仿宋_GB2312"/>
                <w:color w:val="000000"/>
                <w:spacing w:val="-6"/>
                <w:sz w:val="24"/>
                <w:szCs w:val="24"/>
              </w:rPr>
              <w:t>，</w:t>
            </w:r>
            <w:r>
              <w:rPr>
                <w:rFonts w:hint="eastAsia" w:ascii="仿宋_GB2312" w:hAnsi="仿宋_GB2312" w:eastAsia="仿宋_GB2312" w:cs="仿宋_GB2312"/>
                <w:color w:val="000000"/>
                <w:spacing w:val="-6"/>
                <w:sz w:val="24"/>
                <w:szCs w:val="24"/>
                <w:lang w:val="en-US" w:eastAsia="zh-CN"/>
              </w:rPr>
              <w:t>推进</w:t>
            </w:r>
            <w:r>
              <w:rPr>
                <w:rFonts w:hint="eastAsia" w:ascii="仿宋_GB2312" w:hAnsi="仿宋_GB2312" w:eastAsia="仿宋_GB2312" w:cs="仿宋_GB2312"/>
                <w:color w:val="000000"/>
                <w:spacing w:val="-6"/>
                <w:sz w:val="24"/>
                <w:szCs w:val="24"/>
              </w:rPr>
              <w:t>城市</w:t>
            </w:r>
            <w:r>
              <w:rPr>
                <w:rFonts w:hint="eastAsia" w:ascii="仿宋_GB2312" w:hAnsi="仿宋_GB2312" w:eastAsia="仿宋_GB2312" w:cs="仿宋_GB2312"/>
                <w:color w:val="000000"/>
                <w:spacing w:val="-6"/>
                <w:sz w:val="24"/>
                <w:szCs w:val="24"/>
                <w:lang w:val="en-US" w:eastAsia="zh-CN"/>
              </w:rPr>
              <w:t>建设与</w:t>
            </w:r>
            <w:r>
              <w:rPr>
                <w:rFonts w:hint="eastAsia" w:ascii="仿宋_GB2312" w:hAnsi="仿宋_GB2312" w:eastAsia="仿宋_GB2312" w:cs="仿宋_GB2312"/>
                <w:color w:val="000000"/>
                <w:spacing w:val="-6"/>
                <w:sz w:val="24"/>
                <w:szCs w:val="24"/>
              </w:rPr>
              <w:t>品质提升</w:t>
            </w:r>
            <w:r>
              <w:rPr>
                <w:rFonts w:hint="eastAsia" w:ascii="仿宋_GB2312" w:hAnsi="仿宋_GB2312" w:eastAsia="仿宋_GB2312" w:cs="仿宋_GB2312"/>
                <w:color w:val="000000"/>
                <w:spacing w:val="-6"/>
                <w:sz w:val="24"/>
                <w:szCs w:val="24"/>
                <w:lang w:eastAsia="zh-CN"/>
              </w:rPr>
              <w:t>。</w:t>
            </w:r>
            <w:r>
              <w:rPr>
                <w:rFonts w:hint="eastAsia" w:ascii="仿宋_GB2312" w:hAnsi="仿宋_GB2312" w:eastAsia="仿宋_GB2312" w:cs="仿宋_GB2312"/>
                <w:color w:val="000000"/>
                <w:spacing w:val="-6"/>
                <w:sz w:val="24"/>
                <w:szCs w:val="24"/>
                <w:lang w:val="en-US" w:eastAsia="zh-CN"/>
              </w:rPr>
              <w:t>一是全面推进国土空间规划编制；二是大力推进村庄规划编制工作；三是建立完善规划管控体系。</w:t>
            </w:r>
          </w:p>
          <w:p>
            <w:pPr>
              <w:autoSpaceDN w:val="0"/>
              <w:spacing w:line="320" w:lineRule="exact"/>
              <w:ind w:firstLine="342" w:firstLineChars="150"/>
              <w:textAlignment w:val="center"/>
              <w:rPr>
                <w:rFonts w:hint="eastAsia" w:ascii="仿宋_GB2312" w:hAnsi="仿宋_GB2312" w:eastAsia="仿宋_GB2312" w:cs="仿宋_GB2312"/>
                <w:color w:val="000000"/>
                <w:spacing w:val="-6"/>
                <w:sz w:val="24"/>
                <w:szCs w:val="24"/>
                <w:lang w:val="en-US" w:eastAsia="zh-CN"/>
              </w:rPr>
            </w:pPr>
            <w:r>
              <w:rPr>
                <w:rFonts w:hint="eastAsia" w:ascii="仿宋_GB2312" w:hAnsi="仿宋_GB2312" w:eastAsia="仿宋_GB2312" w:cs="仿宋_GB2312"/>
                <w:color w:val="000000"/>
                <w:spacing w:val="-6"/>
                <w:sz w:val="24"/>
                <w:szCs w:val="24"/>
                <w:lang w:val="en-US" w:eastAsia="zh-CN"/>
              </w:rPr>
              <w:t>2、竭力做好要素保障，服务项目落地与产业发展。一是持续优化用地审批服务；二是加快完善土地供应机制；三是加强节约集约用地；四是深化“最多跑一次”改革、优化营商环境。</w:t>
            </w:r>
          </w:p>
          <w:p>
            <w:pPr>
              <w:autoSpaceDN w:val="0"/>
              <w:spacing w:line="320" w:lineRule="exact"/>
              <w:ind w:firstLine="342" w:firstLineChars="150"/>
              <w:textAlignment w:val="center"/>
              <w:rPr>
                <w:rFonts w:hint="eastAsia" w:ascii="仿宋_GB2312" w:hAnsi="仿宋_GB2312" w:eastAsia="仿宋_GB2312" w:cs="仿宋_GB2312"/>
                <w:color w:val="000000"/>
                <w:spacing w:val="-6"/>
                <w:sz w:val="24"/>
                <w:szCs w:val="24"/>
                <w:lang w:val="en-US" w:eastAsia="zh-CN"/>
              </w:rPr>
            </w:pPr>
            <w:r>
              <w:rPr>
                <w:rFonts w:hint="eastAsia" w:ascii="仿宋_GB2312" w:hAnsi="仿宋_GB2312" w:eastAsia="仿宋_GB2312" w:cs="仿宋_GB2312"/>
                <w:color w:val="000000"/>
                <w:spacing w:val="-6"/>
                <w:sz w:val="24"/>
                <w:szCs w:val="24"/>
                <w:lang w:val="en-US" w:eastAsia="zh-CN"/>
              </w:rPr>
              <w:t>3、努力加强资源管控，严守绿色发展底线。一是强化耕地保护；二是加强自然资源执法保障体系建设；三是强化“三调”成果运用；四是稳妥推进农村乱占耕地建房问题整治。</w:t>
            </w:r>
          </w:p>
          <w:p>
            <w:pPr>
              <w:autoSpaceDN w:val="0"/>
              <w:spacing w:line="320" w:lineRule="exact"/>
              <w:ind w:firstLine="342" w:firstLineChars="150"/>
              <w:textAlignment w:val="center"/>
              <w:rPr>
                <w:rFonts w:hint="eastAsia" w:ascii="仿宋_GB2312" w:hAnsi="仿宋_GB2312" w:eastAsia="仿宋_GB2312" w:cs="仿宋_GB2312"/>
                <w:color w:val="000000"/>
                <w:spacing w:val="-6"/>
                <w:sz w:val="24"/>
                <w:szCs w:val="24"/>
                <w:lang w:val="en-US" w:eastAsia="zh-CN"/>
              </w:rPr>
            </w:pPr>
            <w:r>
              <w:rPr>
                <w:rFonts w:hint="eastAsia" w:ascii="仿宋_GB2312" w:hAnsi="仿宋_GB2312" w:eastAsia="仿宋_GB2312" w:cs="仿宋_GB2312"/>
                <w:color w:val="000000"/>
                <w:spacing w:val="-6"/>
                <w:sz w:val="24"/>
                <w:szCs w:val="24"/>
              </w:rPr>
              <w:t>4.</w:t>
            </w:r>
            <w:r>
              <w:rPr>
                <w:rFonts w:hint="eastAsia" w:ascii="仿宋_GB2312" w:hAnsi="仿宋_GB2312" w:eastAsia="仿宋_GB2312" w:cs="仿宋_GB2312"/>
                <w:color w:val="000000"/>
                <w:spacing w:val="-6"/>
                <w:sz w:val="24"/>
                <w:szCs w:val="24"/>
                <w:lang w:val="en-US" w:eastAsia="zh-CN"/>
              </w:rPr>
              <w:t>尽力强化民生保障，增进惠民利民益民。一是强化地质灾害防治；二是推进矿业转型发展；三是加强生态保护修复；四是巩固脱贫攻坚成果，助推乡村振兴；五是抓好中心城区违法建设集中整治行动。</w:t>
            </w:r>
          </w:p>
          <w:p>
            <w:pPr>
              <w:autoSpaceDN w:val="0"/>
              <w:spacing w:line="320" w:lineRule="exact"/>
              <w:ind w:firstLine="342" w:firstLineChars="150"/>
              <w:textAlignment w:val="center"/>
              <w:rPr>
                <w:rFonts w:hint="eastAsia" w:ascii="仿宋_GB2312" w:hAnsi="仿宋_GB2312" w:eastAsia="仿宋_GB2312" w:cs="仿宋_GB2312"/>
                <w:color w:val="000000"/>
                <w:spacing w:val="-6"/>
                <w:sz w:val="24"/>
                <w:szCs w:val="24"/>
                <w:lang w:val="en-US" w:eastAsia="zh-CN"/>
              </w:rPr>
            </w:pPr>
            <w:r>
              <w:rPr>
                <w:rFonts w:hint="eastAsia" w:ascii="仿宋_GB2312" w:hAnsi="仿宋_GB2312" w:eastAsia="仿宋_GB2312" w:cs="仿宋_GB2312"/>
                <w:color w:val="000000"/>
                <w:spacing w:val="-6"/>
                <w:sz w:val="24"/>
                <w:szCs w:val="24"/>
              </w:rPr>
              <w:t>5.</w:t>
            </w:r>
            <w:r>
              <w:rPr>
                <w:rFonts w:hint="eastAsia" w:ascii="仿宋_GB2312" w:hAnsi="仿宋_GB2312" w:eastAsia="仿宋_GB2312" w:cs="仿宋_GB2312"/>
                <w:color w:val="000000"/>
                <w:spacing w:val="-6"/>
                <w:sz w:val="24"/>
                <w:szCs w:val="24"/>
                <w:lang w:val="en-US" w:eastAsia="zh-CN"/>
              </w:rPr>
              <w:t>着力提升基础效能，筑牢事业发展根基。一是切实加强信息化建设；二是切实加强法治建设；三是切实加强信访工作；四是切实加强基础工作。</w:t>
            </w:r>
          </w:p>
          <w:p>
            <w:pPr>
              <w:autoSpaceDN w:val="0"/>
              <w:spacing w:line="320" w:lineRule="exact"/>
              <w:ind w:firstLine="342" w:firstLineChars="150"/>
              <w:textAlignment w:val="center"/>
              <w:rPr>
                <w:rFonts w:hint="eastAsia" w:ascii="仿宋_GB2312" w:hAnsi="仿宋_GB2312" w:eastAsia="仿宋_GB2312" w:cs="仿宋_GB2312"/>
                <w:b w:val="0"/>
                <w:bCs w:val="0"/>
                <w:color w:val="auto"/>
                <w:spacing w:val="-6"/>
                <w:sz w:val="24"/>
                <w:szCs w:val="24"/>
                <w:lang w:eastAsia="zh-CN"/>
              </w:rPr>
            </w:pPr>
            <w:r>
              <w:rPr>
                <w:rFonts w:hint="eastAsia" w:ascii="仿宋_GB2312" w:hAnsi="仿宋_GB2312" w:eastAsia="仿宋_GB2312" w:cs="仿宋_GB2312"/>
                <w:color w:val="000000"/>
                <w:spacing w:val="-6"/>
                <w:sz w:val="24"/>
                <w:szCs w:val="24"/>
                <w:lang w:val="en-US" w:eastAsia="zh-CN"/>
              </w:rPr>
              <w:t>6.致力突出政治引领，提升党建工作实效。一是坚定正确政治方向；二是持续深化作风建设；三是抓牢抓实廉政建设。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848" w:hRule="atLeast"/>
          <w:jc w:val="center"/>
        </w:trPr>
        <w:tc>
          <w:tcPr>
            <w:tcW w:w="541" w:type="dxa"/>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w:t>
            </w:r>
          </w:p>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部门</w:t>
            </w:r>
          </w:p>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（单位）总体</w:t>
            </w:r>
          </w:p>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运行</w:t>
            </w:r>
          </w:p>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情况</w:t>
            </w:r>
          </w:p>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及取</w:t>
            </w:r>
          </w:p>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得的</w:t>
            </w:r>
          </w:p>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成绩</w:t>
            </w:r>
          </w:p>
          <w:p>
            <w:pPr>
              <w:autoSpaceDN w:val="0"/>
              <w:spacing w:line="320" w:lineRule="exact"/>
              <w:jc w:val="center"/>
              <w:textAlignment w:val="center"/>
              <w:rPr>
                <w:rFonts w:hint="eastAsia" w:ascii="仿宋_GB2312" w:hAnsi="仿宋_GB2312" w:eastAsia="仿宋_GB2312" w:cs="仿宋_GB2312"/>
                <w:color w:val="000000"/>
                <w:spacing w:val="-6"/>
                <w:sz w:val="24"/>
              </w:rPr>
            </w:pPr>
          </w:p>
        </w:tc>
        <w:tc>
          <w:tcPr>
            <w:tcW w:w="9433" w:type="dxa"/>
            <w:gridSpan w:val="25"/>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ind w:firstLine="456" w:firstLineChars="200"/>
              <w:textAlignment w:val="center"/>
              <w:rPr>
                <w:rFonts w:hint="eastAsia" w:ascii="仿宋_GB2312" w:hAnsi="仿宋_GB2312" w:eastAsia="仿宋_GB2312" w:cs="仿宋_GB2312"/>
                <w:b w:val="0"/>
                <w:bCs w:val="0"/>
                <w:color w:val="auto"/>
                <w:spacing w:val="-6"/>
                <w:sz w:val="24"/>
              </w:rPr>
            </w:pPr>
          </w:p>
          <w:p>
            <w:pPr>
              <w:keepNext w:val="0"/>
              <w:keepLines w:val="0"/>
              <w:pageBreakBefore w:val="0"/>
              <w:widowControl w:val="0"/>
              <w:kinsoku/>
              <w:wordWrap/>
              <w:overflowPunct/>
              <w:topLinePunct w:val="0"/>
              <w:autoSpaceDE/>
              <w:autoSpaceDN w:val="0"/>
              <w:bidi w:val="0"/>
              <w:adjustRightInd/>
              <w:snapToGrid/>
              <w:spacing w:line="320" w:lineRule="exact"/>
              <w:ind w:firstLine="456" w:firstLineChars="200"/>
              <w:textAlignment w:val="center"/>
              <w:rPr>
                <w:rFonts w:hint="eastAsia" w:ascii="仿宋_GB2312" w:hAnsi="仿宋_GB2312" w:eastAsia="仿宋_GB2312" w:cs="仿宋_GB2312"/>
                <w:b w:val="0"/>
                <w:bCs w:val="0"/>
                <w:color w:val="auto"/>
                <w:spacing w:val="-6"/>
                <w:sz w:val="24"/>
                <w:lang w:val="en-US" w:eastAsia="zh-CN"/>
              </w:rPr>
            </w:pPr>
            <w:r>
              <w:rPr>
                <w:rFonts w:hint="eastAsia" w:ascii="仿宋_GB2312" w:hAnsi="仿宋_GB2312" w:eastAsia="仿宋_GB2312" w:cs="仿宋_GB2312"/>
                <w:b w:val="0"/>
                <w:bCs w:val="0"/>
                <w:color w:val="auto"/>
                <w:spacing w:val="-6"/>
                <w:sz w:val="24"/>
              </w:rPr>
              <w:t>在市委市政府和省厅的坚强领导下，全系统领导干部深入学习贯彻习近平新时代中国特色社会主义思想，始终坚持党建引领，紧紧围绕中心重点，充分发挥职责职能，全面推进自然资源各项工作高质量发展。先后收获了一大批荣誉表彰，各项工作取得丰硕成果。</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8" w:firstLineChars="200"/>
              <w:textAlignment w:val="center"/>
              <w:rPr>
                <w:rFonts w:hint="eastAsia" w:ascii="仿宋_GB2312" w:hAnsi="仿宋_GB2312" w:eastAsia="仿宋_GB2312" w:cs="仿宋_GB2312"/>
                <w:b/>
                <w:bCs/>
                <w:color w:val="auto"/>
                <w:spacing w:val="-6"/>
                <w:sz w:val="24"/>
                <w:lang w:eastAsia="zh-CN"/>
              </w:rPr>
            </w:pPr>
            <w:r>
              <w:rPr>
                <w:rFonts w:hint="eastAsia" w:ascii="仿宋_GB2312" w:hAnsi="仿宋_GB2312" w:eastAsia="仿宋_GB2312" w:cs="仿宋_GB2312"/>
                <w:b/>
                <w:bCs/>
                <w:color w:val="auto"/>
                <w:spacing w:val="-6"/>
                <w:sz w:val="24"/>
                <w:lang w:eastAsia="zh-CN"/>
              </w:rPr>
              <w:t>（一）</w:t>
            </w:r>
            <w:r>
              <w:rPr>
                <w:rFonts w:hint="eastAsia" w:ascii="仿宋_GB2312" w:hAnsi="仿宋_GB2312" w:eastAsia="仿宋_GB2312" w:cs="仿宋_GB2312"/>
                <w:b/>
                <w:bCs/>
                <w:color w:val="auto"/>
                <w:spacing w:val="-6"/>
                <w:sz w:val="24"/>
                <w:lang w:val="en-US" w:eastAsia="zh-CN"/>
              </w:rPr>
              <w:t>突出规划引领，守护一江碧水</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6" w:firstLineChars="200"/>
              <w:textAlignment w:val="center"/>
              <w:rPr>
                <w:rFonts w:hint="eastAsia" w:ascii="仿宋_GB2312" w:hAnsi="仿宋_GB2312" w:eastAsia="仿宋_GB2312" w:cs="仿宋_GB2312"/>
                <w:b w:val="0"/>
                <w:bCs w:val="0"/>
                <w:color w:val="auto"/>
                <w:spacing w:val="-6"/>
                <w:sz w:val="24"/>
                <w:lang w:eastAsia="zh-CN"/>
              </w:rPr>
            </w:pPr>
            <w:r>
              <w:rPr>
                <w:rFonts w:hint="eastAsia" w:ascii="仿宋_GB2312" w:hAnsi="仿宋_GB2312" w:eastAsia="仿宋_GB2312" w:cs="仿宋_GB2312"/>
                <w:b w:val="0"/>
                <w:bCs w:val="0"/>
                <w:color w:val="auto"/>
                <w:spacing w:val="-6"/>
                <w:sz w:val="24"/>
                <w:lang w:eastAsia="zh-CN"/>
              </w:rPr>
              <w:t>1、</w:t>
            </w:r>
            <w:r>
              <w:rPr>
                <w:rFonts w:hint="eastAsia" w:ascii="仿宋_GB2312" w:hAnsi="仿宋_GB2312" w:eastAsia="仿宋_GB2312" w:cs="仿宋_GB2312"/>
                <w:b w:val="0"/>
                <w:bCs w:val="0"/>
                <w:color w:val="auto"/>
                <w:spacing w:val="-6"/>
                <w:sz w:val="24"/>
                <w:lang w:val="en-US" w:eastAsia="zh-CN"/>
              </w:rPr>
              <w:t>精心编制空间规划。统筹划定“三条控制线”，初步划定永久基本农田2956.1平方公里，生态保护红线3380.6平方公里，</w:t>
            </w:r>
            <w:r>
              <w:rPr>
                <w:rFonts w:hint="eastAsia" w:ascii="仿宋_GB2312" w:hAnsi="仿宋_GB2312" w:eastAsia="仿宋_GB2312" w:cs="仿宋_GB2312"/>
                <w:b w:val="0"/>
                <w:bCs w:val="0"/>
                <w:color w:val="auto"/>
                <w:spacing w:val="-6"/>
                <w:sz w:val="24"/>
              </w:rPr>
              <w:t>城镇开发边界664.5平方公里</w:t>
            </w:r>
            <w:r>
              <w:rPr>
                <w:rFonts w:hint="eastAsia" w:ascii="仿宋_GB2312" w:hAnsi="仿宋_GB2312" w:eastAsia="仿宋_GB2312" w:cs="仿宋_GB2312"/>
                <w:b w:val="0"/>
                <w:bCs w:val="0"/>
                <w:color w:val="auto"/>
                <w:spacing w:val="-6"/>
                <w:sz w:val="24"/>
                <w:lang w:eastAsia="zh-CN"/>
              </w:rPr>
              <w:t>；</w:t>
            </w:r>
            <w:r>
              <w:rPr>
                <w:rFonts w:hint="eastAsia" w:ascii="仿宋_GB2312" w:hAnsi="仿宋_GB2312" w:eastAsia="仿宋_GB2312" w:cs="仿宋_GB2312"/>
                <w:b w:val="0"/>
                <w:bCs w:val="0"/>
                <w:color w:val="auto"/>
                <w:spacing w:val="-6"/>
                <w:sz w:val="24"/>
                <w:lang w:val="en-US" w:eastAsia="zh-CN"/>
              </w:rPr>
              <w:t>开展了多类型、多专业的十大专题报告研究，启动了新一轮控规修编，建设了“多规合一”“一</w:t>
            </w:r>
            <w:r>
              <w:rPr>
                <w:rFonts w:hint="eastAsia" w:ascii="仿宋_GB2312" w:hAnsi="仿宋_GB2312" w:eastAsia="仿宋_GB2312" w:cs="仿宋_GB2312"/>
                <w:b w:val="0"/>
                <w:bCs w:val="0"/>
                <w:color w:val="auto"/>
                <w:spacing w:val="-6"/>
                <w:sz w:val="24"/>
                <w:lang w:eastAsia="zh-CN"/>
              </w:rPr>
              <w:t>张图”平台；编制</w:t>
            </w:r>
            <w:r>
              <w:rPr>
                <w:rFonts w:hint="eastAsia" w:ascii="仿宋_GB2312" w:hAnsi="仿宋_GB2312" w:eastAsia="仿宋_GB2312" w:cs="仿宋_GB2312"/>
                <w:b w:val="0"/>
                <w:bCs w:val="0"/>
                <w:color w:val="auto"/>
                <w:spacing w:val="-6"/>
                <w:sz w:val="24"/>
                <w:lang w:val="en-US" w:eastAsia="zh-CN"/>
              </w:rPr>
              <w:t>了</w:t>
            </w:r>
            <w:r>
              <w:rPr>
                <w:rFonts w:hint="eastAsia" w:ascii="仿宋_GB2312" w:hAnsi="仿宋_GB2312" w:eastAsia="仿宋_GB2312" w:cs="仿宋_GB2312"/>
                <w:b w:val="0"/>
                <w:bCs w:val="0"/>
                <w:color w:val="auto"/>
                <w:spacing w:val="-6"/>
                <w:sz w:val="24"/>
                <w:lang w:eastAsia="zh-CN"/>
              </w:rPr>
              <w:t>《“一湖两岸”城市设计》，并作为湖南省唯一“城市设计”案例入选自然资源部建党100周年优秀案例评选；</w:t>
            </w:r>
            <w:r>
              <w:rPr>
                <w:rFonts w:hint="eastAsia" w:ascii="仿宋_GB2312" w:hAnsi="仿宋_GB2312" w:eastAsia="仿宋_GB2312" w:cs="仿宋_GB2312"/>
                <w:b w:val="0"/>
                <w:bCs w:val="0"/>
                <w:color w:val="auto"/>
                <w:spacing w:val="-6"/>
                <w:sz w:val="24"/>
                <w:lang w:val="en-US" w:eastAsia="zh-CN"/>
              </w:rPr>
              <w:t>完成了</w:t>
            </w:r>
            <w:r>
              <w:rPr>
                <w:rFonts w:hint="eastAsia" w:ascii="仿宋_GB2312" w:hAnsi="仿宋_GB2312" w:eastAsia="仿宋_GB2312" w:cs="仿宋_GB2312"/>
                <w:b w:val="0"/>
                <w:bCs w:val="0"/>
                <w:color w:val="auto"/>
                <w:spacing w:val="-6"/>
                <w:sz w:val="24"/>
              </w:rPr>
              <w:t>461个村庄</w:t>
            </w:r>
            <w:r>
              <w:rPr>
                <w:rFonts w:hint="eastAsia" w:ascii="仿宋_GB2312" w:hAnsi="仿宋_GB2312" w:eastAsia="仿宋_GB2312" w:cs="仿宋_GB2312"/>
                <w:b w:val="0"/>
                <w:bCs w:val="0"/>
                <w:color w:val="auto"/>
                <w:spacing w:val="-6"/>
                <w:sz w:val="24"/>
                <w:lang w:val="en-US" w:eastAsia="zh-CN"/>
              </w:rPr>
              <w:t>的</w:t>
            </w:r>
            <w:r>
              <w:rPr>
                <w:rFonts w:hint="eastAsia" w:ascii="仿宋_GB2312" w:hAnsi="仿宋_GB2312" w:eastAsia="仿宋_GB2312" w:cs="仿宋_GB2312"/>
                <w:b w:val="0"/>
                <w:bCs w:val="0"/>
                <w:color w:val="auto"/>
                <w:spacing w:val="-6"/>
                <w:sz w:val="24"/>
              </w:rPr>
              <w:t>基础调查</w:t>
            </w:r>
            <w:r>
              <w:rPr>
                <w:rFonts w:hint="eastAsia" w:ascii="仿宋_GB2312" w:hAnsi="仿宋_GB2312" w:eastAsia="仿宋_GB2312" w:cs="仿宋_GB2312"/>
                <w:b w:val="0"/>
                <w:bCs w:val="0"/>
                <w:color w:val="auto"/>
                <w:spacing w:val="-6"/>
                <w:sz w:val="24"/>
                <w:lang w:eastAsia="zh-CN"/>
              </w:rPr>
              <w:t>、</w:t>
            </w:r>
            <w:r>
              <w:rPr>
                <w:rFonts w:hint="eastAsia" w:ascii="仿宋_GB2312" w:hAnsi="仿宋_GB2312" w:eastAsia="仿宋_GB2312" w:cs="仿宋_GB2312"/>
                <w:b w:val="0"/>
                <w:bCs w:val="0"/>
                <w:color w:val="auto"/>
                <w:spacing w:val="-6"/>
                <w:sz w:val="24"/>
              </w:rPr>
              <w:t>村域国土空间保护开发现状分析评价</w:t>
            </w:r>
            <w:r>
              <w:rPr>
                <w:rFonts w:hint="eastAsia" w:ascii="仿宋_GB2312" w:hAnsi="仿宋_GB2312" w:eastAsia="仿宋_GB2312" w:cs="仿宋_GB2312"/>
                <w:b w:val="0"/>
                <w:bCs w:val="0"/>
                <w:color w:val="auto"/>
                <w:spacing w:val="-6"/>
                <w:sz w:val="24"/>
                <w:lang w:eastAsia="zh-CN"/>
              </w:rPr>
              <w:t>、初步方案咨询论证、</w:t>
            </w:r>
            <w:r>
              <w:rPr>
                <w:rFonts w:hint="eastAsia" w:ascii="仿宋_GB2312" w:hAnsi="仿宋_GB2312" w:eastAsia="仿宋_GB2312" w:cs="仿宋_GB2312"/>
                <w:b w:val="0"/>
                <w:bCs w:val="0"/>
                <w:color w:val="auto"/>
                <w:spacing w:val="-6"/>
                <w:sz w:val="24"/>
                <w:lang w:val="en-US" w:eastAsia="zh-CN"/>
              </w:rPr>
              <w:t>规划</w:t>
            </w:r>
            <w:r>
              <w:rPr>
                <w:rFonts w:hint="eastAsia" w:ascii="仿宋_GB2312" w:hAnsi="仿宋_GB2312" w:eastAsia="仿宋_GB2312" w:cs="仿宋_GB2312"/>
                <w:b w:val="0"/>
                <w:bCs w:val="0"/>
                <w:color w:val="auto"/>
                <w:spacing w:val="-6"/>
                <w:sz w:val="24"/>
              </w:rPr>
              <w:t>方案</w:t>
            </w:r>
            <w:r>
              <w:rPr>
                <w:rFonts w:hint="eastAsia" w:ascii="仿宋_GB2312" w:hAnsi="仿宋_GB2312" w:eastAsia="仿宋_GB2312" w:cs="仿宋_GB2312"/>
                <w:b w:val="0"/>
                <w:bCs w:val="0"/>
                <w:color w:val="auto"/>
                <w:spacing w:val="-6"/>
                <w:sz w:val="24"/>
                <w:lang w:eastAsia="zh-CN"/>
              </w:rPr>
              <w:t>村内公示</w:t>
            </w:r>
            <w:r>
              <w:rPr>
                <w:rFonts w:hint="eastAsia" w:ascii="仿宋_GB2312" w:hAnsi="仿宋_GB2312" w:eastAsia="仿宋_GB2312" w:cs="仿宋_GB2312"/>
                <w:b w:val="0"/>
                <w:bCs w:val="0"/>
                <w:color w:val="auto"/>
                <w:spacing w:val="-6"/>
                <w:sz w:val="24"/>
                <w:lang w:val="en-US" w:eastAsia="zh-CN"/>
              </w:rPr>
              <w:t>等工作，</w:t>
            </w:r>
            <w:r>
              <w:rPr>
                <w:rFonts w:hint="eastAsia" w:ascii="仿宋_GB2312" w:hAnsi="仿宋_GB2312" w:eastAsia="仿宋_GB2312" w:cs="仿宋_GB2312"/>
                <w:b w:val="0"/>
                <w:bCs w:val="0"/>
                <w:color w:val="auto"/>
                <w:spacing w:val="-6"/>
                <w:sz w:val="24"/>
                <w:lang w:val="en-US"/>
              </w:rPr>
              <w:t>全省国土空间优秀案例</w:t>
            </w:r>
            <w:r>
              <w:rPr>
                <w:rFonts w:hint="eastAsia" w:ascii="仿宋_GB2312" w:hAnsi="仿宋_GB2312" w:eastAsia="仿宋_GB2312" w:cs="仿宋_GB2312"/>
                <w:b w:val="0"/>
                <w:bCs w:val="0"/>
                <w:color w:val="auto"/>
                <w:spacing w:val="-6"/>
                <w:sz w:val="24"/>
                <w:lang w:val="en-US" w:eastAsia="zh-CN"/>
              </w:rPr>
              <w:t>岳阳</w:t>
            </w:r>
            <w:r>
              <w:rPr>
                <w:rFonts w:hint="eastAsia" w:ascii="仿宋_GB2312" w:hAnsi="仿宋_GB2312" w:eastAsia="仿宋_GB2312" w:cs="仿宋_GB2312"/>
                <w:b w:val="0"/>
                <w:bCs w:val="0"/>
                <w:color w:val="auto"/>
                <w:spacing w:val="-6"/>
                <w:sz w:val="24"/>
                <w:lang w:val="en-US"/>
              </w:rPr>
              <w:t>市获</w:t>
            </w:r>
            <w:r>
              <w:rPr>
                <w:rFonts w:hint="eastAsia" w:ascii="仿宋_GB2312" w:hAnsi="仿宋_GB2312" w:eastAsia="仿宋_GB2312" w:cs="仿宋_GB2312"/>
                <w:b w:val="0"/>
                <w:bCs w:val="0"/>
                <w:color w:val="auto"/>
                <w:spacing w:val="-6"/>
                <w:sz w:val="24"/>
                <w:lang w:val="en-US" w:eastAsia="zh-CN"/>
              </w:rPr>
              <w:t>得5个奖项</w:t>
            </w:r>
            <w:r>
              <w:rPr>
                <w:rFonts w:hint="eastAsia" w:ascii="仿宋_GB2312" w:hAnsi="仿宋_GB2312" w:eastAsia="仿宋_GB2312" w:cs="仿宋_GB2312"/>
                <w:b w:val="0"/>
                <w:bCs w:val="0"/>
                <w:color w:val="auto"/>
                <w:spacing w:val="-6"/>
                <w:sz w:val="24"/>
                <w:lang w:val="en-US"/>
              </w:rPr>
              <w:t>，</w:t>
            </w:r>
            <w:r>
              <w:rPr>
                <w:rFonts w:hint="eastAsia" w:ascii="仿宋_GB2312" w:hAnsi="仿宋_GB2312" w:eastAsia="仿宋_GB2312" w:cs="仿宋_GB2312"/>
                <w:b w:val="0"/>
                <w:bCs w:val="0"/>
                <w:color w:val="auto"/>
                <w:spacing w:val="-6"/>
                <w:sz w:val="24"/>
                <w:lang w:val="en-US" w:eastAsia="zh-CN"/>
              </w:rPr>
              <w:t>本局</w:t>
            </w:r>
            <w:r>
              <w:rPr>
                <w:rFonts w:hint="eastAsia" w:ascii="仿宋_GB2312" w:hAnsi="仿宋_GB2312" w:eastAsia="仿宋_GB2312" w:cs="仿宋_GB2312"/>
                <w:b w:val="0"/>
                <w:bCs w:val="0"/>
                <w:color w:val="auto"/>
                <w:spacing w:val="-6"/>
                <w:sz w:val="24"/>
                <w:lang w:val="en-US"/>
              </w:rPr>
              <w:t>被评为优秀组织单位</w:t>
            </w:r>
            <w:r>
              <w:rPr>
                <w:rFonts w:hint="eastAsia" w:ascii="仿宋_GB2312" w:hAnsi="仿宋_GB2312" w:eastAsia="仿宋_GB2312" w:cs="仿宋_GB2312"/>
                <w:b w:val="0"/>
                <w:bCs w:val="0"/>
                <w:color w:val="auto"/>
                <w:spacing w:val="-6"/>
                <w:sz w:val="24"/>
                <w:lang w:eastAsia="zh-CN"/>
              </w:rPr>
              <w:t>。</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6" w:firstLineChars="200"/>
              <w:textAlignment w:val="center"/>
              <w:rPr>
                <w:rFonts w:hint="eastAsia" w:ascii="仿宋_GB2312" w:hAnsi="仿宋_GB2312" w:eastAsia="仿宋_GB2312" w:cs="仿宋_GB2312"/>
                <w:b w:val="0"/>
                <w:bCs w:val="0"/>
                <w:color w:val="auto"/>
                <w:spacing w:val="-6"/>
                <w:sz w:val="24"/>
                <w:lang w:eastAsia="zh-CN"/>
              </w:rPr>
            </w:pPr>
            <w:r>
              <w:rPr>
                <w:rFonts w:hint="eastAsia" w:ascii="仿宋_GB2312" w:hAnsi="仿宋_GB2312" w:eastAsia="仿宋_GB2312" w:cs="仿宋_GB2312"/>
                <w:b w:val="0"/>
                <w:bCs w:val="0"/>
                <w:color w:val="auto"/>
                <w:spacing w:val="-6"/>
                <w:sz w:val="24"/>
                <w:lang w:eastAsia="zh-CN"/>
              </w:rPr>
              <w:t>2、</w:t>
            </w:r>
            <w:r>
              <w:rPr>
                <w:rFonts w:hint="eastAsia" w:ascii="仿宋_GB2312" w:hAnsi="仿宋_GB2312" w:eastAsia="仿宋_GB2312" w:cs="仿宋_GB2312"/>
                <w:b w:val="0"/>
                <w:bCs w:val="0"/>
                <w:color w:val="auto"/>
                <w:spacing w:val="-6"/>
                <w:sz w:val="24"/>
                <w:lang w:val="en-US" w:eastAsia="zh-CN"/>
              </w:rPr>
              <w:t>着力生态修复治理。做好了“‘十四五’期间第二批山水林田湖草沙一体化保护和修复工程项目”申报工作，</w:t>
            </w:r>
            <w:r>
              <w:rPr>
                <w:rFonts w:hint="eastAsia" w:ascii="仿宋_GB2312" w:hAnsi="仿宋_GB2312" w:eastAsia="仿宋_GB2312" w:cs="仿宋_GB2312"/>
                <w:b w:val="0"/>
                <w:bCs w:val="0"/>
                <w:color w:val="auto"/>
                <w:spacing w:val="-6"/>
                <w:sz w:val="24"/>
                <w:lang w:eastAsia="zh-CN"/>
              </w:rPr>
              <w:t>开展历史遗留矿山图斑核查，</w:t>
            </w:r>
            <w:r>
              <w:rPr>
                <w:rFonts w:hint="eastAsia" w:ascii="仿宋_GB2312" w:hAnsi="仿宋_GB2312" w:eastAsia="仿宋_GB2312" w:cs="仿宋_GB2312"/>
                <w:b w:val="0"/>
                <w:bCs w:val="0"/>
                <w:color w:val="auto"/>
                <w:spacing w:val="-6"/>
                <w:sz w:val="24"/>
                <w:lang w:val="en-US" w:eastAsia="zh-CN"/>
              </w:rPr>
              <w:t>上报</w:t>
            </w:r>
            <w:r>
              <w:rPr>
                <w:rFonts w:hint="eastAsia" w:ascii="仿宋_GB2312" w:hAnsi="仿宋_GB2312" w:eastAsia="仿宋_GB2312" w:cs="仿宋_GB2312"/>
                <w:b w:val="0"/>
                <w:bCs w:val="0"/>
                <w:color w:val="auto"/>
                <w:spacing w:val="-6"/>
                <w:sz w:val="24"/>
                <w:lang w:eastAsia="zh-CN"/>
              </w:rPr>
              <w:t>确认未修复历史遗留矿山683公顷，计划十四五期间修复约546公顷，拟实现修复率80%。</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8" w:firstLineChars="200"/>
              <w:textAlignment w:val="center"/>
              <w:rPr>
                <w:rFonts w:hint="eastAsia" w:ascii="仿宋_GB2312" w:hAnsi="仿宋_GB2312" w:eastAsia="仿宋_GB2312" w:cs="仿宋_GB2312"/>
                <w:b w:val="0"/>
                <w:bCs w:val="0"/>
                <w:color w:val="auto"/>
                <w:spacing w:val="-6"/>
                <w:sz w:val="24"/>
                <w:lang w:eastAsia="zh-CN"/>
              </w:rPr>
            </w:pPr>
            <w:r>
              <w:rPr>
                <w:rFonts w:hint="eastAsia" w:ascii="仿宋_GB2312" w:hAnsi="仿宋_GB2312" w:eastAsia="仿宋_GB2312" w:cs="仿宋_GB2312"/>
                <w:b/>
                <w:bCs/>
                <w:color w:val="auto"/>
                <w:spacing w:val="-6"/>
                <w:sz w:val="24"/>
                <w:lang w:eastAsia="zh-CN"/>
              </w:rPr>
              <w:t>3、</w:t>
            </w:r>
            <w:r>
              <w:rPr>
                <w:rFonts w:hint="eastAsia" w:ascii="仿宋_GB2312" w:hAnsi="仿宋_GB2312" w:eastAsia="仿宋_GB2312" w:cs="仿宋_GB2312"/>
                <w:b w:val="0"/>
                <w:bCs w:val="0"/>
                <w:color w:val="auto"/>
                <w:spacing w:val="-6"/>
                <w:sz w:val="24"/>
                <w:lang w:val="en-US" w:eastAsia="zh-CN"/>
              </w:rPr>
              <w:t>加快绿色矿山建设。编制矿产资源总体规划和砂石土矿专项规划；推进砂石土矿专项整治，完成了砂石土采矿权关闭目标，全市砂石土采矿权规划数64个，现保有42个；绿色矿山建设卓有成效，全市已建成14个绿色矿山，其中国家级4个，省级10个。</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8" w:firstLineChars="200"/>
              <w:textAlignment w:val="center"/>
              <w:rPr>
                <w:rFonts w:hint="eastAsia" w:ascii="仿宋_GB2312" w:hAnsi="仿宋_GB2312" w:eastAsia="仿宋_GB2312" w:cs="仿宋_GB2312"/>
                <w:b/>
                <w:bCs/>
                <w:color w:val="auto"/>
                <w:spacing w:val="-6"/>
                <w:sz w:val="24"/>
                <w:lang w:val="en-US" w:eastAsia="zh-CN"/>
              </w:rPr>
            </w:pPr>
            <w:r>
              <w:rPr>
                <w:rFonts w:hint="eastAsia" w:ascii="仿宋_GB2312" w:hAnsi="仿宋_GB2312" w:eastAsia="仿宋_GB2312" w:cs="仿宋_GB2312"/>
                <w:b/>
                <w:bCs/>
                <w:color w:val="auto"/>
                <w:spacing w:val="-6"/>
                <w:sz w:val="24"/>
                <w:lang w:val="en-US" w:eastAsia="zh-CN"/>
              </w:rPr>
              <w:t>（二）严格保护耕地，落实基本国策</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6" w:firstLineChars="200"/>
              <w:textAlignment w:val="center"/>
              <w:rPr>
                <w:rFonts w:hint="default" w:ascii="仿宋_GB2312" w:hAnsi="仿宋_GB2312" w:eastAsia="仿宋_GB2312" w:cs="仿宋_GB2312"/>
                <w:b w:val="0"/>
                <w:bCs w:val="0"/>
                <w:color w:val="auto"/>
                <w:spacing w:val="-6"/>
                <w:sz w:val="24"/>
                <w:lang w:val="en-US" w:eastAsia="zh-CN"/>
              </w:rPr>
            </w:pPr>
            <w:r>
              <w:rPr>
                <w:rFonts w:hint="eastAsia" w:ascii="仿宋_GB2312" w:hAnsi="仿宋_GB2312" w:eastAsia="仿宋_GB2312" w:cs="仿宋_GB2312"/>
                <w:b w:val="0"/>
                <w:bCs w:val="0"/>
                <w:color w:val="auto"/>
                <w:spacing w:val="-6"/>
                <w:sz w:val="24"/>
                <w:lang w:val="en-US" w:eastAsia="zh-CN"/>
              </w:rPr>
              <w:t>1、落实最严格的耕地保护制度。科学编制耕地保护专项规划，按时完成永久基本农田核实整改补足工作；全程监管新增耕地开发，配合省整治局核实验收项目30个370.92公顷，省厅确认农用地开发项目40个707.83公顷，确认增减挂钩项目4批次99.74公顷，确保了新增耕地一亩不假；严格落实“占补平衡”，建设占用耕地398.4公顷，同比减少33.8%，做到了占优补优、占水田补水田；全市耕地面积523.36万亩，是全省上一轮规划唯一耕地保有量达标的市州。我市耕地保护工作获省政府真抓实干督查激励先进单位。</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6" w:firstLineChars="200"/>
              <w:textAlignment w:val="center"/>
              <w:rPr>
                <w:rFonts w:hint="eastAsia" w:ascii="仿宋_GB2312" w:hAnsi="仿宋_GB2312" w:eastAsia="仿宋_GB2312" w:cs="仿宋_GB2312"/>
                <w:b w:val="0"/>
                <w:bCs w:val="0"/>
                <w:color w:val="auto"/>
                <w:spacing w:val="-6"/>
                <w:sz w:val="24"/>
                <w:lang w:val="en-US" w:eastAsia="zh-CN"/>
              </w:rPr>
            </w:pPr>
            <w:r>
              <w:rPr>
                <w:rFonts w:hint="eastAsia" w:ascii="仿宋_GB2312" w:hAnsi="仿宋_GB2312" w:eastAsia="仿宋_GB2312" w:cs="仿宋_GB2312"/>
                <w:b w:val="0"/>
                <w:bCs w:val="0"/>
                <w:color w:val="auto"/>
                <w:spacing w:val="-6"/>
                <w:sz w:val="24"/>
                <w:lang w:val="en-US" w:eastAsia="zh-CN"/>
              </w:rPr>
              <w:t>2、全面强化督查执法。抓实“大棚房”问题专项行动“回头看”、违建别墅清查整治“回头看”、农村乱占耕地建房整治等专项行动，排查“大棚房”新增问题1个，违建别墅问题无新增，制定了《关于进一步明确农村宅基地农用地转用审批责任的意见》，在全省范围内首次明确了农村宅基地农用地转用审批过程中的乡镇属地管理、承办主体责任和部门指导审批、财政资金保障责任，全市乱占耕地建房问题整改率达到100%。报请市政府印发了《关于建立完善违法用地整治工作长效管理机制的通知》，切实做好了月清“三地两矿”、卫片执法检查、例行督察整改等工作，全市违法用地面积、宗数和比例维持5%以内，做到了守土有责、守土负责、守土尽责。</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6" w:firstLineChars="200"/>
              <w:textAlignment w:val="center"/>
              <w:rPr>
                <w:rFonts w:hint="default" w:ascii="仿宋_GB2312" w:hAnsi="仿宋_GB2312" w:eastAsia="仿宋_GB2312" w:cs="仿宋_GB2312"/>
                <w:b w:val="0"/>
                <w:bCs w:val="0"/>
                <w:color w:val="auto"/>
                <w:spacing w:val="-6"/>
                <w:sz w:val="24"/>
                <w:lang w:val="en-US" w:eastAsia="zh-CN"/>
              </w:rPr>
            </w:pPr>
            <w:r>
              <w:rPr>
                <w:rFonts w:hint="eastAsia" w:ascii="仿宋_GB2312" w:hAnsi="仿宋_GB2312" w:eastAsia="仿宋_GB2312" w:cs="仿宋_GB2312"/>
                <w:b w:val="0"/>
                <w:bCs w:val="0"/>
                <w:color w:val="auto"/>
                <w:spacing w:val="-6"/>
                <w:sz w:val="24"/>
                <w:lang w:val="en-US" w:eastAsia="zh-CN"/>
              </w:rPr>
              <w:t>3、做好资源调查工作。完成了耕地后备资源调查和规划划定、城镇低效用地专项调查、农村空心房专项调查、年度国土变更调查等工作，成果上报省厅并通过省级核查。</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8" w:firstLineChars="200"/>
              <w:textAlignment w:val="center"/>
              <w:rPr>
                <w:rFonts w:hint="eastAsia" w:ascii="仿宋_GB2312" w:hAnsi="仿宋_GB2312" w:eastAsia="仿宋_GB2312" w:cs="仿宋_GB2312"/>
                <w:b/>
                <w:bCs/>
                <w:color w:val="auto"/>
                <w:spacing w:val="-6"/>
                <w:sz w:val="24"/>
                <w:lang w:val="en-US" w:eastAsia="zh-CN"/>
              </w:rPr>
            </w:pPr>
            <w:r>
              <w:rPr>
                <w:rFonts w:hint="eastAsia" w:ascii="仿宋_GB2312" w:hAnsi="仿宋_GB2312" w:eastAsia="仿宋_GB2312" w:cs="仿宋_GB2312"/>
                <w:b/>
                <w:bCs/>
                <w:color w:val="auto"/>
                <w:spacing w:val="-6"/>
                <w:sz w:val="24"/>
                <w:lang w:val="en-US" w:eastAsia="zh-CN"/>
              </w:rPr>
              <w:t>（三）科学配置要素，保障经济发展。</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6" w:firstLineChars="200"/>
              <w:textAlignment w:val="center"/>
              <w:rPr>
                <w:rFonts w:hint="eastAsia" w:ascii="仿宋_GB2312" w:hAnsi="仿宋_GB2312" w:eastAsia="仿宋_GB2312" w:cs="仿宋_GB2312"/>
                <w:b w:val="0"/>
                <w:bCs w:val="0"/>
                <w:color w:val="auto"/>
                <w:spacing w:val="-6"/>
                <w:sz w:val="24"/>
                <w:lang w:val="en-US" w:eastAsia="zh-CN"/>
              </w:rPr>
            </w:pPr>
            <w:r>
              <w:rPr>
                <w:rFonts w:hint="eastAsia" w:ascii="仿宋_GB2312" w:hAnsi="仿宋_GB2312" w:eastAsia="仿宋_GB2312" w:cs="仿宋_GB2312"/>
                <w:b w:val="0"/>
                <w:bCs w:val="0"/>
                <w:color w:val="auto"/>
                <w:spacing w:val="-6"/>
                <w:sz w:val="24"/>
                <w:lang w:val="en-US" w:eastAsia="zh-CN"/>
              </w:rPr>
              <w:t>1、强化土地要素保障。围绕岳阳七大千亿产业和“12+1”优势产业链，深入推进土地全生命周期管理，落实“限期供地”“净地出让”，己内酰胺、市中心医院等一大批重大项目顺利落地，截至12月底，全市清零验收121个土地依法征收项目，完成建设用地供应1099宗2811.02公顷，实现土地价款282.62亿元，价款同比增长72.87%，其中市中心城区166.91亿元，同比增长214.27%，追缴往年欠缴土地出让金12.32亿元。</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6" w:firstLineChars="200"/>
              <w:textAlignment w:val="center"/>
              <w:rPr>
                <w:rFonts w:hint="eastAsia" w:ascii="仿宋_GB2312" w:hAnsi="仿宋_GB2312" w:eastAsia="仿宋_GB2312" w:cs="仿宋_GB2312"/>
                <w:b w:val="0"/>
                <w:bCs w:val="0"/>
                <w:color w:val="auto"/>
                <w:spacing w:val="-6"/>
                <w:sz w:val="24"/>
                <w:lang w:val="en-US" w:eastAsia="zh-CN"/>
              </w:rPr>
            </w:pPr>
            <w:r>
              <w:rPr>
                <w:rFonts w:hint="eastAsia" w:ascii="仿宋_GB2312" w:hAnsi="仿宋_GB2312" w:eastAsia="仿宋_GB2312" w:cs="仿宋_GB2312"/>
                <w:b w:val="0"/>
                <w:bCs w:val="0"/>
                <w:color w:val="auto"/>
                <w:spacing w:val="-6"/>
                <w:sz w:val="24"/>
                <w:lang w:val="en-US" w:eastAsia="zh-CN"/>
              </w:rPr>
              <w:t>2、持续优化营商环境。深化建设工程审批制度改革，完善分期验收制度，核发建设用地规划许可36项，建设工程规划许可75项，“多测合一”改革实现全流程、全覆盖。将“标准地+承诺制”和“用地清单制”整合，出台了《关于印发〈岳阳市工程建设项目拿地即开工（社会投资类）实施方案（试行）〉的通知》，2个试点项目顺利实施“拿地即开工”；积极服务园区自贸区建设，提起市政府出台了《岳阳市创建“五好”园区节约集约用地十条措施》，出台了《关于强化中国（湖南）自由贸易区试验区岳阳片区自然资源和规划要素保障的若干措施的通知》，岳阳绿色化工高新技术产业开发区（150万吨/年乙烯炼化一体化项目）调区扩区获省厅支持。</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6" w:firstLineChars="200"/>
              <w:textAlignment w:val="center"/>
              <w:rPr>
                <w:rFonts w:hint="eastAsia" w:ascii="仿宋_GB2312" w:hAnsi="仿宋_GB2312" w:eastAsia="仿宋_GB2312" w:cs="仿宋_GB2312"/>
                <w:b w:val="0"/>
                <w:bCs w:val="0"/>
                <w:color w:val="auto"/>
                <w:spacing w:val="-6"/>
                <w:sz w:val="24"/>
                <w:lang w:eastAsia="zh-CN"/>
              </w:rPr>
            </w:pPr>
            <w:r>
              <w:rPr>
                <w:rFonts w:hint="eastAsia" w:ascii="仿宋_GB2312" w:hAnsi="仿宋_GB2312" w:eastAsia="仿宋_GB2312" w:cs="仿宋_GB2312"/>
                <w:b w:val="0"/>
                <w:bCs w:val="0"/>
                <w:color w:val="auto"/>
                <w:spacing w:val="-6"/>
                <w:sz w:val="24"/>
                <w:lang w:val="en-US" w:eastAsia="zh-CN"/>
              </w:rPr>
              <w:t>3、落实集约节约用地。会同市政府督查室持续开展批而未供、闲置土地处置和“三清单三行动”，处置批而未供土地1357.57公顷，处置闲置土地781.95公顷，完成省厅下达任务；“摘帽”行动处置43宗296.07公顷，处置率99.67%，“净地”攻坚行动处置59宗243.86公顷，处置率87.99%，“执法”行动34宗123.7公顷，处置率100%。</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8" w:firstLineChars="200"/>
              <w:textAlignment w:val="center"/>
              <w:rPr>
                <w:rFonts w:hint="eastAsia" w:ascii="仿宋_GB2312" w:hAnsi="仿宋_GB2312" w:eastAsia="仿宋_GB2312" w:cs="仿宋_GB2312"/>
                <w:b/>
                <w:bCs/>
                <w:color w:val="auto"/>
                <w:spacing w:val="-6"/>
                <w:sz w:val="24"/>
                <w:lang w:eastAsia="zh-CN"/>
              </w:rPr>
            </w:pPr>
            <w:r>
              <w:rPr>
                <w:rFonts w:hint="eastAsia" w:ascii="仿宋_GB2312" w:hAnsi="仿宋_GB2312" w:eastAsia="仿宋_GB2312" w:cs="仿宋_GB2312"/>
                <w:b/>
                <w:bCs/>
                <w:color w:val="auto"/>
                <w:spacing w:val="-6"/>
                <w:sz w:val="24"/>
                <w:lang w:eastAsia="zh-CN"/>
              </w:rPr>
              <w:t>（四）聚焦民生福祉，维护群众权益</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6" w:firstLineChars="200"/>
              <w:textAlignment w:val="center"/>
              <w:rPr>
                <w:rFonts w:hint="eastAsia" w:ascii="仿宋_GB2312" w:hAnsi="仿宋_GB2312" w:eastAsia="仿宋_GB2312" w:cs="仿宋_GB2312"/>
                <w:b w:val="0"/>
                <w:bCs w:val="0"/>
                <w:color w:val="auto"/>
                <w:spacing w:val="-6"/>
                <w:sz w:val="24"/>
                <w:lang w:val="en-US" w:eastAsia="zh-CN"/>
              </w:rPr>
            </w:pPr>
            <w:r>
              <w:rPr>
                <w:rFonts w:hint="eastAsia" w:ascii="仿宋_GB2312" w:hAnsi="仿宋_GB2312" w:eastAsia="仿宋_GB2312" w:cs="仿宋_GB2312"/>
                <w:b w:val="0"/>
                <w:bCs w:val="0"/>
                <w:color w:val="auto"/>
                <w:spacing w:val="-6"/>
                <w:sz w:val="24"/>
                <w:lang w:val="en-US" w:eastAsia="zh-CN"/>
              </w:rPr>
              <w:t>1、扎实开展地灾防治。积极开展防灾避险知识科普宣传和综合演练，全市共举办应急避险演练41次；坚持人防技防相结合，成功避险2起，持续保持地灾隐患点“零死亡”。</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6" w:firstLineChars="200"/>
              <w:textAlignment w:val="center"/>
              <w:rPr>
                <w:rFonts w:hint="eastAsia" w:ascii="仿宋_GB2312" w:hAnsi="仿宋_GB2312" w:eastAsia="仿宋_GB2312" w:cs="仿宋_GB2312"/>
                <w:b w:val="0"/>
                <w:bCs w:val="0"/>
                <w:color w:val="auto"/>
                <w:spacing w:val="-6"/>
                <w:sz w:val="24"/>
                <w:lang w:val="en-US" w:eastAsia="zh-CN"/>
              </w:rPr>
            </w:pPr>
            <w:r>
              <w:rPr>
                <w:rFonts w:hint="eastAsia" w:ascii="仿宋_GB2312" w:hAnsi="仿宋_GB2312" w:eastAsia="仿宋_GB2312" w:cs="仿宋_GB2312"/>
                <w:b w:val="0"/>
                <w:bCs w:val="0"/>
                <w:color w:val="auto"/>
                <w:spacing w:val="-6"/>
                <w:sz w:val="24"/>
                <w:lang w:val="en-US" w:eastAsia="zh-CN"/>
              </w:rPr>
              <w:t>2、提升不动产登记服务。建设不动产交易登记“三个一”服务新模式（一个环节办理、一个平台审核、一个网络贯通），审核效率提升5倍，最快“60分钟”出证；将不动登记“一窗办事”平台延伸至开发企业、中介公司、金融机构、司法机构，推行各类业务“网上办、掌上办、自助办”，实现了“数据多跑路，群众少跑腿”。</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6" w:firstLineChars="200"/>
              <w:textAlignment w:val="center"/>
              <w:rPr>
                <w:rFonts w:hint="eastAsia" w:ascii="仿宋_GB2312" w:hAnsi="仿宋_GB2312" w:eastAsia="仿宋_GB2312" w:cs="仿宋_GB2312"/>
                <w:b w:val="0"/>
                <w:bCs w:val="0"/>
                <w:color w:val="auto"/>
                <w:spacing w:val="-6"/>
                <w:sz w:val="24"/>
                <w:lang w:val="en-US" w:eastAsia="zh-CN"/>
              </w:rPr>
            </w:pPr>
            <w:r>
              <w:rPr>
                <w:rFonts w:hint="eastAsia" w:ascii="仿宋_GB2312" w:hAnsi="仿宋_GB2312" w:eastAsia="仿宋_GB2312" w:cs="仿宋_GB2312"/>
                <w:b w:val="0"/>
                <w:bCs w:val="0"/>
                <w:color w:val="auto"/>
                <w:spacing w:val="-6"/>
                <w:sz w:val="24"/>
                <w:lang w:val="en-US" w:eastAsia="zh-CN"/>
              </w:rPr>
              <w:t>3、保障购房群众合法权益。全市87个房地产办证信访突出问题化解82个，化解率94.25%，各县市区均出台了《新建商品房“交房即交证”改革工作方案》，并选取了开发项目进行改革试点，做到了“交房即交证”改革工作全覆盖，省厅考评获满分成绩。</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6" w:firstLineChars="200"/>
              <w:textAlignment w:val="center"/>
              <w:rPr>
                <w:rFonts w:hint="default" w:ascii="仿宋_GB2312" w:hAnsi="仿宋_GB2312" w:eastAsia="仿宋_GB2312" w:cs="仿宋_GB2312"/>
                <w:b w:val="0"/>
                <w:bCs w:val="0"/>
                <w:color w:val="auto"/>
                <w:spacing w:val="-6"/>
                <w:sz w:val="24"/>
                <w:lang w:val="en-US" w:eastAsia="zh-CN"/>
              </w:rPr>
            </w:pPr>
            <w:r>
              <w:rPr>
                <w:rFonts w:hint="eastAsia" w:ascii="仿宋_GB2312" w:hAnsi="仿宋_GB2312" w:eastAsia="仿宋_GB2312" w:cs="仿宋_GB2312"/>
                <w:b w:val="0"/>
                <w:bCs w:val="0"/>
                <w:color w:val="auto"/>
                <w:spacing w:val="-6"/>
                <w:sz w:val="24"/>
                <w:lang w:val="en-US" w:eastAsia="zh-CN"/>
              </w:rPr>
              <w:t>4、完成禁拆治违整治行动。全市拆违216.71万㎡，集中整治了一批存在安全隐患、破坏生态环境、群众意见强烈的违法建设，构建了禁违拆违治违长效工作机制，真正形成“不敢违、不能违、不想违”的社会氛围。</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8" w:firstLineChars="200"/>
              <w:textAlignment w:val="center"/>
              <w:rPr>
                <w:rFonts w:hint="eastAsia" w:ascii="仿宋_GB2312" w:hAnsi="仿宋_GB2312" w:eastAsia="仿宋_GB2312" w:cs="仿宋_GB2312"/>
                <w:b/>
                <w:bCs/>
                <w:color w:val="auto"/>
                <w:spacing w:val="-6"/>
                <w:sz w:val="24"/>
                <w:lang w:val="en-US" w:eastAsia="zh-CN"/>
              </w:rPr>
            </w:pPr>
            <w:r>
              <w:rPr>
                <w:rFonts w:hint="eastAsia" w:ascii="仿宋_GB2312" w:hAnsi="仿宋_GB2312" w:eastAsia="仿宋_GB2312" w:cs="仿宋_GB2312"/>
                <w:b/>
                <w:bCs/>
                <w:color w:val="auto"/>
                <w:spacing w:val="-6"/>
                <w:sz w:val="24"/>
                <w:lang w:val="en-US" w:eastAsia="zh-CN"/>
              </w:rPr>
              <w:t>（五）强化基础支撑，提升软硬实力</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6" w:firstLineChars="200"/>
              <w:textAlignment w:val="center"/>
              <w:rPr>
                <w:rFonts w:hint="eastAsia" w:ascii="仿宋_GB2312" w:hAnsi="仿宋_GB2312" w:eastAsia="仿宋_GB2312" w:cs="仿宋_GB2312"/>
                <w:b w:val="0"/>
                <w:bCs w:val="0"/>
                <w:color w:val="auto"/>
                <w:spacing w:val="-6"/>
                <w:sz w:val="24"/>
                <w:lang w:val="en-US" w:eastAsia="zh-CN"/>
              </w:rPr>
            </w:pPr>
            <w:r>
              <w:rPr>
                <w:rFonts w:hint="eastAsia" w:ascii="仿宋_GB2312" w:hAnsi="仿宋_GB2312" w:eastAsia="仿宋_GB2312" w:cs="仿宋_GB2312"/>
                <w:b w:val="0"/>
                <w:bCs w:val="0"/>
                <w:color w:val="auto"/>
                <w:spacing w:val="-6"/>
                <w:sz w:val="24"/>
                <w:lang w:val="en-US" w:eastAsia="zh-CN"/>
              </w:rPr>
              <w:t>1、深化机构改革。</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6" w:firstLineChars="200"/>
              <w:textAlignment w:val="center"/>
              <w:rPr>
                <w:rFonts w:hint="eastAsia" w:ascii="仿宋_GB2312" w:hAnsi="仿宋_GB2312" w:eastAsia="仿宋_GB2312" w:cs="仿宋_GB2312"/>
                <w:b w:val="0"/>
                <w:bCs w:val="0"/>
                <w:color w:val="auto"/>
                <w:spacing w:val="-6"/>
                <w:sz w:val="24"/>
                <w:lang w:val="en-US" w:eastAsia="zh-CN"/>
              </w:rPr>
            </w:pPr>
            <w:r>
              <w:rPr>
                <w:rFonts w:hint="eastAsia" w:ascii="仿宋_GB2312" w:hAnsi="仿宋_GB2312" w:eastAsia="仿宋_GB2312" w:cs="仿宋_GB2312"/>
                <w:b w:val="0"/>
                <w:bCs w:val="0"/>
                <w:color w:val="auto"/>
                <w:spacing w:val="-6"/>
                <w:sz w:val="24"/>
                <w:lang w:val="en-US" w:eastAsia="zh-CN"/>
              </w:rPr>
              <w:t>2、强化人才培养。</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6" w:firstLineChars="200"/>
              <w:textAlignment w:val="center"/>
              <w:rPr>
                <w:rFonts w:hint="eastAsia" w:ascii="仿宋_GB2312" w:hAnsi="仿宋_GB2312" w:eastAsia="仿宋_GB2312" w:cs="仿宋_GB2312"/>
                <w:b w:val="0"/>
                <w:bCs w:val="0"/>
                <w:color w:val="auto"/>
                <w:spacing w:val="-6"/>
                <w:sz w:val="24"/>
                <w:lang w:val="en-US" w:eastAsia="zh-CN"/>
              </w:rPr>
            </w:pPr>
            <w:r>
              <w:rPr>
                <w:rFonts w:hint="eastAsia" w:ascii="仿宋_GB2312" w:hAnsi="仿宋_GB2312" w:eastAsia="仿宋_GB2312" w:cs="仿宋_GB2312"/>
                <w:b w:val="0"/>
                <w:bCs w:val="0"/>
                <w:color w:val="auto"/>
                <w:spacing w:val="-6"/>
                <w:sz w:val="24"/>
                <w:lang w:val="en-US" w:eastAsia="zh-CN"/>
              </w:rPr>
              <w:t>3、推进信息化建设。</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6" w:firstLineChars="200"/>
              <w:textAlignment w:val="center"/>
              <w:rPr>
                <w:rFonts w:hint="eastAsia" w:ascii="仿宋_GB2312" w:hAnsi="仿宋_GB2312" w:eastAsia="仿宋_GB2312" w:cs="仿宋_GB2312"/>
                <w:b w:val="0"/>
                <w:bCs w:val="0"/>
                <w:color w:val="auto"/>
                <w:spacing w:val="-6"/>
                <w:sz w:val="24"/>
                <w:lang w:val="en-US" w:eastAsia="zh-CN"/>
              </w:rPr>
            </w:pPr>
            <w:r>
              <w:rPr>
                <w:rFonts w:hint="eastAsia" w:ascii="仿宋_GB2312" w:hAnsi="仿宋_GB2312" w:eastAsia="仿宋_GB2312" w:cs="仿宋_GB2312"/>
                <w:b w:val="0"/>
                <w:bCs w:val="0"/>
                <w:color w:val="auto"/>
                <w:spacing w:val="-6"/>
                <w:sz w:val="24"/>
                <w:lang w:val="en-US" w:eastAsia="zh-CN"/>
              </w:rPr>
              <w:t>4、抓实信访维稳。</w:t>
            </w:r>
          </w:p>
          <w:p>
            <w:pPr>
              <w:keepNext w:val="0"/>
              <w:keepLines w:val="0"/>
              <w:pageBreakBefore w:val="0"/>
              <w:widowControl w:val="0"/>
              <w:numPr>
                <w:ilvl w:val="0"/>
                <w:numId w:val="0"/>
              </w:numPr>
              <w:kinsoku/>
              <w:wordWrap/>
              <w:overflowPunct/>
              <w:topLinePunct w:val="0"/>
              <w:autoSpaceDE/>
              <w:autoSpaceDN w:val="0"/>
              <w:bidi w:val="0"/>
              <w:adjustRightInd/>
              <w:snapToGrid/>
              <w:spacing w:line="320" w:lineRule="exact"/>
              <w:ind w:firstLine="458" w:firstLineChars="200"/>
              <w:textAlignment w:val="center"/>
              <w:rPr>
                <w:rFonts w:hint="eastAsia" w:ascii="仿宋_GB2312" w:hAnsi="仿宋_GB2312" w:eastAsia="仿宋_GB2312" w:cs="仿宋_GB2312"/>
                <w:b/>
                <w:bCs/>
                <w:color w:val="auto"/>
                <w:spacing w:val="-6"/>
                <w:sz w:val="24"/>
                <w:lang w:val="en-US" w:eastAsia="zh-CN"/>
              </w:rPr>
            </w:pPr>
            <w:r>
              <w:rPr>
                <w:rFonts w:hint="eastAsia" w:ascii="仿宋_GB2312" w:hAnsi="仿宋_GB2312" w:eastAsia="仿宋_GB2312" w:cs="仿宋_GB2312"/>
                <w:b/>
                <w:bCs/>
                <w:color w:val="auto"/>
                <w:spacing w:val="-6"/>
                <w:sz w:val="24"/>
                <w:lang w:val="en-US" w:eastAsia="zh-CN"/>
              </w:rPr>
              <w:t>（六）坚持党建引领，筑牢廉洁底线</w:t>
            </w:r>
          </w:p>
          <w:p>
            <w:pPr>
              <w:numPr>
                <w:ilvl w:val="0"/>
                <w:numId w:val="0"/>
              </w:numPr>
              <w:autoSpaceDN w:val="0"/>
              <w:spacing w:line="320" w:lineRule="exact"/>
              <w:ind w:firstLine="432"/>
              <w:textAlignment w:val="center"/>
              <w:rPr>
                <w:rFonts w:hint="eastAsia" w:ascii="仿宋_GB2312" w:hAnsi="仿宋_GB2312" w:eastAsia="仿宋_GB2312" w:cs="仿宋_GB2312"/>
                <w:b w:val="0"/>
                <w:bCs w:val="0"/>
                <w:color w:val="auto"/>
                <w:spacing w:val="-6"/>
                <w:sz w:val="24"/>
                <w:lang w:val="en-US" w:eastAsia="zh-CN"/>
              </w:rPr>
            </w:pPr>
            <w:r>
              <w:rPr>
                <w:rFonts w:hint="eastAsia" w:ascii="仿宋_GB2312" w:hAnsi="仿宋_GB2312" w:eastAsia="仿宋_GB2312" w:cs="仿宋_GB2312"/>
                <w:b w:val="0"/>
                <w:bCs w:val="0"/>
                <w:color w:val="auto"/>
                <w:spacing w:val="-6"/>
                <w:sz w:val="24"/>
                <w:lang w:val="en-US" w:eastAsia="zh-CN"/>
              </w:rPr>
              <w:t>1、站稳政治立场。</w:t>
            </w:r>
          </w:p>
          <w:p>
            <w:pPr>
              <w:numPr>
                <w:ilvl w:val="0"/>
                <w:numId w:val="0"/>
              </w:numPr>
              <w:autoSpaceDN w:val="0"/>
              <w:spacing w:line="320" w:lineRule="exact"/>
              <w:ind w:firstLine="432"/>
              <w:textAlignment w:val="center"/>
              <w:rPr>
                <w:rFonts w:hint="eastAsia" w:ascii="仿宋_GB2312" w:hAnsi="仿宋_GB2312" w:eastAsia="仿宋_GB2312" w:cs="仿宋_GB2312"/>
                <w:b w:val="0"/>
                <w:bCs w:val="0"/>
                <w:color w:val="auto"/>
                <w:spacing w:val="-6"/>
                <w:sz w:val="24"/>
                <w:lang w:val="en-US" w:eastAsia="zh-CN"/>
              </w:rPr>
            </w:pPr>
            <w:r>
              <w:rPr>
                <w:rFonts w:hint="eastAsia" w:ascii="仿宋_GB2312" w:hAnsi="仿宋_GB2312" w:eastAsia="仿宋_GB2312" w:cs="仿宋_GB2312"/>
                <w:b w:val="0"/>
                <w:bCs w:val="0"/>
                <w:color w:val="auto"/>
                <w:spacing w:val="-6"/>
                <w:sz w:val="24"/>
                <w:lang w:val="en-US" w:eastAsia="zh-CN"/>
              </w:rPr>
              <w:t>2、巩固基层党建。</w:t>
            </w:r>
          </w:p>
          <w:p>
            <w:pPr>
              <w:numPr>
                <w:ilvl w:val="0"/>
                <w:numId w:val="0"/>
              </w:numPr>
              <w:autoSpaceDN w:val="0"/>
              <w:spacing w:line="320" w:lineRule="exact"/>
              <w:ind w:firstLine="432"/>
              <w:textAlignment w:val="center"/>
              <w:rPr>
                <w:rFonts w:hint="eastAsia" w:ascii="仿宋_GB2312" w:hAnsi="仿宋_GB2312" w:eastAsia="仿宋_GB2312" w:cs="仿宋_GB2312"/>
                <w:b w:val="0"/>
                <w:bCs w:val="0"/>
                <w:color w:val="auto"/>
                <w:spacing w:val="-6"/>
                <w:sz w:val="24"/>
                <w:lang w:val="en-US" w:eastAsia="zh-CN"/>
              </w:rPr>
            </w:pPr>
            <w:r>
              <w:rPr>
                <w:rFonts w:hint="eastAsia" w:ascii="仿宋_GB2312" w:hAnsi="仿宋_GB2312" w:eastAsia="仿宋_GB2312" w:cs="仿宋_GB2312"/>
                <w:b w:val="0"/>
                <w:bCs w:val="0"/>
                <w:color w:val="auto"/>
                <w:spacing w:val="-6"/>
                <w:sz w:val="24"/>
                <w:lang w:val="en-US" w:eastAsia="zh-CN"/>
              </w:rPr>
              <w:t>3、狠抓意识形态。</w:t>
            </w:r>
          </w:p>
          <w:p>
            <w:pPr>
              <w:numPr>
                <w:ilvl w:val="0"/>
                <w:numId w:val="0"/>
              </w:numPr>
              <w:autoSpaceDN w:val="0"/>
              <w:spacing w:line="320" w:lineRule="exact"/>
              <w:ind w:firstLine="432"/>
              <w:textAlignment w:val="center"/>
              <w:rPr>
                <w:rFonts w:hint="default" w:ascii="仿宋_GB2312" w:hAnsi="仿宋_GB2312" w:eastAsia="仿宋_GB2312" w:cs="仿宋_GB2312"/>
                <w:color w:val="E36C09"/>
                <w:spacing w:val="-6"/>
                <w:sz w:val="24"/>
                <w:lang w:val="en-US" w:eastAsia="zh-CN"/>
              </w:rPr>
            </w:pPr>
            <w:r>
              <w:rPr>
                <w:rFonts w:hint="eastAsia" w:ascii="仿宋_GB2312" w:hAnsi="仿宋_GB2312" w:eastAsia="仿宋_GB2312" w:cs="仿宋_GB2312"/>
                <w:b w:val="0"/>
                <w:bCs w:val="0"/>
                <w:color w:val="auto"/>
                <w:spacing w:val="-6"/>
                <w:sz w:val="24"/>
                <w:lang w:val="en-US" w:eastAsia="zh-CN"/>
              </w:rPr>
              <w:t>4、加强廉政建设。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90" w:hRule="atLeast"/>
          <w:jc w:val="center"/>
        </w:trPr>
        <w:tc>
          <w:tcPr>
            <w:tcW w:w="9974" w:type="dxa"/>
            <w:gridSpan w:val="26"/>
            <w:noWrap w:val="0"/>
            <w:vAlign w:val="center"/>
          </w:tcPr>
          <w:p>
            <w:pPr>
              <w:autoSpaceDN w:val="0"/>
              <w:spacing w:line="320" w:lineRule="exact"/>
              <w:ind w:firstLine="2800" w:firstLineChars="1000"/>
              <w:jc w:val="both"/>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w:t>
            </w:r>
            <w:r>
              <w:rPr>
                <w:rFonts w:hint="eastAsia" w:ascii="黑体" w:hAnsi="黑体" w:eastAsia="黑体" w:cs="黑体"/>
                <w:b/>
                <w:bCs/>
                <w:color w:val="auto"/>
                <w:sz w:val="28"/>
                <w:szCs w:val="28"/>
              </w:rPr>
              <w:t>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95" w:hRule="atLeast"/>
          <w:jc w:val="center"/>
        </w:trPr>
        <w:tc>
          <w:tcPr>
            <w:tcW w:w="9974" w:type="dxa"/>
            <w:gridSpan w:val="26"/>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rPr>
            </w:pPr>
            <w:r>
              <w:rPr>
                <w:rStyle w:val="11"/>
                <w:rFonts w:hAnsi="宋体"/>
                <w:lang w:val="en-US" w:eastAsia="zh-CN" w:bidi="ar"/>
              </w:rPr>
              <w:t>年度</w:t>
            </w:r>
            <w:r>
              <w:rPr>
                <w:rStyle w:val="12"/>
                <w:rFonts w:hAnsi="宋体"/>
                <w:lang w:val="en-US" w:eastAsia="zh-CN" w:bidi="ar"/>
              </w:rPr>
              <w:t>收入</w:t>
            </w:r>
            <w:r>
              <w:rPr>
                <w:rStyle w:val="11"/>
                <w:rFonts w:hAnsi="宋体"/>
                <w:lang w:val="en-US" w:eastAsia="zh-CN" w:bidi="ar"/>
              </w:rPr>
              <w:t>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9" w:hRule="atLeast"/>
          <w:jc w:val="center"/>
        </w:trPr>
        <w:tc>
          <w:tcPr>
            <w:tcW w:w="1424" w:type="dxa"/>
            <w:gridSpan w:val="5"/>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default" w:ascii="仿宋_GB2312" w:hAnsi="宋体" w:eastAsia="仿宋_GB2312" w:cs="仿宋_GB2312"/>
                <w:i w:val="0"/>
                <w:iCs w:val="0"/>
                <w:color w:val="000000"/>
                <w:kern w:val="0"/>
                <w:sz w:val="24"/>
                <w:szCs w:val="24"/>
                <w:u w:val="none"/>
                <w:lang w:val="en-US" w:eastAsia="zh-CN" w:bidi="ar"/>
              </w:rPr>
              <w:t>机构名称</w:t>
            </w:r>
          </w:p>
        </w:tc>
        <w:tc>
          <w:tcPr>
            <w:tcW w:w="1425" w:type="dxa"/>
            <w:gridSpan w:val="4"/>
            <w:vMerge w:val="restart"/>
            <w:tcBorders>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default" w:ascii="仿宋_GB2312" w:hAnsi="宋体" w:eastAsia="仿宋_GB2312" w:cs="仿宋_GB2312"/>
                <w:i w:val="0"/>
                <w:iCs w:val="0"/>
                <w:color w:val="000000"/>
                <w:kern w:val="0"/>
                <w:sz w:val="24"/>
                <w:szCs w:val="24"/>
                <w:u w:val="none"/>
                <w:lang w:val="en-US" w:eastAsia="zh-CN" w:bidi="ar"/>
              </w:rPr>
              <w:t>收入合计</w:t>
            </w:r>
          </w:p>
        </w:tc>
        <w:tc>
          <w:tcPr>
            <w:tcW w:w="7125" w:type="dxa"/>
            <w:gridSpan w:val="17"/>
            <w:tcBorders>
              <w:lef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default" w:ascii="仿宋_GB2312" w:hAnsi="宋体" w:eastAsia="仿宋_GB2312" w:cs="仿宋_GB2312"/>
                <w:i w:val="0"/>
                <w:iCs w:val="0"/>
                <w:color w:val="000000"/>
                <w:kern w:val="0"/>
                <w:sz w:val="24"/>
                <w:szCs w:val="24"/>
                <w:u w:val="none"/>
                <w:lang w:val="en-US" w:eastAsia="zh-CN" w:bidi="ar"/>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16" w:hRule="atLeast"/>
          <w:jc w:val="center"/>
        </w:trPr>
        <w:tc>
          <w:tcPr>
            <w:tcW w:w="1424" w:type="dxa"/>
            <w:gridSpan w:val="5"/>
            <w:vMerge w:val="continue"/>
            <w:noWrap w:val="0"/>
            <w:vAlign w:val="center"/>
          </w:tcPr>
          <w:p>
            <w:pPr>
              <w:jc w:val="center"/>
              <w:rPr>
                <w:rFonts w:hint="eastAsia" w:ascii="仿宋_GB2312" w:hAnsi="仿宋_GB2312" w:eastAsia="仿宋_GB2312" w:cs="仿宋_GB2312"/>
                <w:color w:val="000000"/>
                <w:sz w:val="24"/>
                <w:szCs w:val="24"/>
              </w:rPr>
            </w:pPr>
          </w:p>
        </w:tc>
        <w:tc>
          <w:tcPr>
            <w:tcW w:w="1425" w:type="dxa"/>
            <w:gridSpan w:val="4"/>
            <w:vMerge w:val="continue"/>
            <w:tcBorders>
              <w:right w:val="single" w:color="auto" w:sz="4" w:space="0"/>
            </w:tcBorders>
            <w:noWrap w:val="0"/>
            <w:vAlign w:val="center"/>
          </w:tcPr>
          <w:p>
            <w:pPr>
              <w:jc w:val="center"/>
              <w:rPr>
                <w:rFonts w:hint="eastAsia" w:ascii="仿宋_GB2312" w:hAnsi="仿宋_GB2312" w:eastAsia="仿宋_GB2312" w:cs="仿宋_GB2312"/>
                <w:color w:val="000000"/>
                <w:sz w:val="24"/>
                <w:szCs w:val="24"/>
              </w:rPr>
            </w:pPr>
          </w:p>
        </w:tc>
        <w:tc>
          <w:tcPr>
            <w:tcW w:w="1425" w:type="dxa"/>
            <w:gridSpan w:val="3"/>
            <w:tcBorders>
              <w:lef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default" w:ascii="仿宋_GB2312" w:hAnsi="宋体" w:eastAsia="仿宋_GB2312" w:cs="仿宋_GB2312"/>
                <w:i w:val="0"/>
                <w:iCs w:val="0"/>
                <w:color w:val="000000"/>
                <w:kern w:val="0"/>
                <w:sz w:val="24"/>
                <w:szCs w:val="24"/>
                <w:u w:val="none"/>
                <w:lang w:val="en-US" w:eastAsia="zh-CN" w:bidi="ar"/>
              </w:rPr>
              <w:t>上年结转</w:t>
            </w:r>
          </w:p>
        </w:tc>
        <w:tc>
          <w:tcPr>
            <w:tcW w:w="1425" w:type="dxa"/>
            <w:gridSpan w:val="5"/>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default" w:ascii="仿宋_GB2312" w:hAnsi="宋体" w:eastAsia="仿宋_GB2312" w:cs="仿宋_GB2312"/>
                <w:i w:val="0"/>
                <w:iCs w:val="0"/>
                <w:color w:val="000000"/>
                <w:kern w:val="0"/>
                <w:sz w:val="24"/>
                <w:szCs w:val="24"/>
                <w:u w:val="none"/>
                <w:lang w:val="en-US" w:eastAsia="zh-CN" w:bidi="ar"/>
              </w:rPr>
              <w:t>公共财政拨款</w:t>
            </w:r>
          </w:p>
        </w:tc>
        <w:tc>
          <w:tcPr>
            <w:tcW w:w="1425"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default" w:ascii="仿宋_GB2312" w:hAnsi="宋体" w:eastAsia="仿宋_GB2312" w:cs="仿宋_GB2312"/>
                <w:i w:val="0"/>
                <w:iCs w:val="0"/>
                <w:color w:val="000000"/>
                <w:kern w:val="0"/>
                <w:sz w:val="24"/>
                <w:szCs w:val="24"/>
                <w:u w:val="none"/>
                <w:lang w:val="en-US" w:eastAsia="zh-CN" w:bidi="ar"/>
              </w:rPr>
              <w:t>政府基金拨款</w:t>
            </w:r>
          </w:p>
        </w:tc>
        <w:tc>
          <w:tcPr>
            <w:tcW w:w="1425" w:type="dxa"/>
            <w:gridSpan w:val="4"/>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default" w:ascii="仿宋_GB2312" w:hAnsi="宋体" w:eastAsia="仿宋_GB2312" w:cs="仿宋_GB2312"/>
                <w:i w:val="0"/>
                <w:iCs w:val="0"/>
                <w:color w:val="000000"/>
                <w:kern w:val="0"/>
                <w:sz w:val="24"/>
                <w:szCs w:val="24"/>
                <w:u w:val="none"/>
                <w:lang w:val="en-US" w:eastAsia="zh-CN" w:bidi="ar"/>
              </w:rPr>
              <w:t>纳入专户管理的非税收入拨款</w:t>
            </w:r>
          </w:p>
        </w:tc>
        <w:tc>
          <w:tcPr>
            <w:tcW w:w="1425" w:type="dxa"/>
            <w:gridSpan w:val="3"/>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default" w:ascii="仿宋_GB2312" w:hAnsi="宋体" w:eastAsia="仿宋_GB2312" w:cs="仿宋_GB2312"/>
                <w:i w:val="0"/>
                <w:iCs w:val="0"/>
                <w:color w:val="000000"/>
                <w:kern w:val="0"/>
                <w:sz w:val="24"/>
                <w:szCs w:val="24"/>
                <w:u w:val="none"/>
                <w:lang w:val="en-US" w:eastAsia="zh-CN" w:bidi="ar"/>
              </w:rPr>
              <w:t>其他收入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42" w:hRule="atLeast"/>
          <w:jc w:val="center"/>
        </w:trPr>
        <w:tc>
          <w:tcPr>
            <w:tcW w:w="1424" w:type="dxa"/>
            <w:gridSpan w:val="5"/>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sz w:val="24"/>
                <w:szCs w:val="24"/>
              </w:rPr>
            </w:pPr>
            <w:r>
              <w:rPr>
                <w:rFonts w:hint="default" w:ascii="仿宋_GB2312" w:hAnsi="宋体" w:eastAsia="仿宋_GB2312" w:cs="仿宋_GB2312"/>
                <w:b/>
                <w:bCs/>
                <w:i w:val="0"/>
                <w:iCs w:val="0"/>
                <w:color w:val="000000"/>
                <w:kern w:val="0"/>
                <w:sz w:val="24"/>
                <w:szCs w:val="24"/>
                <w:u w:val="none"/>
                <w:lang w:val="en-US" w:eastAsia="zh-CN" w:bidi="ar"/>
              </w:rPr>
              <w:t>岳阳市自然资源和规划局</w:t>
            </w:r>
          </w:p>
        </w:tc>
        <w:tc>
          <w:tcPr>
            <w:tcW w:w="1425" w:type="dxa"/>
            <w:gridSpan w:val="4"/>
            <w:tcBorders>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sz w:val="20"/>
                <w:szCs w:val="20"/>
                <w:highlight w:val="none"/>
                <w:lang w:val="en-US" w:eastAsia="zh-CN"/>
              </w:rPr>
            </w:pPr>
            <w:r>
              <w:rPr>
                <w:rFonts w:hint="default" w:ascii="Times New Roman" w:hAnsi="Times New Roman" w:eastAsia="宋体" w:cs="Times New Roman"/>
                <w:b/>
                <w:bCs/>
                <w:i w:val="0"/>
                <w:iCs w:val="0"/>
                <w:color w:val="000000"/>
                <w:kern w:val="0"/>
                <w:sz w:val="20"/>
                <w:szCs w:val="20"/>
                <w:u w:val="none"/>
                <w:lang w:val="en-US" w:eastAsia="zh-CN" w:bidi="ar"/>
              </w:rPr>
              <w:t>14,679.66</w:t>
            </w:r>
          </w:p>
        </w:tc>
        <w:tc>
          <w:tcPr>
            <w:tcW w:w="1425" w:type="dxa"/>
            <w:gridSpan w:val="3"/>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sz w:val="20"/>
                <w:szCs w:val="20"/>
                <w:highlight w:val="none"/>
                <w:lang w:val="en-US" w:eastAsia="zh-CN"/>
              </w:rPr>
            </w:pPr>
            <w:r>
              <w:rPr>
                <w:rFonts w:hint="default" w:ascii="Times New Roman" w:hAnsi="Times New Roman" w:eastAsia="宋体" w:cs="Times New Roman"/>
                <w:b/>
                <w:bCs/>
                <w:i w:val="0"/>
                <w:iCs w:val="0"/>
                <w:color w:val="000000"/>
                <w:kern w:val="0"/>
                <w:sz w:val="20"/>
                <w:szCs w:val="20"/>
                <w:u w:val="none"/>
                <w:lang w:val="en-US" w:eastAsia="zh-CN" w:bidi="ar"/>
              </w:rPr>
              <w:t>5,783.22</w:t>
            </w:r>
          </w:p>
        </w:tc>
        <w:tc>
          <w:tcPr>
            <w:tcW w:w="1425" w:type="dxa"/>
            <w:gridSpan w:val="5"/>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sz w:val="20"/>
                <w:szCs w:val="20"/>
                <w:highlight w:val="none"/>
                <w:lang w:val="en-US" w:eastAsia="zh-CN"/>
              </w:rPr>
            </w:pPr>
            <w:r>
              <w:rPr>
                <w:rFonts w:hint="default" w:ascii="Times New Roman" w:hAnsi="Times New Roman" w:eastAsia="宋体" w:cs="Times New Roman"/>
                <w:b/>
                <w:bCs/>
                <w:i w:val="0"/>
                <w:iCs w:val="0"/>
                <w:color w:val="000000"/>
                <w:kern w:val="0"/>
                <w:sz w:val="20"/>
                <w:szCs w:val="20"/>
                <w:u w:val="none"/>
                <w:lang w:val="en-US" w:eastAsia="zh-CN" w:bidi="ar"/>
              </w:rPr>
              <w:t>8,258.88</w:t>
            </w:r>
          </w:p>
        </w:tc>
        <w:tc>
          <w:tcPr>
            <w:tcW w:w="1425" w:type="dxa"/>
            <w:gridSpan w:val="2"/>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sz w:val="20"/>
                <w:szCs w:val="20"/>
                <w:highlight w:val="none"/>
                <w:lang w:val="en-US" w:eastAsia="zh-CN"/>
              </w:rPr>
            </w:pPr>
            <w:r>
              <w:rPr>
                <w:rFonts w:hint="default" w:ascii="Times New Roman" w:hAnsi="Times New Roman" w:eastAsia="宋体" w:cs="Times New Roman"/>
                <w:b/>
                <w:bCs/>
                <w:i w:val="0"/>
                <w:iCs w:val="0"/>
                <w:color w:val="000000"/>
                <w:kern w:val="0"/>
                <w:sz w:val="20"/>
                <w:szCs w:val="20"/>
                <w:u w:val="none"/>
                <w:lang w:val="en-US" w:eastAsia="zh-CN" w:bidi="ar"/>
              </w:rPr>
              <w:t>81.57</w:t>
            </w:r>
          </w:p>
        </w:tc>
        <w:tc>
          <w:tcPr>
            <w:tcW w:w="1425" w:type="dxa"/>
            <w:gridSpan w:val="4"/>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sz w:val="20"/>
                <w:szCs w:val="20"/>
                <w:highlight w:val="none"/>
                <w:lang w:val="en-US" w:eastAsia="zh-CN"/>
              </w:rPr>
            </w:pPr>
            <w:r>
              <w:rPr>
                <w:rFonts w:hint="default" w:ascii="Times New Roman" w:hAnsi="Times New Roman" w:eastAsia="宋体" w:cs="Times New Roman"/>
                <w:b/>
                <w:bCs/>
                <w:i w:val="0"/>
                <w:iCs w:val="0"/>
                <w:color w:val="000000"/>
                <w:kern w:val="0"/>
                <w:sz w:val="20"/>
                <w:szCs w:val="20"/>
                <w:u w:val="none"/>
                <w:lang w:val="en-US" w:eastAsia="zh-CN" w:bidi="ar"/>
              </w:rPr>
              <w:t>0.00</w:t>
            </w:r>
          </w:p>
        </w:tc>
        <w:tc>
          <w:tcPr>
            <w:tcW w:w="1425" w:type="dxa"/>
            <w:gridSpan w:val="3"/>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sz w:val="20"/>
                <w:szCs w:val="20"/>
                <w:highlight w:val="yellow"/>
                <w:lang w:val="en-US" w:eastAsia="zh-CN"/>
              </w:rPr>
            </w:pPr>
            <w:r>
              <w:rPr>
                <w:rFonts w:hint="default" w:ascii="Times New Roman" w:hAnsi="Times New Roman" w:eastAsia="宋体" w:cs="Times New Roman"/>
                <w:b/>
                <w:bCs/>
                <w:i w:val="0"/>
                <w:iCs w:val="0"/>
                <w:color w:val="000000"/>
                <w:kern w:val="0"/>
                <w:sz w:val="20"/>
                <w:szCs w:val="20"/>
                <w:u w:val="none"/>
                <w:lang w:val="en-US" w:eastAsia="zh-CN" w:bidi="ar"/>
              </w:rPr>
              <w:t>555.99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42" w:hRule="atLeast"/>
          <w:jc w:val="center"/>
        </w:trPr>
        <w:tc>
          <w:tcPr>
            <w:tcW w:w="1424" w:type="dxa"/>
            <w:gridSpan w:val="5"/>
            <w:noWrap w:val="0"/>
            <w:vAlign w:val="center"/>
          </w:tcPr>
          <w:p>
            <w:pPr>
              <w:keepNext w:val="0"/>
              <w:keepLines w:val="0"/>
              <w:widowControl/>
              <w:suppressLineNumbers w:val="0"/>
              <w:jc w:val="both"/>
              <w:textAlignment w:val="center"/>
              <w:rPr>
                <w:rFonts w:hint="eastAsia" w:ascii="仿宋_GB2312" w:hAnsi="仿宋_GB2312" w:eastAsia="仿宋_GB2312" w:cs="仿宋_GB2312"/>
                <w:b/>
                <w:bCs/>
                <w:color w:val="000000"/>
                <w:sz w:val="24"/>
                <w:szCs w:val="24"/>
                <w:lang w:eastAsia="zh-CN"/>
              </w:rPr>
            </w:pPr>
            <w:r>
              <w:rPr>
                <w:rFonts w:hint="default" w:ascii="仿宋_GB2312" w:hAnsi="宋体" w:eastAsia="仿宋_GB2312" w:cs="仿宋_GB2312"/>
                <w:b/>
                <w:bCs/>
                <w:i w:val="0"/>
                <w:iCs w:val="0"/>
                <w:color w:val="000000"/>
                <w:kern w:val="0"/>
                <w:sz w:val="24"/>
                <w:szCs w:val="24"/>
                <w:u w:val="none"/>
                <w:lang w:val="en-US" w:eastAsia="zh-CN" w:bidi="ar"/>
              </w:rPr>
              <w:t>1、局机关（本级）</w:t>
            </w:r>
          </w:p>
        </w:tc>
        <w:tc>
          <w:tcPr>
            <w:tcW w:w="1425" w:type="dxa"/>
            <w:gridSpan w:val="4"/>
            <w:tcBorders>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sz w:val="20"/>
                <w:szCs w:val="20"/>
                <w:highlight w:val="none"/>
                <w:lang w:val="en-US" w:eastAsia="zh-CN"/>
              </w:rPr>
            </w:pPr>
            <w:r>
              <w:rPr>
                <w:rFonts w:hint="default" w:ascii="Times New Roman" w:hAnsi="Times New Roman" w:eastAsia="宋体" w:cs="Times New Roman"/>
                <w:b/>
                <w:bCs/>
                <w:i w:val="0"/>
                <w:iCs w:val="0"/>
                <w:color w:val="000000"/>
                <w:kern w:val="0"/>
                <w:sz w:val="20"/>
                <w:szCs w:val="20"/>
                <w:u w:val="none"/>
                <w:lang w:val="en-US" w:eastAsia="zh-CN" w:bidi="ar"/>
              </w:rPr>
              <w:t>8,218.83</w:t>
            </w:r>
          </w:p>
        </w:tc>
        <w:tc>
          <w:tcPr>
            <w:tcW w:w="1425" w:type="dxa"/>
            <w:gridSpan w:val="3"/>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sz w:val="20"/>
                <w:szCs w:val="20"/>
                <w:highlight w:val="none"/>
                <w:lang w:val="en-US" w:eastAsia="zh-CN"/>
              </w:rPr>
            </w:pPr>
            <w:r>
              <w:rPr>
                <w:rFonts w:hint="default" w:ascii="Times New Roman" w:hAnsi="Times New Roman" w:eastAsia="宋体" w:cs="Times New Roman"/>
                <w:b/>
                <w:bCs/>
                <w:i w:val="0"/>
                <w:iCs w:val="0"/>
                <w:color w:val="000000"/>
                <w:kern w:val="0"/>
                <w:sz w:val="20"/>
                <w:szCs w:val="20"/>
                <w:u w:val="none"/>
                <w:lang w:val="en-US" w:eastAsia="zh-CN" w:bidi="ar"/>
              </w:rPr>
              <w:t>3,474.90</w:t>
            </w:r>
          </w:p>
        </w:tc>
        <w:tc>
          <w:tcPr>
            <w:tcW w:w="1425" w:type="dxa"/>
            <w:gridSpan w:val="5"/>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sz w:val="20"/>
                <w:szCs w:val="20"/>
                <w:highlight w:val="none"/>
                <w:lang w:val="en-US" w:eastAsia="zh-CN"/>
              </w:rPr>
            </w:pPr>
            <w:r>
              <w:rPr>
                <w:rFonts w:hint="default" w:ascii="Times New Roman" w:hAnsi="Times New Roman" w:eastAsia="宋体" w:cs="Times New Roman"/>
                <w:b/>
                <w:bCs/>
                <w:i w:val="0"/>
                <w:iCs w:val="0"/>
                <w:color w:val="000000"/>
                <w:kern w:val="0"/>
                <w:sz w:val="20"/>
                <w:szCs w:val="20"/>
                <w:u w:val="none"/>
                <w:lang w:val="en-US" w:eastAsia="zh-CN" w:bidi="ar"/>
              </w:rPr>
              <w:t>4,743.93</w:t>
            </w:r>
          </w:p>
        </w:tc>
        <w:tc>
          <w:tcPr>
            <w:tcW w:w="1425" w:type="dxa"/>
            <w:gridSpan w:val="2"/>
            <w:noWrap w:val="0"/>
            <w:vAlign w:val="center"/>
          </w:tcPr>
          <w:p>
            <w:pPr>
              <w:jc w:val="center"/>
              <w:rPr>
                <w:rFonts w:hint="default" w:ascii="Times New Roman" w:hAnsi="Times New Roman" w:eastAsia="仿宋_GB2312" w:cs="Times New Roman"/>
                <w:b/>
                <w:bCs/>
                <w:color w:val="000000"/>
                <w:sz w:val="20"/>
                <w:szCs w:val="20"/>
                <w:highlight w:val="none"/>
                <w:lang w:val="en-US" w:eastAsia="zh-CN"/>
              </w:rPr>
            </w:pPr>
          </w:p>
        </w:tc>
        <w:tc>
          <w:tcPr>
            <w:tcW w:w="1425" w:type="dxa"/>
            <w:gridSpan w:val="4"/>
            <w:noWrap w:val="0"/>
            <w:vAlign w:val="center"/>
          </w:tcPr>
          <w:p>
            <w:pPr>
              <w:jc w:val="center"/>
              <w:rPr>
                <w:rFonts w:hint="default" w:ascii="Times New Roman" w:hAnsi="Times New Roman" w:eastAsia="仿宋_GB2312" w:cs="Times New Roman"/>
                <w:b/>
                <w:bCs/>
                <w:color w:val="000000"/>
                <w:sz w:val="20"/>
                <w:szCs w:val="20"/>
                <w:highlight w:val="none"/>
                <w:lang w:val="en-US" w:eastAsia="zh-CN"/>
              </w:rPr>
            </w:pPr>
          </w:p>
        </w:tc>
        <w:tc>
          <w:tcPr>
            <w:tcW w:w="1425" w:type="dxa"/>
            <w:gridSpan w:val="3"/>
            <w:noWrap w:val="0"/>
            <w:vAlign w:val="center"/>
          </w:tcPr>
          <w:p>
            <w:pPr>
              <w:jc w:val="center"/>
              <w:rPr>
                <w:rFonts w:hint="default" w:ascii="Times New Roman" w:hAnsi="Times New Roman" w:eastAsia="仿宋_GB2312" w:cs="Times New Roman"/>
                <w:b/>
                <w:bCs/>
                <w:color w:val="000000"/>
                <w:sz w:val="20"/>
                <w:szCs w:val="20"/>
                <w:highlight w:val="yellow"/>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62" w:hRule="atLeast"/>
          <w:jc w:val="center"/>
        </w:trPr>
        <w:tc>
          <w:tcPr>
            <w:tcW w:w="1424" w:type="dxa"/>
            <w:gridSpan w:val="5"/>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2、南湖新区分局</w:t>
            </w:r>
          </w:p>
        </w:tc>
        <w:tc>
          <w:tcPr>
            <w:tcW w:w="1425" w:type="dxa"/>
            <w:gridSpan w:val="4"/>
            <w:tcBorders>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615.83</w:t>
            </w:r>
          </w:p>
        </w:tc>
        <w:tc>
          <w:tcPr>
            <w:tcW w:w="1425" w:type="dxa"/>
            <w:gridSpan w:val="3"/>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287.27</w:t>
            </w:r>
          </w:p>
        </w:tc>
        <w:tc>
          <w:tcPr>
            <w:tcW w:w="1425" w:type="dxa"/>
            <w:gridSpan w:val="5"/>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181.37</w:t>
            </w:r>
          </w:p>
        </w:tc>
        <w:tc>
          <w:tcPr>
            <w:tcW w:w="1425" w:type="dxa"/>
            <w:gridSpan w:val="2"/>
            <w:noWrap w:val="0"/>
            <w:vAlign w:val="center"/>
          </w:tcPr>
          <w:p>
            <w:pPr>
              <w:jc w:val="center"/>
              <w:rPr>
                <w:rFonts w:hint="default" w:ascii="Times New Roman" w:hAnsi="Times New Roman" w:eastAsia="仿宋_GB2312" w:cs="Times New Roman"/>
                <w:color w:val="000000"/>
                <w:sz w:val="20"/>
                <w:szCs w:val="20"/>
                <w:highlight w:val="none"/>
                <w:lang w:val="en-US" w:eastAsia="zh-CN"/>
              </w:rPr>
            </w:pPr>
          </w:p>
        </w:tc>
        <w:tc>
          <w:tcPr>
            <w:tcW w:w="1425" w:type="dxa"/>
            <w:gridSpan w:val="4"/>
            <w:noWrap w:val="0"/>
            <w:vAlign w:val="center"/>
          </w:tcPr>
          <w:p>
            <w:pPr>
              <w:jc w:val="center"/>
              <w:rPr>
                <w:rFonts w:hint="default" w:ascii="Times New Roman" w:hAnsi="Times New Roman" w:eastAsia="仿宋_GB2312" w:cs="Times New Roman"/>
                <w:color w:val="000000"/>
                <w:sz w:val="20"/>
                <w:szCs w:val="20"/>
                <w:highlight w:val="none"/>
                <w:lang w:val="en-US" w:eastAsia="zh-CN"/>
              </w:rPr>
            </w:pPr>
          </w:p>
        </w:tc>
        <w:tc>
          <w:tcPr>
            <w:tcW w:w="1425" w:type="dxa"/>
            <w:gridSpan w:val="3"/>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147.19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07" w:hRule="atLeast"/>
          <w:jc w:val="center"/>
        </w:trPr>
        <w:tc>
          <w:tcPr>
            <w:tcW w:w="1424" w:type="dxa"/>
            <w:gridSpan w:val="5"/>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3、经济技术开发区分局</w:t>
            </w:r>
          </w:p>
        </w:tc>
        <w:tc>
          <w:tcPr>
            <w:tcW w:w="1425" w:type="dxa"/>
            <w:gridSpan w:val="4"/>
            <w:tcBorders>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1,541.39</w:t>
            </w:r>
          </w:p>
        </w:tc>
        <w:tc>
          <w:tcPr>
            <w:tcW w:w="1425" w:type="dxa"/>
            <w:gridSpan w:val="3"/>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928.83</w:t>
            </w:r>
          </w:p>
        </w:tc>
        <w:tc>
          <w:tcPr>
            <w:tcW w:w="1425" w:type="dxa"/>
            <w:gridSpan w:val="5"/>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317.3</w:t>
            </w:r>
          </w:p>
        </w:tc>
        <w:tc>
          <w:tcPr>
            <w:tcW w:w="1425" w:type="dxa"/>
            <w:gridSpan w:val="2"/>
            <w:noWrap w:val="0"/>
            <w:vAlign w:val="center"/>
          </w:tcPr>
          <w:p>
            <w:pPr>
              <w:jc w:val="center"/>
              <w:rPr>
                <w:rFonts w:hint="default" w:ascii="Times New Roman" w:hAnsi="Times New Roman" w:eastAsia="仿宋_GB2312" w:cs="Times New Roman"/>
                <w:color w:val="000000"/>
                <w:sz w:val="20"/>
                <w:szCs w:val="20"/>
                <w:highlight w:val="none"/>
                <w:lang w:val="en-US" w:eastAsia="zh-CN"/>
              </w:rPr>
            </w:pPr>
          </w:p>
        </w:tc>
        <w:tc>
          <w:tcPr>
            <w:tcW w:w="1425" w:type="dxa"/>
            <w:gridSpan w:val="4"/>
            <w:noWrap w:val="0"/>
            <w:vAlign w:val="center"/>
          </w:tcPr>
          <w:p>
            <w:pPr>
              <w:jc w:val="center"/>
              <w:rPr>
                <w:rFonts w:hint="default" w:ascii="Times New Roman" w:hAnsi="Times New Roman" w:eastAsia="仿宋_GB2312" w:cs="Times New Roman"/>
                <w:color w:val="000000"/>
                <w:sz w:val="20"/>
                <w:szCs w:val="20"/>
                <w:highlight w:val="none"/>
                <w:lang w:val="en-US" w:eastAsia="zh-CN"/>
              </w:rPr>
            </w:pPr>
          </w:p>
        </w:tc>
        <w:tc>
          <w:tcPr>
            <w:tcW w:w="1425" w:type="dxa"/>
            <w:gridSpan w:val="3"/>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295.26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64" w:hRule="atLeast"/>
          <w:jc w:val="center"/>
        </w:trPr>
        <w:tc>
          <w:tcPr>
            <w:tcW w:w="1424" w:type="dxa"/>
            <w:gridSpan w:val="5"/>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4、临港国土管理处</w:t>
            </w:r>
          </w:p>
        </w:tc>
        <w:tc>
          <w:tcPr>
            <w:tcW w:w="1425" w:type="dxa"/>
            <w:gridSpan w:val="4"/>
            <w:tcBorders>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248.62</w:t>
            </w:r>
          </w:p>
        </w:tc>
        <w:tc>
          <w:tcPr>
            <w:tcW w:w="1425" w:type="dxa"/>
            <w:gridSpan w:val="3"/>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8.63</w:t>
            </w:r>
          </w:p>
        </w:tc>
        <w:tc>
          <w:tcPr>
            <w:tcW w:w="1425" w:type="dxa"/>
            <w:gridSpan w:val="5"/>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239.99</w:t>
            </w:r>
          </w:p>
        </w:tc>
        <w:tc>
          <w:tcPr>
            <w:tcW w:w="1425" w:type="dxa"/>
            <w:gridSpan w:val="2"/>
            <w:noWrap w:val="0"/>
            <w:vAlign w:val="center"/>
          </w:tcPr>
          <w:p>
            <w:pPr>
              <w:jc w:val="center"/>
              <w:rPr>
                <w:rFonts w:hint="default" w:ascii="Times New Roman" w:hAnsi="Times New Roman" w:eastAsia="仿宋_GB2312" w:cs="Times New Roman"/>
                <w:color w:val="000000"/>
                <w:sz w:val="20"/>
                <w:szCs w:val="20"/>
                <w:highlight w:val="none"/>
                <w:lang w:val="en-US" w:eastAsia="zh-CN"/>
              </w:rPr>
            </w:pPr>
          </w:p>
        </w:tc>
        <w:tc>
          <w:tcPr>
            <w:tcW w:w="1425" w:type="dxa"/>
            <w:gridSpan w:val="4"/>
            <w:noWrap w:val="0"/>
            <w:vAlign w:val="center"/>
          </w:tcPr>
          <w:p>
            <w:pPr>
              <w:jc w:val="center"/>
              <w:rPr>
                <w:rFonts w:hint="default" w:ascii="Times New Roman" w:hAnsi="Times New Roman" w:eastAsia="仿宋_GB2312" w:cs="Times New Roman"/>
                <w:color w:val="000000"/>
                <w:sz w:val="20"/>
                <w:szCs w:val="20"/>
                <w:highlight w:val="none"/>
                <w:lang w:val="en-US" w:eastAsia="zh-CN"/>
              </w:rPr>
            </w:pPr>
          </w:p>
        </w:tc>
        <w:tc>
          <w:tcPr>
            <w:tcW w:w="1425" w:type="dxa"/>
            <w:gridSpan w:val="3"/>
            <w:noWrap w:val="0"/>
            <w:vAlign w:val="center"/>
          </w:tcPr>
          <w:p>
            <w:pPr>
              <w:jc w:val="center"/>
              <w:rPr>
                <w:rFonts w:hint="default" w:ascii="Times New Roman" w:hAnsi="Times New Roman" w:eastAsia="仿宋_GB2312" w:cs="Times New Roman"/>
                <w:color w:val="000000"/>
                <w:sz w:val="20"/>
                <w:szCs w:val="20"/>
                <w:highlight w:val="yellow"/>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14" w:hRule="atLeast"/>
          <w:jc w:val="center"/>
        </w:trPr>
        <w:tc>
          <w:tcPr>
            <w:tcW w:w="1424" w:type="dxa"/>
            <w:gridSpan w:val="5"/>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5、不动产登记中心</w:t>
            </w:r>
          </w:p>
        </w:tc>
        <w:tc>
          <w:tcPr>
            <w:tcW w:w="1425" w:type="dxa"/>
            <w:gridSpan w:val="4"/>
            <w:tcBorders>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1,893.65</w:t>
            </w:r>
          </w:p>
        </w:tc>
        <w:tc>
          <w:tcPr>
            <w:tcW w:w="1425" w:type="dxa"/>
            <w:gridSpan w:val="3"/>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184.56</w:t>
            </w:r>
          </w:p>
        </w:tc>
        <w:tc>
          <w:tcPr>
            <w:tcW w:w="1425" w:type="dxa"/>
            <w:gridSpan w:val="5"/>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1,608.52</w:t>
            </w:r>
          </w:p>
        </w:tc>
        <w:tc>
          <w:tcPr>
            <w:tcW w:w="1425" w:type="dxa"/>
            <w:gridSpan w:val="2"/>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81.57</w:t>
            </w:r>
          </w:p>
        </w:tc>
        <w:tc>
          <w:tcPr>
            <w:tcW w:w="1425" w:type="dxa"/>
            <w:gridSpan w:val="4"/>
            <w:noWrap w:val="0"/>
            <w:vAlign w:val="center"/>
          </w:tcPr>
          <w:p>
            <w:pPr>
              <w:jc w:val="center"/>
              <w:rPr>
                <w:rFonts w:hint="default" w:ascii="Times New Roman" w:hAnsi="Times New Roman" w:eastAsia="仿宋_GB2312" w:cs="Times New Roman"/>
                <w:color w:val="000000"/>
                <w:sz w:val="20"/>
                <w:szCs w:val="20"/>
                <w:highlight w:val="none"/>
                <w:lang w:val="en-US" w:eastAsia="zh-CN"/>
              </w:rPr>
            </w:pPr>
          </w:p>
        </w:tc>
        <w:tc>
          <w:tcPr>
            <w:tcW w:w="1425" w:type="dxa"/>
            <w:gridSpan w:val="3"/>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 xml:space="preserve">19.00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45" w:hRule="atLeast"/>
          <w:jc w:val="center"/>
        </w:trPr>
        <w:tc>
          <w:tcPr>
            <w:tcW w:w="1424" w:type="dxa"/>
            <w:gridSpan w:val="5"/>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6、执法监察支队</w:t>
            </w:r>
          </w:p>
        </w:tc>
        <w:tc>
          <w:tcPr>
            <w:tcW w:w="1425" w:type="dxa"/>
            <w:gridSpan w:val="4"/>
            <w:tcBorders>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635.53</w:t>
            </w:r>
          </w:p>
        </w:tc>
        <w:tc>
          <w:tcPr>
            <w:tcW w:w="1425" w:type="dxa"/>
            <w:gridSpan w:val="3"/>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278.84</w:t>
            </w:r>
          </w:p>
        </w:tc>
        <w:tc>
          <w:tcPr>
            <w:tcW w:w="1425" w:type="dxa"/>
            <w:gridSpan w:val="5"/>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356.69</w:t>
            </w:r>
          </w:p>
        </w:tc>
        <w:tc>
          <w:tcPr>
            <w:tcW w:w="1425" w:type="dxa"/>
            <w:gridSpan w:val="2"/>
            <w:noWrap w:val="0"/>
            <w:vAlign w:val="center"/>
          </w:tcPr>
          <w:p>
            <w:pPr>
              <w:jc w:val="center"/>
              <w:rPr>
                <w:rFonts w:hint="default" w:ascii="Times New Roman" w:hAnsi="Times New Roman" w:eastAsia="仿宋_GB2312" w:cs="Times New Roman"/>
                <w:color w:val="000000"/>
                <w:sz w:val="20"/>
                <w:szCs w:val="20"/>
                <w:highlight w:val="none"/>
                <w:lang w:val="en-US" w:eastAsia="zh-CN"/>
              </w:rPr>
            </w:pPr>
          </w:p>
        </w:tc>
        <w:tc>
          <w:tcPr>
            <w:tcW w:w="1425" w:type="dxa"/>
            <w:gridSpan w:val="4"/>
            <w:noWrap w:val="0"/>
            <w:vAlign w:val="center"/>
          </w:tcPr>
          <w:p>
            <w:pPr>
              <w:jc w:val="center"/>
              <w:rPr>
                <w:rFonts w:hint="default" w:ascii="Times New Roman" w:hAnsi="Times New Roman" w:eastAsia="仿宋_GB2312" w:cs="Times New Roman"/>
                <w:color w:val="000000"/>
                <w:sz w:val="20"/>
                <w:szCs w:val="20"/>
                <w:highlight w:val="none"/>
                <w:lang w:val="en-US" w:eastAsia="zh-CN"/>
              </w:rPr>
            </w:pPr>
          </w:p>
        </w:tc>
        <w:tc>
          <w:tcPr>
            <w:tcW w:w="1425" w:type="dxa"/>
            <w:gridSpan w:val="3"/>
            <w:noWrap w:val="0"/>
            <w:vAlign w:val="center"/>
          </w:tcPr>
          <w:p>
            <w:pPr>
              <w:jc w:val="center"/>
              <w:rPr>
                <w:rFonts w:hint="default" w:ascii="Times New Roman" w:hAnsi="Times New Roman" w:eastAsia="仿宋_GB2312" w:cs="Times New Roman"/>
                <w:color w:val="000000"/>
                <w:sz w:val="20"/>
                <w:szCs w:val="20"/>
                <w:highlight w:val="yellow"/>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0" w:hRule="atLeast"/>
          <w:jc w:val="center"/>
        </w:trPr>
        <w:tc>
          <w:tcPr>
            <w:tcW w:w="1424" w:type="dxa"/>
            <w:gridSpan w:val="5"/>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7、土地综合整治中心</w:t>
            </w:r>
          </w:p>
        </w:tc>
        <w:tc>
          <w:tcPr>
            <w:tcW w:w="1425" w:type="dxa"/>
            <w:gridSpan w:val="4"/>
            <w:tcBorders>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200.33</w:t>
            </w:r>
          </w:p>
        </w:tc>
        <w:tc>
          <w:tcPr>
            <w:tcW w:w="1425" w:type="dxa"/>
            <w:gridSpan w:val="3"/>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63.05</w:t>
            </w:r>
          </w:p>
        </w:tc>
        <w:tc>
          <w:tcPr>
            <w:tcW w:w="1425" w:type="dxa"/>
            <w:gridSpan w:val="5"/>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137.28</w:t>
            </w:r>
          </w:p>
        </w:tc>
        <w:tc>
          <w:tcPr>
            <w:tcW w:w="1425" w:type="dxa"/>
            <w:gridSpan w:val="2"/>
            <w:noWrap w:val="0"/>
            <w:vAlign w:val="center"/>
          </w:tcPr>
          <w:p>
            <w:pPr>
              <w:jc w:val="center"/>
              <w:rPr>
                <w:rFonts w:hint="default" w:ascii="Times New Roman" w:hAnsi="Times New Roman" w:eastAsia="仿宋_GB2312" w:cs="Times New Roman"/>
                <w:color w:val="000000"/>
                <w:sz w:val="20"/>
                <w:szCs w:val="20"/>
                <w:highlight w:val="none"/>
                <w:lang w:val="en-US" w:eastAsia="zh-CN"/>
              </w:rPr>
            </w:pPr>
          </w:p>
        </w:tc>
        <w:tc>
          <w:tcPr>
            <w:tcW w:w="1425" w:type="dxa"/>
            <w:gridSpan w:val="4"/>
            <w:noWrap w:val="0"/>
            <w:vAlign w:val="center"/>
          </w:tcPr>
          <w:p>
            <w:pPr>
              <w:jc w:val="center"/>
              <w:rPr>
                <w:rFonts w:hint="default" w:ascii="Times New Roman" w:hAnsi="Times New Roman" w:eastAsia="仿宋_GB2312" w:cs="Times New Roman"/>
                <w:color w:val="000000"/>
                <w:sz w:val="20"/>
                <w:szCs w:val="20"/>
                <w:highlight w:val="none"/>
                <w:lang w:val="en-US" w:eastAsia="zh-CN"/>
              </w:rPr>
            </w:pPr>
          </w:p>
        </w:tc>
        <w:tc>
          <w:tcPr>
            <w:tcW w:w="1425" w:type="dxa"/>
            <w:gridSpan w:val="3"/>
            <w:noWrap w:val="0"/>
            <w:vAlign w:val="center"/>
          </w:tcPr>
          <w:p>
            <w:pPr>
              <w:jc w:val="center"/>
              <w:rPr>
                <w:rFonts w:hint="default" w:ascii="Times New Roman" w:hAnsi="Times New Roman" w:eastAsia="仿宋_GB2312" w:cs="Times New Roman"/>
                <w:color w:val="000000"/>
                <w:sz w:val="20"/>
                <w:szCs w:val="20"/>
                <w:highlight w:val="yellow"/>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88" w:hRule="atLeast"/>
          <w:jc w:val="center"/>
        </w:trPr>
        <w:tc>
          <w:tcPr>
            <w:tcW w:w="1424" w:type="dxa"/>
            <w:gridSpan w:val="5"/>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8、不动产产权交易中心</w:t>
            </w:r>
          </w:p>
        </w:tc>
        <w:tc>
          <w:tcPr>
            <w:tcW w:w="1425" w:type="dxa"/>
            <w:gridSpan w:val="4"/>
            <w:tcBorders>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274.82</w:t>
            </w:r>
          </w:p>
        </w:tc>
        <w:tc>
          <w:tcPr>
            <w:tcW w:w="1425" w:type="dxa"/>
            <w:gridSpan w:val="3"/>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22.01</w:t>
            </w:r>
          </w:p>
        </w:tc>
        <w:tc>
          <w:tcPr>
            <w:tcW w:w="1425" w:type="dxa"/>
            <w:gridSpan w:val="5"/>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176.28</w:t>
            </w:r>
          </w:p>
        </w:tc>
        <w:tc>
          <w:tcPr>
            <w:tcW w:w="1425" w:type="dxa"/>
            <w:gridSpan w:val="2"/>
            <w:noWrap w:val="0"/>
            <w:vAlign w:val="center"/>
          </w:tcPr>
          <w:p>
            <w:pPr>
              <w:rPr>
                <w:rFonts w:hint="default" w:ascii="Times New Roman" w:hAnsi="Times New Roman" w:eastAsia="仿宋_GB2312" w:cs="Times New Roman"/>
                <w:color w:val="000000"/>
                <w:sz w:val="20"/>
                <w:szCs w:val="20"/>
                <w:highlight w:val="none"/>
                <w:lang w:val="en-US" w:eastAsia="zh-CN"/>
              </w:rPr>
            </w:pPr>
          </w:p>
        </w:tc>
        <w:tc>
          <w:tcPr>
            <w:tcW w:w="1425" w:type="dxa"/>
            <w:gridSpan w:val="4"/>
            <w:noWrap w:val="0"/>
            <w:vAlign w:val="center"/>
          </w:tcPr>
          <w:p>
            <w:pPr>
              <w:jc w:val="center"/>
              <w:rPr>
                <w:rFonts w:hint="default" w:ascii="Times New Roman" w:hAnsi="Times New Roman" w:eastAsia="仿宋_GB2312" w:cs="Times New Roman"/>
                <w:color w:val="000000"/>
                <w:sz w:val="20"/>
                <w:szCs w:val="20"/>
                <w:highlight w:val="none"/>
                <w:lang w:val="en-US" w:eastAsia="zh-CN"/>
              </w:rPr>
            </w:pPr>
          </w:p>
        </w:tc>
        <w:tc>
          <w:tcPr>
            <w:tcW w:w="1425" w:type="dxa"/>
            <w:gridSpan w:val="3"/>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76.53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78" w:hRule="atLeast"/>
          <w:jc w:val="center"/>
        </w:trPr>
        <w:tc>
          <w:tcPr>
            <w:tcW w:w="1424" w:type="dxa"/>
            <w:gridSpan w:val="5"/>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9、不动产登记信息中心</w:t>
            </w:r>
          </w:p>
        </w:tc>
        <w:tc>
          <w:tcPr>
            <w:tcW w:w="1425" w:type="dxa"/>
            <w:gridSpan w:val="4"/>
            <w:tcBorders>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98.81</w:t>
            </w:r>
          </w:p>
        </w:tc>
        <w:tc>
          <w:tcPr>
            <w:tcW w:w="1425" w:type="dxa"/>
            <w:gridSpan w:val="3"/>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7.28</w:t>
            </w:r>
          </w:p>
        </w:tc>
        <w:tc>
          <w:tcPr>
            <w:tcW w:w="1425" w:type="dxa"/>
            <w:gridSpan w:val="5"/>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73.53</w:t>
            </w:r>
          </w:p>
        </w:tc>
        <w:tc>
          <w:tcPr>
            <w:tcW w:w="1425" w:type="dxa"/>
            <w:gridSpan w:val="2"/>
            <w:noWrap w:val="0"/>
            <w:vAlign w:val="center"/>
          </w:tcPr>
          <w:p>
            <w:pPr>
              <w:jc w:val="center"/>
              <w:rPr>
                <w:rFonts w:hint="default" w:ascii="Times New Roman" w:hAnsi="Times New Roman" w:eastAsia="仿宋_GB2312" w:cs="Times New Roman"/>
                <w:color w:val="000000"/>
                <w:sz w:val="20"/>
                <w:szCs w:val="20"/>
                <w:highlight w:val="none"/>
                <w:lang w:val="en-US" w:eastAsia="zh-CN"/>
              </w:rPr>
            </w:pPr>
          </w:p>
        </w:tc>
        <w:tc>
          <w:tcPr>
            <w:tcW w:w="1425" w:type="dxa"/>
            <w:gridSpan w:val="4"/>
            <w:noWrap w:val="0"/>
            <w:vAlign w:val="center"/>
          </w:tcPr>
          <w:p>
            <w:pPr>
              <w:jc w:val="center"/>
              <w:rPr>
                <w:rFonts w:hint="default" w:ascii="Times New Roman" w:hAnsi="Times New Roman" w:eastAsia="仿宋_GB2312" w:cs="Times New Roman"/>
                <w:color w:val="000000"/>
                <w:sz w:val="20"/>
                <w:szCs w:val="20"/>
                <w:highlight w:val="none"/>
                <w:lang w:val="en-US" w:eastAsia="zh-CN"/>
              </w:rPr>
            </w:pPr>
          </w:p>
        </w:tc>
        <w:tc>
          <w:tcPr>
            <w:tcW w:w="1425" w:type="dxa"/>
            <w:gridSpan w:val="3"/>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 xml:space="preserve">18.00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68" w:hRule="atLeast"/>
          <w:jc w:val="center"/>
        </w:trPr>
        <w:tc>
          <w:tcPr>
            <w:tcW w:w="1424" w:type="dxa"/>
            <w:gridSpan w:val="5"/>
            <w:noWrap w:val="0"/>
            <w:vAlign w:val="center"/>
          </w:tcPr>
          <w:p>
            <w:pPr>
              <w:keepNext w:val="0"/>
              <w:keepLines w:val="0"/>
              <w:widowControl/>
              <w:suppressLineNumbers w:val="0"/>
              <w:jc w:val="both"/>
              <w:textAlignment w:val="center"/>
              <w:rPr>
                <w:rFonts w:hint="eastAsia" w:ascii="仿宋_GB2312" w:hAnsi="仿宋_GB2312" w:eastAsia="仿宋_GB2312" w:cs="仿宋_GB2312"/>
                <w:color w:val="000000"/>
                <w:sz w:val="24"/>
                <w:szCs w:val="24"/>
                <w:lang w:eastAsia="zh-CN"/>
              </w:rPr>
            </w:pPr>
            <w:r>
              <w:rPr>
                <w:rFonts w:hint="default" w:ascii="仿宋_GB2312" w:hAnsi="宋体" w:eastAsia="仿宋_GB2312" w:cs="仿宋_GB2312"/>
                <w:i w:val="0"/>
                <w:iCs w:val="0"/>
                <w:color w:val="000000"/>
                <w:kern w:val="0"/>
                <w:sz w:val="24"/>
                <w:szCs w:val="24"/>
                <w:u w:val="none"/>
                <w:lang w:val="en-US" w:eastAsia="zh-CN" w:bidi="ar"/>
              </w:rPr>
              <w:t>10、不动产测绘中心</w:t>
            </w:r>
          </w:p>
        </w:tc>
        <w:tc>
          <w:tcPr>
            <w:tcW w:w="1425" w:type="dxa"/>
            <w:gridSpan w:val="4"/>
            <w:tcBorders>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951.85</w:t>
            </w:r>
          </w:p>
        </w:tc>
        <w:tc>
          <w:tcPr>
            <w:tcW w:w="1425" w:type="dxa"/>
            <w:gridSpan w:val="3"/>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527.85</w:t>
            </w:r>
          </w:p>
        </w:tc>
        <w:tc>
          <w:tcPr>
            <w:tcW w:w="1425" w:type="dxa"/>
            <w:gridSpan w:val="5"/>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none"/>
                <w:lang w:val="en-US" w:eastAsia="zh-CN"/>
              </w:rPr>
            </w:pPr>
            <w:r>
              <w:rPr>
                <w:rFonts w:hint="default" w:ascii="Times New Roman" w:hAnsi="Times New Roman" w:eastAsia="宋体" w:cs="Times New Roman"/>
                <w:i w:val="0"/>
                <w:iCs w:val="0"/>
                <w:color w:val="000000"/>
                <w:kern w:val="0"/>
                <w:sz w:val="20"/>
                <w:szCs w:val="20"/>
                <w:u w:val="none"/>
                <w:lang w:val="en-US" w:eastAsia="zh-CN" w:bidi="ar"/>
              </w:rPr>
              <w:t>423.99</w:t>
            </w:r>
          </w:p>
        </w:tc>
        <w:tc>
          <w:tcPr>
            <w:tcW w:w="1425" w:type="dxa"/>
            <w:gridSpan w:val="2"/>
            <w:noWrap w:val="0"/>
            <w:vAlign w:val="center"/>
          </w:tcPr>
          <w:p>
            <w:pPr>
              <w:jc w:val="center"/>
              <w:rPr>
                <w:rFonts w:hint="default" w:ascii="Times New Roman" w:hAnsi="Times New Roman" w:eastAsia="仿宋_GB2312" w:cs="Times New Roman"/>
                <w:color w:val="000000"/>
                <w:sz w:val="20"/>
                <w:szCs w:val="20"/>
                <w:highlight w:val="none"/>
                <w:lang w:val="en-US" w:eastAsia="zh-CN"/>
              </w:rPr>
            </w:pPr>
          </w:p>
        </w:tc>
        <w:tc>
          <w:tcPr>
            <w:tcW w:w="1425" w:type="dxa"/>
            <w:gridSpan w:val="4"/>
            <w:noWrap w:val="0"/>
            <w:vAlign w:val="center"/>
          </w:tcPr>
          <w:p>
            <w:pPr>
              <w:jc w:val="center"/>
              <w:rPr>
                <w:rFonts w:hint="default" w:ascii="Times New Roman" w:hAnsi="Times New Roman" w:eastAsia="仿宋_GB2312" w:cs="Times New Roman"/>
                <w:color w:val="000000"/>
                <w:sz w:val="20"/>
                <w:szCs w:val="20"/>
                <w:highlight w:val="none"/>
                <w:lang w:val="en-US" w:eastAsia="zh-CN"/>
              </w:rPr>
            </w:pPr>
          </w:p>
        </w:tc>
        <w:tc>
          <w:tcPr>
            <w:tcW w:w="1425" w:type="dxa"/>
            <w:gridSpan w:val="3"/>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0"/>
                <w:szCs w:val="20"/>
                <w:highlight w:val="yellow"/>
                <w:lang w:val="en-US" w:eastAsia="zh-CN"/>
              </w:rPr>
            </w:pPr>
            <w:r>
              <w:rPr>
                <w:rFonts w:hint="default" w:ascii="Times New Roman" w:hAnsi="Times New Roman" w:eastAsia="宋体" w:cs="Times New Roman"/>
                <w:i w:val="0"/>
                <w:iCs w:val="0"/>
                <w:color w:val="000000"/>
                <w:kern w:val="0"/>
                <w:sz w:val="20"/>
                <w:szCs w:val="20"/>
                <w:u w:val="none"/>
                <w:lang w:val="en-US" w:eastAsia="zh-CN" w:bidi="ar"/>
              </w:rPr>
              <w:t>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0" w:hRule="atLeast"/>
          <w:jc w:val="center"/>
        </w:trPr>
        <w:tc>
          <w:tcPr>
            <w:tcW w:w="9974" w:type="dxa"/>
            <w:gridSpan w:val="26"/>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szCs w:val="24"/>
              </w:rPr>
            </w:pPr>
            <w:r>
              <w:rPr>
                <w:rFonts w:hint="default" w:ascii="仿宋_GB2312" w:hAnsi="宋体" w:eastAsia="仿宋_GB2312" w:cs="仿宋_GB2312"/>
                <w:b/>
                <w:bCs/>
                <w:i w:val="0"/>
                <w:iCs w:val="0"/>
                <w:color w:val="000000"/>
                <w:kern w:val="0"/>
                <w:sz w:val="32"/>
                <w:szCs w:val="32"/>
                <w:u w:val="none"/>
                <w:lang w:val="en-US" w:eastAsia="zh-CN" w:bidi="ar"/>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91" w:hRule="atLeast"/>
          <w:jc w:val="center"/>
        </w:trPr>
        <w:tc>
          <w:tcPr>
            <w:tcW w:w="1704" w:type="dxa"/>
            <w:gridSpan w:val="6"/>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sz w:val="24"/>
              </w:rPr>
            </w:pPr>
            <w:r>
              <w:rPr>
                <w:rFonts w:hint="default" w:ascii="仿宋_GB2312" w:hAnsi="宋体" w:eastAsia="仿宋_GB2312" w:cs="仿宋_GB2312"/>
                <w:i w:val="0"/>
                <w:iCs w:val="0"/>
                <w:color w:val="000000"/>
                <w:kern w:val="0"/>
                <w:sz w:val="22"/>
                <w:szCs w:val="22"/>
                <w:u w:val="none"/>
                <w:lang w:val="en-US" w:eastAsia="zh-CN" w:bidi="ar"/>
              </w:rPr>
              <w:t>机构名称</w:t>
            </w:r>
          </w:p>
        </w:tc>
        <w:tc>
          <w:tcPr>
            <w:tcW w:w="1093" w:type="dxa"/>
            <w:gridSpan w:val="2"/>
            <w:vMerge w:val="restart"/>
            <w:tcBorders>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rPr>
            </w:pPr>
            <w:r>
              <w:rPr>
                <w:rFonts w:hint="default" w:ascii="仿宋_GB2312" w:hAnsi="宋体" w:eastAsia="仿宋_GB2312" w:cs="仿宋_GB2312"/>
                <w:i w:val="0"/>
                <w:iCs w:val="0"/>
                <w:color w:val="000000"/>
                <w:kern w:val="0"/>
                <w:sz w:val="22"/>
                <w:szCs w:val="22"/>
                <w:u w:val="none"/>
                <w:lang w:val="en-US" w:eastAsia="zh-CN" w:bidi="ar"/>
              </w:rPr>
              <w:t>支出合计</w:t>
            </w:r>
          </w:p>
        </w:tc>
        <w:tc>
          <w:tcPr>
            <w:tcW w:w="4736" w:type="dxa"/>
            <w:gridSpan w:val="12"/>
            <w:tcBorders>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rPr>
            </w:pPr>
            <w:r>
              <w:rPr>
                <w:rFonts w:hint="default" w:ascii="仿宋_GB2312" w:hAnsi="宋体" w:eastAsia="仿宋_GB2312" w:cs="仿宋_GB2312"/>
                <w:i w:val="0"/>
                <w:iCs w:val="0"/>
                <w:color w:val="000000"/>
                <w:kern w:val="0"/>
                <w:sz w:val="22"/>
                <w:szCs w:val="22"/>
                <w:u w:val="none"/>
                <w:lang w:val="en-US" w:eastAsia="zh-CN" w:bidi="ar"/>
              </w:rPr>
              <w:t>其中：</w:t>
            </w:r>
          </w:p>
        </w:tc>
        <w:tc>
          <w:tcPr>
            <w:tcW w:w="2441" w:type="dxa"/>
            <w:gridSpan w:val="6"/>
            <w:tcBorders>
              <w:left w:val="single" w:color="auto" w:sz="4" w:space="0"/>
              <w:bottom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rPr>
            </w:pPr>
            <w:r>
              <w:rPr>
                <w:rFonts w:hint="default" w:ascii="仿宋_GB2312" w:hAnsi="宋体" w:eastAsia="仿宋_GB2312" w:cs="仿宋_GB2312"/>
                <w:i w:val="0"/>
                <w:iCs w:val="0"/>
                <w:color w:val="000000"/>
                <w:kern w:val="0"/>
                <w:sz w:val="22"/>
                <w:szCs w:val="22"/>
                <w:u w:val="none"/>
                <w:lang w:val="en-US" w:eastAsia="zh-CN" w:bidi="ar"/>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45" w:hRule="atLeast"/>
          <w:jc w:val="center"/>
        </w:trPr>
        <w:tc>
          <w:tcPr>
            <w:tcW w:w="1704" w:type="dxa"/>
            <w:gridSpan w:val="6"/>
            <w:vMerge w:val="continue"/>
            <w:noWrap w:val="0"/>
            <w:vAlign w:val="center"/>
          </w:tcPr>
          <w:p>
            <w:pPr>
              <w:jc w:val="center"/>
              <w:rPr>
                <w:rFonts w:hint="eastAsia" w:ascii="仿宋_GB2312" w:hAnsi="仿宋_GB2312" w:eastAsia="仿宋_GB2312" w:cs="仿宋_GB2312"/>
                <w:sz w:val="24"/>
              </w:rPr>
            </w:pPr>
          </w:p>
        </w:tc>
        <w:tc>
          <w:tcPr>
            <w:tcW w:w="1093" w:type="dxa"/>
            <w:gridSpan w:val="2"/>
            <w:vMerge w:val="continue"/>
            <w:tcBorders>
              <w:right w:val="single" w:color="auto" w:sz="4" w:space="0"/>
            </w:tcBorders>
            <w:noWrap w:val="0"/>
            <w:vAlign w:val="center"/>
          </w:tcPr>
          <w:p>
            <w:pPr>
              <w:jc w:val="center"/>
              <w:rPr>
                <w:rFonts w:hint="eastAsia" w:ascii="仿宋_GB2312" w:hAnsi="仿宋_GB2312" w:eastAsia="仿宋_GB2312" w:cs="仿宋_GB2312"/>
                <w:color w:val="000000"/>
                <w:sz w:val="24"/>
              </w:rPr>
            </w:pPr>
          </w:p>
        </w:tc>
        <w:tc>
          <w:tcPr>
            <w:tcW w:w="1184" w:type="dxa"/>
            <w:gridSpan w:val="3"/>
            <w:vMerge w:val="restart"/>
            <w:tcBorders>
              <w:top w:val="single" w:color="auto" w:sz="4" w:space="0"/>
              <w:lef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rPr>
            </w:pPr>
            <w:r>
              <w:rPr>
                <w:rFonts w:hint="default" w:ascii="仿宋_GB2312" w:hAnsi="宋体" w:eastAsia="仿宋_GB2312" w:cs="仿宋_GB2312"/>
                <w:i w:val="0"/>
                <w:iCs w:val="0"/>
                <w:color w:val="000000"/>
                <w:kern w:val="0"/>
                <w:sz w:val="22"/>
                <w:szCs w:val="22"/>
                <w:u w:val="none"/>
                <w:lang w:val="en-US" w:eastAsia="zh-CN" w:bidi="ar"/>
              </w:rPr>
              <w:t>基本支出</w:t>
            </w:r>
          </w:p>
        </w:tc>
        <w:tc>
          <w:tcPr>
            <w:tcW w:w="2368" w:type="dxa"/>
            <w:gridSpan w:val="7"/>
            <w:tcBorders>
              <w:top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rPr>
            </w:pPr>
            <w:r>
              <w:rPr>
                <w:rFonts w:hint="default" w:ascii="仿宋_GB2312" w:hAnsi="宋体" w:eastAsia="仿宋_GB2312" w:cs="仿宋_GB2312"/>
                <w:i w:val="0"/>
                <w:iCs w:val="0"/>
                <w:color w:val="000000"/>
                <w:kern w:val="0"/>
                <w:sz w:val="22"/>
                <w:szCs w:val="22"/>
                <w:u w:val="none"/>
                <w:lang w:val="en-US" w:eastAsia="zh-CN" w:bidi="ar"/>
              </w:rPr>
              <w:t>其中：</w:t>
            </w:r>
          </w:p>
        </w:tc>
        <w:tc>
          <w:tcPr>
            <w:tcW w:w="1184" w:type="dxa"/>
            <w:gridSpan w:val="2"/>
            <w:vMerge w:val="restart"/>
            <w:tcBorders>
              <w:top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rPr>
            </w:pPr>
            <w:r>
              <w:rPr>
                <w:rFonts w:hint="default" w:ascii="仿宋_GB2312" w:hAnsi="宋体" w:eastAsia="仿宋_GB2312" w:cs="仿宋_GB2312"/>
                <w:i w:val="0"/>
                <w:iCs w:val="0"/>
                <w:color w:val="000000"/>
                <w:kern w:val="0"/>
                <w:sz w:val="22"/>
                <w:szCs w:val="22"/>
                <w:u w:val="none"/>
                <w:lang w:val="en-US" w:eastAsia="zh-CN" w:bidi="ar"/>
              </w:rPr>
              <w:t>项目支出</w:t>
            </w:r>
          </w:p>
        </w:tc>
        <w:tc>
          <w:tcPr>
            <w:tcW w:w="1196" w:type="dxa"/>
            <w:gridSpan w:val="4"/>
            <w:vMerge w:val="restart"/>
            <w:tcBorders>
              <w:top w:val="single" w:color="auto"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rPr>
            </w:pPr>
            <w:r>
              <w:rPr>
                <w:rFonts w:hint="default" w:ascii="仿宋_GB2312" w:hAnsi="宋体" w:eastAsia="仿宋_GB2312" w:cs="仿宋_GB2312"/>
                <w:i w:val="0"/>
                <w:iCs w:val="0"/>
                <w:color w:val="000000"/>
                <w:kern w:val="0"/>
                <w:sz w:val="22"/>
                <w:szCs w:val="22"/>
                <w:u w:val="none"/>
                <w:lang w:val="en-US" w:eastAsia="zh-CN" w:bidi="ar"/>
              </w:rPr>
              <w:t>当年结余</w:t>
            </w:r>
          </w:p>
        </w:tc>
        <w:tc>
          <w:tcPr>
            <w:tcW w:w="1245" w:type="dxa"/>
            <w:gridSpan w:val="2"/>
            <w:vMerge w:val="restart"/>
            <w:tcBorders>
              <w:top w:val="single" w:color="auto" w:sz="4" w:space="0"/>
              <w:lef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000000"/>
                <w:sz w:val="24"/>
              </w:rPr>
            </w:pPr>
            <w:r>
              <w:rPr>
                <w:rFonts w:hint="default" w:ascii="仿宋_GB2312" w:hAnsi="宋体" w:eastAsia="仿宋_GB2312" w:cs="仿宋_GB2312"/>
                <w:i w:val="0"/>
                <w:iCs w:val="0"/>
                <w:color w:val="000000"/>
                <w:kern w:val="0"/>
                <w:sz w:val="22"/>
                <w:szCs w:val="22"/>
                <w:u w:val="none"/>
                <w:lang w:val="en-US" w:eastAsia="zh-CN" w:bidi="ar"/>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03" w:hRule="atLeast"/>
          <w:jc w:val="center"/>
        </w:trPr>
        <w:tc>
          <w:tcPr>
            <w:tcW w:w="1704" w:type="dxa"/>
            <w:gridSpan w:val="6"/>
            <w:vMerge w:val="continue"/>
            <w:noWrap w:val="0"/>
            <w:vAlign w:val="center"/>
          </w:tcPr>
          <w:p>
            <w:pPr>
              <w:jc w:val="center"/>
              <w:rPr>
                <w:rFonts w:hint="eastAsia" w:ascii="仿宋_GB2312" w:hAnsi="仿宋_GB2312" w:eastAsia="仿宋_GB2312" w:cs="仿宋_GB2312"/>
                <w:sz w:val="24"/>
              </w:rPr>
            </w:pPr>
          </w:p>
        </w:tc>
        <w:tc>
          <w:tcPr>
            <w:tcW w:w="1093" w:type="dxa"/>
            <w:gridSpan w:val="2"/>
            <w:vMerge w:val="continue"/>
            <w:tcBorders>
              <w:right w:val="single" w:color="auto" w:sz="4" w:space="0"/>
            </w:tcBorders>
            <w:noWrap w:val="0"/>
            <w:vAlign w:val="center"/>
          </w:tcPr>
          <w:p>
            <w:pPr>
              <w:jc w:val="center"/>
              <w:rPr>
                <w:rFonts w:hint="eastAsia" w:ascii="仿宋_GB2312" w:hAnsi="仿宋_GB2312" w:eastAsia="仿宋_GB2312" w:cs="仿宋_GB2312"/>
                <w:color w:val="000000"/>
                <w:sz w:val="24"/>
              </w:rPr>
            </w:pPr>
          </w:p>
        </w:tc>
        <w:tc>
          <w:tcPr>
            <w:tcW w:w="1184" w:type="dxa"/>
            <w:gridSpan w:val="3"/>
            <w:vMerge w:val="continue"/>
            <w:tcBorders>
              <w:left w:val="single" w:color="auto" w:sz="4" w:space="0"/>
            </w:tcBorders>
            <w:noWrap w:val="0"/>
            <w:vAlign w:val="center"/>
          </w:tcPr>
          <w:p>
            <w:pPr>
              <w:jc w:val="center"/>
              <w:rPr>
                <w:rFonts w:hint="eastAsia" w:ascii="仿宋_GB2312" w:hAnsi="仿宋_GB2312" w:eastAsia="仿宋_GB2312" w:cs="仿宋_GB2312"/>
                <w:color w:val="auto"/>
                <w:sz w:val="24"/>
              </w:rPr>
            </w:pPr>
          </w:p>
        </w:tc>
        <w:tc>
          <w:tcPr>
            <w:tcW w:w="1184" w:type="dxa"/>
            <w:gridSpan w:val="5"/>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rPr>
            </w:pPr>
            <w:r>
              <w:rPr>
                <w:rFonts w:hint="default" w:ascii="仿宋_GB2312" w:hAnsi="宋体" w:eastAsia="仿宋_GB2312" w:cs="仿宋_GB2312"/>
                <w:i w:val="0"/>
                <w:iCs w:val="0"/>
                <w:color w:val="000000"/>
                <w:kern w:val="0"/>
                <w:sz w:val="22"/>
                <w:szCs w:val="22"/>
                <w:u w:val="none"/>
                <w:lang w:val="en-US" w:eastAsia="zh-CN" w:bidi="ar"/>
              </w:rPr>
              <w:t>人员支出</w:t>
            </w:r>
          </w:p>
        </w:tc>
        <w:tc>
          <w:tcPr>
            <w:tcW w:w="1184" w:type="dxa"/>
            <w:gridSpan w:val="2"/>
            <w:noWrap w:val="0"/>
            <w:vAlign w:val="center"/>
          </w:tcPr>
          <w:p>
            <w:pPr>
              <w:keepNext w:val="0"/>
              <w:keepLines w:val="0"/>
              <w:widowControl/>
              <w:suppressLineNumbers w:val="0"/>
              <w:jc w:val="center"/>
              <w:textAlignment w:val="center"/>
              <w:rPr>
                <w:rFonts w:hint="eastAsia" w:ascii="仿宋_GB2312" w:hAnsi="仿宋_GB2312" w:eastAsia="仿宋_GB2312" w:cs="仿宋_GB2312"/>
                <w:color w:val="auto"/>
                <w:sz w:val="24"/>
              </w:rPr>
            </w:pPr>
            <w:r>
              <w:rPr>
                <w:rFonts w:hint="default" w:ascii="仿宋_GB2312" w:hAnsi="宋体" w:eastAsia="仿宋_GB2312" w:cs="仿宋_GB2312"/>
                <w:i w:val="0"/>
                <w:iCs w:val="0"/>
                <w:color w:val="000000"/>
                <w:kern w:val="0"/>
                <w:sz w:val="22"/>
                <w:szCs w:val="22"/>
                <w:u w:val="none"/>
                <w:lang w:val="en-US" w:eastAsia="zh-CN" w:bidi="ar"/>
              </w:rPr>
              <w:t>公用支出</w:t>
            </w:r>
          </w:p>
        </w:tc>
        <w:tc>
          <w:tcPr>
            <w:tcW w:w="1184" w:type="dxa"/>
            <w:gridSpan w:val="2"/>
            <w:vMerge w:val="continue"/>
            <w:tcBorders>
              <w:right w:val="single" w:color="auto" w:sz="4" w:space="0"/>
            </w:tcBorders>
            <w:noWrap w:val="0"/>
            <w:vAlign w:val="center"/>
          </w:tcPr>
          <w:p>
            <w:pPr>
              <w:jc w:val="center"/>
              <w:rPr>
                <w:rFonts w:hint="eastAsia" w:ascii="仿宋_GB2312" w:hAnsi="仿宋_GB2312" w:eastAsia="仿宋_GB2312" w:cs="仿宋_GB2312"/>
                <w:color w:val="auto"/>
                <w:sz w:val="24"/>
              </w:rPr>
            </w:pPr>
          </w:p>
        </w:tc>
        <w:tc>
          <w:tcPr>
            <w:tcW w:w="1196" w:type="dxa"/>
            <w:gridSpan w:val="4"/>
            <w:vMerge w:val="continue"/>
            <w:tcBorders>
              <w:left w:val="single" w:color="auto" w:sz="4" w:space="0"/>
              <w:right w:val="single" w:color="auto" w:sz="4" w:space="0"/>
            </w:tcBorders>
            <w:noWrap w:val="0"/>
            <w:vAlign w:val="center"/>
          </w:tcPr>
          <w:p>
            <w:pPr>
              <w:jc w:val="center"/>
              <w:rPr>
                <w:rFonts w:hint="eastAsia" w:ascii="仿宋_GB2312" w:hAnsi="仿宋_GB2312" w:eastAsia="仿宋_GB2312" w:cs="仿宋_GB2312"/>
                <w:color w:val="auto"/>
                <w:sz w:val="24"/>
              </w:rPr>
            </w:pPr>
          </w:p>
        </w:tc>
        <w:tc>
          <w:tcPr>
            <w:tcW w:w="1245" w:type="dxa"/>
            <w:gridSpan w:val="2"/>
            <w:vMerge w:val="continue"/>
            <w:tcBorders>
              <w:left w:val="single" w:color="auto" w:sz="4" w:space="0"/>
            </w:tcBorders>
            <w:noWrap w:val="0"/>
            <w:vAlign w:val="center"/>
          </w:tcPr>
          <w:p>
            <w:pPr>
              <w:jc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09" w:hRule="atLeast"/>
          <w:jc w:val="center"/>
        </w:trPr>
        <w:tc>
          <w:tcPr>
            <w:tcW w:w="1704" w:type="dxa"/>
            <w:gridSpan w:val="6"/>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sz w:val="24"/>
                <w:szCs w:val="24"/>
              </w:rPr>
            </w:pPr>
            <w:r>
              <w:rPr>
                <w:rFonts w:hint="default" w:ascii="仿宋_GB2312" w:hAnsi="宋体" w:eastAsia="仿宋_GB2312" w:cs="仿宋_GB2312"/>
                <w:b/>
                <w:bCs/>
                <w:i w:val="0"/>
                <w:iCs w:val="0"/>
                <w:color w:val="000000"/>
                <w:kern w:val="0"/>
                <w:sz w:val="22"/>
                <w:szCs w:val="22"/>
                <w:u w:val="none"/>
                <w:lang w:val="en-US" w:eastAsia="zh-CN" w:bidi="ar"/>
              </w:rPr>
              <w:t>岳阳市自然资源和规划局机关</w:t>
            </w:r>
          </w:p>
        </w:tc>
        <w:tc>
          <w:tcPr>
            <w:tcW w:w="1093" w:type="dxa"/>
            <w:gridSpan w:val="2"/>
            <w:tcBorders>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sz w:val="21"/>
                <w:szCs w:val="21"/>
                <w:highlight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14,538.22</w:t>
            </w:r>
          </w:p>
        </w:tc>
        <w:tc>
          <w:tcPr>
            <w:tcW w:w="1184" w:type="dxa"/>
            <w:gridSpan w:val="3"/>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sz w:val="21"/>
                <w:szCs w:val="21"/>
                <w:highlight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9,001.64</w:t>
            </w:r>
          </w:p>
        </w:tc>
        <w:tc>
          <w:tcPr>
            <w:tcW w:w="1184" w:type="dxa"/>
            <w:gridSpan w:val="5"/>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sz w:val="21"/>
                <w:szCs w:val="21"/>
                <w:highlight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5,</w:t>
            </w:r>
            <w:r>
              <w:rPr>
                <w:rFonts w:hint="eastAsia" w:cs="Times New Roman"/>
                <w:b/>
                <w:bCs/>
                <w:i w:val="0"/>
                <w:iCs w:val="0"/>
                <w:color w:val="000000"/>
                <w:kern w:val="0"/>
                <w:sz w:val="21"/>
                <w:szCs w:val="21"/>
                <w:u w:val="none"/>
                <w:lang w:val="en-US" w:eastAsia="zh-CN" w:bidi="ar"/>
              </w:rPr>
              <w:t>522</w:t>
            </w:r>
            <w:r>
              <w:rPr>
                <w:rFonts w:hint="default" w:ascii="Times New Roman" w:hAnsi="Times New Roman" w:eastAsia="宋体" w:cs="Times New Roman"/>
                <w:b/>
                <w:bCs/>
                <w:i w:val="0"/>
                <w:iCs w:val="0"/>
                <w:color w:val="000000"/>
                <w:kern w:val="0"/>
                <w:sz w:val="21"/>
                <w:szCs w:val="21"/>
                <w:u w:val="none"/>
                <w:lang w:val="en-US" w:eastAsia="zh-CN" w:bidi="ar"/>
              </w:rPr>
              <w:t>.</w:t>
            </w:r>
            <w:r>
              <w:rPr>
                <w:rFonts w:hint="eastAsia" w:cs="Times New Roman"/>
                <w:b/>
                <w:bCs/>
                <w:i w:val="0"/>
                <w:iCs w:val="0"/>
                <w:color w:val="000000"/>
                <w:kern w:val="0"/>
                <w:sz w:val="21"/>
                <w:szCs w:val="21"/>
                <w:u w:val="none"/>
                <w:lang w:val="en-US" w:eastAsia="zh-CN" w:bidi="ar"/>
              </w:rPr>
              <w:t>79</w:t>
            </w:r>
          </w:p>
        </w:tc>
        <w:tc>
          <w:tcPr>
            <w:tcW w:w="1184" w:type="dxa"/>
            <w:gridSpan w:val="2"/>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sz w:val="21"/>
                <w:szCs w:val="21"/>
                <w:highlight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3,478.85</w:t>
            </w:r>
          </w:p>
        </w:tc>
        <w:tc>
          <w:tcPr>
            <w:tcW w:w="1184" w:type="dxa"/>
            <w:gridSpan w:val="2"/>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sz w:val="21"/>
                <w:szCs w:val="21"/>
                <w:highlight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5,536.58</w:t>
            </w:r>
          </w:p>
        </w:tc>
        <w:tc>
          <w:tcPr>
            <w:tcW w:w="1196" w:type="dxa"/>
            <w:gridSpan w:val="4"/>
            <w:tcBorders>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sz w:val="21"/>
                <w:szCs w:val="21"/>
                <w:highlight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-5,641.78</w:t>
            </w:r>
          </w:p>
        </w:tc>
        <w:tc>
          <w:tcPr>
            <w:tcW w:w="1245" w:type="dxa"/>
            <w:gridSpan w:val="2"/>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sz w:val="21"/>
                <w:szCs w:val="21"/>
                <w:highlight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141.44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4" w:hRule="atLeast"/>
          <w:jc w:val="center"/>
        </w:trPr>
        <w:tc>
          <w:tcPr>
            <w:tcW w:w="1704" w:type="dxa"/>
            <w:gridSpan w:val="6"/>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sz w:val="24"/>
                <w:szCs w:val="24"/>
                <w:lang w:eastAsia="zh-CN"/>
              </w:rPr>
            </w:pPr>
            <w:r>
              <w:rPr>
                <w:rFonts w:hint="default" w:ascii="Times New Roman" w:hAnsi="Times New Roman" w:eastAsia="宋体" w:cs="Times New Roman"/>
                <w:b/>
                <w:bCs/>
                <w:i w:val="0"/>
                <w:iCs w:val="0"/>
                <w:color w:val="000000"/>
                <w:kern w:val="0"/>
                <w:sz w:val="22"/>
                <w:szCs w:val="22"/>
                <w:u w:val="none"/>
                <w:lang w:val="en-US" w:eastAsia="zh-CN" w:bidi="ar"/>
              </w:rPr>
              <w:t>1</w:t>
            </w:r>
            <w:r>
              <w:rPr>
                <w:rFonts w:hint="default" w:ascii="仿宋_GB2312" w:hAnsi="Times New Roman" w:eastAsia="仿宋_GB2312" w:cs="仿宋_GB2312"/>
                <w:b/>
                <w:bCs/>
                <w:i w:val="0"/>
                <w:iCs w:val="0"/>
                <w:color w:val="000000"/>
                <w:kern w:val="0"/>
                <w:sz w:val="22"/>
                <w:szCs w:val="22"/>
                <w:u w:val="none"/>
                <w:lang w:val="en-US" w:eastAsia="zh-CN" w:bidi="ar"/>
              </w:rPr>
              <w:t>、局机关（本级）</w:t>
            </w:r>
          </w:p>
        </w:tc>
        <w:tc>
          <w:tcPr>
            <w:tcW w:w="1093" w:type="dxa"/>
            <w:gridSpan w:val="2"/>
            <w:tcBorders>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sz w:val="21"/>
                <w:szCs w:val="21"/>
                <w:highlight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8,218.83</w:t>
            </w:r>
          </w:p>
        </w:tc>
        <w:tc>
          <w:tcPr>
            <w:tcW w:w="1184" w:type="dxa"/>
            <w:gridSpan w:val="3"/>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sz w:val="21"/>
                <w:szCs w:val="21"/>
                <w:highlight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3,395.25</w:t>
            </w:r>
          </w:p>
        </w:tc>
        <w:tc>
          <w:tcPr>
            <w:tcW w:w="1184" w:type="dxa"/>
            <w:gridSpan w:val="5"/>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sz w:val="21"/>
                <w:szCs w:val="21"/>
                <w:highlight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2,024.49</w:t>
            </w:r>
          </w:p>
        </w:tc>
        <w:tc>
          <w:tcPr>
            <w:tcW w:w="1184" w:type="dxa"/>
            <w:gridSpan w:val="2"/>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sz w:val="21"/>
                <w:szCs w:val="21"/>
                <w:highlight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1,370.76</w:t>
            </w:r>
          </w:p>
        </w:tc>
        <w:tc>
          <w:tcPr>
            <w:tcW w:w="1184" w:type="dxa"/>
            <w:gridSpan w:val="2"/>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sz w:val="21"/>
                <w:szCs w:val="21"/>
                <w:highlight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4,823.58</w:t>
            </w:r>
          </w:p>
        </w:tc>
        <w:tc>
          <w:tcPr>
            <w:tcW w:w="1196" w:type="dxa"/>
            <w:gridSpan w:val="4"/>
            <w:tcBorders>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sz w:val="21"/>
                <w:szCs w:val="21"/>
                <w:highlight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-3,474.90</w:t>
            </w:r>
          </w:p>
        </w:tc>
        <w:tc>
          <w:tcPr>
            <w:tcW w:w="1245" w:type="dxa"/>
            <w:gridSpan w:val="2"/>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sz w:val="21"/>
                <w:szCs w:val="21"/>
                <w:highlight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43" w:hRule="atLeast"/>
          <w:jc w:val="center"/>
        </w:trPr>
        <w:tc>
          <w:tcPr>
            <w:tcW w:w="1704" w:type="dxa"/>
            <w:gridSpan w:val="6"/>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宋体" w:cs="Times New Roman"/>
                <w:i w:val="0"/>
                <w:iCs w:val="0"/>
                <w:color w:val="000000"/>
                <w:kern w:val="0"/>
                <w:sz w:val="22"/>
                <w:szCs w:val="22"/>
                <w:u w:val="none"/>
                <w:lang w:val="en-US" w:eastAsia="zh-CN" w:bidi="ar"/>
              </w:rPr>
              <w:t>2</w:t>
            </w:r>
            <w:r>
              <w:rPr>
                <w:rFonts w:hint="default" w:ascii="仿宋_GB2312" w:hAnsi="Times New Roman" w:eastAsia="仿宋_GB2312" w:cs="仿宋_GB2312"/>
                <w:i w:val="0"/>
                <w:iCs w:val="0"/>
                <w:color w:val="000000"/>
                <w:kern w:val="0"/>
                <w:sz w:val="22"/>
                <w:szCs w:val="22"/>
                <w:u w:val="none"/>
                <w:lang w:val="en-US" w:eastAsia="zh-CN" w:bidi="ar"/>
              </w:rPr>
              <w:t>、南湖新区分局</w:t>
            </w:r>
          </w:p>
        </w:tc>
        <w:tc>
          <w:tcPr>
            <w:tcW w:w="1093" w:type="dxa"/>
            <w:gridSpan w:val="2"/>
            <w:tcBorders>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610.58</w:t>
            </w:r>
          </w:p>
        </w:tc>
        <w:tc>
          <w:tcPr>
            <w:tcW w:w="1184" w:type="dxa"/>
            <w:gridSpan w:val="3"/>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306.18</w:t>
            </w:r>
          </w:p>
        </w:tc>
        <w:tc>
          <w:tcPr>
            <w:tcW w:w="1184" w:type="dxa"/>
            <w:gridSpan w:val="5"/>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186.41</w:t>
            </w:r>
          </w:p>
        </w:tc>
        <w:tc>
          <w:tcPr>
            <w:tcW w:w="1184" w:type="dxa"/>
            <w:gridSpan w:val="2"/>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119.77</w:t>
            </w:r>
          </w:p>
        </w:tc>
        <w:tc>
          <w:tcPr>
            <w:tcW w:w="1184" w:type="dxa"/>
            <w:gridSpan w:val="2"/>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304.4</w:t>
            </w:r>
          </w:p>
        </w:tc>
        <w:tc>
          <w:tcPr>
            <w:tcW w:w="1196" w:type="dxa"/>
            <w:gridSpan w:val="4"/>
            <w:tcBorders>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-282.02</w:t>
            </w:r>
          </w:p>
        </w:tc>
        <w:tc>
          <w:tcPr>
            <w:tcW w:w="1245" w:type="dxa"/>
            <w:gridSpan w:val="2"/>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4" w:hRule="atLeast"/>
          <w:jc w:val="center"/>
        </w:trPr>
        <w:tc>
          <w:tcPr>
            <w:tcW w:w="1704" w:type="dxa"/>
            <w:gridSpan w:val="6"/>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宋体" w:cs="Times New Roman"/>
                <w:i w:val="0"/>
                <w:iCs w:val="0"/>
                <w:color w:val="000000"/>
                <w:kern w:val="0"/>
                <w:sz w:val="22"/>
                <w:szCs w:val="22"/>
                <w:u w:val="none"/>
                <w:lang w:val="en-US" w:eastAsia="zh-CN" w:bidi="ar"/>
              </w:rPr>
              <w:t>3</w:t>
            </w:r>
            <w:r>
              <w:rPr>
                <w:rFonts w:hint="default" w:ascii="仿宋_GB2312" w:hAnsi="Times New Roman" w:eastAsia="仿宋_GB2312" w:cs="仿宋_GB2312"/>
                <w:i w:val="0"/>
                <w:iCs w:val="0"/>
                <w:color w:val="000000"/>
                <w:kern w:val="0"/>
                <w:sz w:val="22"/>
                <w:szCs w:val="22"/>
                <w:u w:val="none"/>
                <w:lang w:val="en-US" w:eastAsia="zh-CN" w:bidi="ar"/>
              </w:rPr>
              <w:t>、经济技术开发区分局</w:t>
            </w:r>
          </w:p>
        </w:tc>
        <w:tc>
          <w:tcPr>
            <w:tcW w:w="1093" w:type="dxa"/>
            <w:gridSpan w:val="2"/>
            <w:tcBorders>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1,519.13</w:t>
            </w:r>
          </w:p>
        </w:tc>
        <w:tc>
          <w:tcPr>
            <w:tcW w:w="1184" w:type="dxa"/>
            <w:gridSpan w:val="3"/>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1,519.13</w:t>
            </w:r>
          </w:p>
        </w:tc>
        <w:tc>
          <w:tcPr>
            <w:tcW w:w="1184" w:type="dxa"/>
            <w:gridSpan w:val="5"/>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830.27</w:t>
            </w:r>
          </w:p>
        </w:tc>
        <w:tc>
          <w:tcPr>
            <w:tcW w:w="1184" w:type="dxa"/>
            <w:gridSpan w:val="2"/>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688.86</w:t>
            </w:r>
          </w:p>
        </w:tc>
        <w:tc>
          <w:tcPr>
            <w:tcW w:w="1184" w:type="dxa"/>
            <w:gridSpan w:val="2"/>
            <w:noWrap w:val="0"/>
            <w:vAlign w:val="center"/>
          </w:tcPr>
          <w:p>
            <w:pPr>
              <w:jc w:val="center"/>
              <w:rPr>
                <w:rFonts w:hint="default" w:ascii="Times New Roman" w:hAnsi="Times New Roman" w:eastAsia="仿宋_GB2312" w:cs="Times New Roman"/>
                <w:color w:val="000000"/>
                <w:sz w:val="21"/>
                <w:szCs w:val="21"/>
                <w:highlight w:val="none"/>
                <w:lang w:val="en-US" w:eastAsia="zh-CN"/>
              </w:rPr>
            </w:pPr>
          </w:p>
        </w:tc>
        <w:tc>
          <w:tcPr>
            <w:tcW w:w="1196" w:type="dxa"/>
            <w:gridSpan w:val="4"/>
            <w:tcBorders>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-906.57</w:t>
            </w:r>
          </w:p>
        </w:tc>
        <w:tc>
          <w:tcPr>
            <w:tcW w:w="1245" w:type="dxa"/>
            <w:gridSpan w:val="2"/>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22.26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67" w:hRule="atLeast"/>
          <w:jc w:val="center"/>
        </w:trPr>
        <w:tc>
          <w:tcPr>
            <w:tcW w:w="1704" w:type="dxa"/>
            <w:gridSpan w:val="6"/>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宋体" w:cs="Times New Roman"/>
                <w:i w:val="0"/>
                <w:iCs w:val="0"/>
                <w:color w:val="000000"/>
                <w:kern w:val="0"/>
                <w:sz w:val="22"/>
                <w:szCs w:val="22"/>
                <w:u w:val="none"/>
                <w:lang w:val="en-US" w:eastAsia="zh-CN" w:bidi="ar"/>
              </w:rPr>
              <w:t>4</w:t>
            </w:r>
            <w:r>
              <w:rPr>
                <w:rFonts w:hint="default" w:ascii="仿宋_GB2312" w:hAnsi="Times New Roman" w:eastAsia="仿宋_GB2312" w:cs="仿宋_GB2312"/>
                <w:i w:val="0"/>
                <w:iCs w:val="0"/>
                <w:color w:val="000000"/>
                <w:kern w:val="0"/>
                <w:sz w:val="22"/>
                <w:szCs w:val="22"/>
                <w:u w:val="none"/>
                <w:lang w:val="en-US" w:eastAsia="zh-CN" w:bidi="ar"/>
              </w:rPr>
              <w:t>、临港国土管理处</w:t>
            </w:r>
          </w:p>
        </w:tc>
        <w:tc>
          <w:tcPr>
            <w:tcW w:w="1093" w:type="dxa"/>
            <w:gridSpan w:val="2"/>
            <w:tcBorders>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248.62</w:t>
            </w:r>
          </w:p>
        </w:tc>
        <w:tc>
          <w:tcPr>
            <w:tcW w:w="1184" w:type="dxa"/>
            <w:gridSpan w:val="3"/>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110.89</w:t>
            </w:r>
          </w:p>
        </w:tc>
        <w:tc>
          <w:tcPr>
            <w:tcW w:w="1184" w:type="dxa"/>
            <w:gridSpan w:val="5"/>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91.75</w:t>
            </w:r>
          </w:p>
        </w:tc>
        <w:tc>
          <w:tcPr>
            <w:tcW w:w="1184" w:type="dxa"/>
            <w:gridSpan w:val="2"/>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19.14</w:t>
            </w:r>
          </w:p>
        </w:tc>
        <w:tc>
          <w:tcPr>
            <w:tcW w:w="1184" w:type="dxa"/>
            <w:gridSpan w:val="2"/>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137.73</w:t>
            </w:r>
          </w:p>
        </w:tc>
        <w:tc>
          <w:tcPr>
            <w:tcW w:w="1196" w:type="dxa"/>
            <w:gridSpan w:val="4"/>
            <w:tcBorders>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-8.63</w:t>
            </w:r>
          </w:p>
        </w:tc>
        <w:tc>
          <w:tcPr>
            <w:tcW w:w="1245" w:type="dxa"/>
            <w:gridSpan w:val="2"/>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61" w:hRule="atLeast"/>
          <w:jc w:val="center"/>
        </w:trPr>
        <w:tc>
          <w:tcPr>
            <w:tcW w:w="1704" w:type="dxa"/>
            <w:gridSpan w:val="6"/>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宋体" w:cs="Times New Roman"/>
                <w:i w:val="0"/>
                <w:iCs w:val="0"/>
                <w:color w:val="000000"/>
                <w:kern w:val="0"/>
                <w:sz w:val="22"/>
                <w:szCs w:val="22"/>
                <w:u w:val="none"/>
                <w:lang w:val="en-US" w:eastAsia="zh-CN" w:bidi="ar"/>
              </w:rPr>
              <w:t>5</w:t>
            </w:r>
            <w:r>
              <w:rPr>
                <w:rFonts w:hint="default" w:ascii="仿宋_GB2312" w:hAnsi="Times New Roman" w:eastAsia="仿宋_GB2312" w:cs="仿宋_GB2312"/>
                <w:i w:val="0"/>
                <w:iCs w:val="0"/>
                <w:color w:val="000000"/>
                <w:kern w:val="0"/>
                <w:sz w:val="22"/>
                <w:szCs w:val="22"/>
                <w:u w:val="none"/>
                <w:lang w:val="en-US" w:eastAsia="zh-CN" w:bidi="ar"/>
              </w:rPr>
              <w:t>、不动产登记中心</w:t>
            </w:r>
          </w:p>
        </w:tc>
        <w:tc>
          <w:tcPr>
            <w:tcW w:w="1093" w:type="dxa"/>
            <w:gridSpan w:val="2"/>
            <w:tcBorders>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1,893.65</w:t>
            </w:r>
          </w:p>
        </w:tc>
        <w:tc>
          <w:tcPr>
            <w:tcW w:w="1184" w:type="dxa"/>
            <w:gridSpan w:val="3"/>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1,891.23</w:t>
            </w:r>
          </w:p>
        </w:tc>
        <w:tc>
          <w:tcPr>
            <w:tcW w:w="1184" w:type="dxa"/>
            <w:gridSpan w:val="5"/>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1,368.50</w:t>
            </w:r>
          </w:p>
        </w:tc>
        <w:tc>
          <w:tcPr>
            <w:tcW w:w="1184" w:type="dxa"/>
            <w:gridSpan w:val="2"/>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522.73</w:t>
            </w:r>
          </w:p>
        </w:tc>
        <w:tc>
          <w:tcPr>
            <w:tcW w:w="1184" w:type="dxa"/>
            <w:gridSpan w:val="2"/>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2.42</w:t>
            </w:r>
          </w:p>
        </w:tc>
        <w:tc>
          <w:tcPr>
            <w:tcW w:w="1196" w:type="dxa"/>
            <w:gridSpan w:val="4"/>
            <w:tcBorders>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-184.56</w:t>
            </w:r>
          </w:p>
        </w:tc>
        <w:tc>
          <w:tcPr>
            <w:tcW w:w="1245" w:type="dxa"/>
            <w:gridSpan w:val="2"/>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29" w:hRule="atLeast"/>
          <w:jc w:val="center"/>
        </w:trPr>
        <w:tc>
          <w:tcPr>
            <w:tcW w:w="1704" w:type="dxa"/>
            <w:gridSpan w:val="6"/>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宋体" w:cs="Times New Roman"/>
                <w:i w:val="0"/>
                <w:iCs w:val="0"/>
                <w:color w:val="000000"/>
                <w:kern w:val="0"/>
                <w:sz w:val="22"/>
                <w:szCs w:val="22"/>
                <w:u w:val="none"/>
                <w:lang w:val="en-US" w:eastAsia="zh-CN" w:bidi="ar"/>
              </w:rPr>
              <w:t>6</w:t>
            </w:r>
            <w:r>
              <w:rPr>
                <w:rFonts w:hint="default" w:ascii="仿宋_GB2312" w:hAnsi="Times New Roman" w:eastAsia="仿宋_GB2312" w:cs="仿宋_GB2312"/>
                <w:i w:val="0"/>
                <w:iCs w:val="0"/>
                <w:color w:val="000000"/>
                <w:kern w:val="0"/>
                <w:sz w:val="22"/>
                <w:szCs w:val="22"/>
                <w:u w:val="none"/>
                <w:lang w:val="en-US" w:eastAsia="zh-CN" w:bidi="ar"/>
              </w:rPr>
              <w:t>、执法监察支队</w:t>
            </w:r>
          </w:p>
        </w:tc>
        <w:tc>
          <w:tcPr>
            <w:tcW w:w="1093" w:type="dxa"/>
            <w:gridSpan w:val="2"/>
            <w:tcBorders>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521.95</w:t>
            </w:r>
          </w:p>
        </w:tc>
        <w:tc>
          <w:tcPr>
            <w:tcW w:w="1184" w:type="dxa"/>
            <w:gridSpan w:val="3"/>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285.55</w:t>
            </w:r>
          </w:p>
        </w:tc>
        <w:tc>
          <w:tcPr>
            <w:tcW w:w="1184" w:type="dxa"/>
            <w:gridSpan w:val="5"/>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214.27</w:t>
            </w:r>
          </w:p>
        </w:tc>
        <w:tc>
          <w:tcPr>
            <w:tcW w:w="1184" w:type="dxa"/>
            <w:gridSpan w:val="2"/>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71.28</w:t>
            </w:r>
          </w:p>
        </w:tc>
        <w:tc>
          <w:tcPr>
            <w:tcW w:w="1184" w:type="dxa"/>
            <w:gridSpan w:val="2"/>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236.4</w:t>
            </w:r>
          </w:p>
        </w:tc>
        <w:tc>
          <w:tcPr>
            <w:tcW w:w="1196" w:type="dxa"/>
            <w:gridSpan w:val="4"/>
            <w:tcBorders>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-165.26</w:t>
            </w:r>
          </w:p>
        </w:tc>
        <w:tc>
          <w:tcPr>
            <w:tcW w:w="1245" w:type="dxa"/>
            <w:gridSpan w:val="2"/>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113.58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28" w:hRule="atLeast"/>
          <w:jc w:val="center"/>
        </w:trPr>
        <w:tc>
          <w:tcPr>
            <w:tcW w:w="1704" w:type="dxa"/>
            <w:gridSpan w:val="6"/>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宋体" w:cs="Times New Roman"/>
                <w:i w:val="0"/>
                <w:iCs w:val="0"/>
                <w:color w:val="000000"/>
                <w:kern w:val="0"/>
                <w:sz w:val="22"/>
                <w:szCs w:val="22"/>
                <w:u w:val="none"/>
                <w:lang w:val="en-US" w:eastAsia="zh-CN" w:bidi="ar"/>
              </w:rPr>
              <w:t>7</w:t>
            </w:r>
            <w:r>
              <w:rPr>
                <w:rFonts w:hint="default" w:ascii="仿宋_GB2312" w:hAnsi="Times New Roman" w:eastAsia="仿宋_GB2312" w:cs="仿宋_GB2312"/>
                <w:i w:val="0"/>
                <w:iCs w:val="0"/>
                <w:color w:val="000000"/>
                <w:kern w:val="0"/>
                <w:sz w:val="22"/>
                <w:szCs w:val="22"/>
                <w:u w:val="none"/>
                <w:lang w:val="en-US" w:eastAsia="zh-CN" w:bidi="ar"/>
              </w:rPr>
              <w:t>、土地综合整治中心</w:t>
            </w:r>
          </w:p>
        </w:tc>
        <w:tc>
          <w:tcPr>
            <w:tcW w:w="1093" w:type="dxa"/>
            <w:gridSpan w:val="2"/>
            <w:tcBorders>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199.98</w:t>
            </w:r>
          </w:p>
        </w:tc>
        <w:tc>
          <w:tcPr>
            <w:tcW w:w="1184" w:type="dxa"/>
            <w:gridSpan w:val="3"/>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194.89</w:t>
            </w:r>
          </w:p>
        </w:tc>
        <w:tc>
          <w:tcPr>
            <w:tcW w:w="1184" w:type="dxa"/>
            <w:gridSpan w:val="5"/>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eastAsia" w:cs="Times New Roman"/>
                <w:i w:val="0"/>
                <w:iCs w:val="0"/>
                <w:color w:val="000000"/>
                <w:kern w:val="0"/>
                <w:sz w:val="21"/>
                <w:szCs w:val="21"/>
                <w:u w:val="none"/>
                <w:lang w:val="en-US" w:eastAsia="zh-CN" w:bidi="ar"/>
              </w:rPr>
              <w:t>156</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cs="Times New Roman"/>
                <w:i w:val="0"/>
                <w:iCs w:val="0"/>
                <w:color w:val="000000"/>
                <w:kern w:val="0"/>
                <w:sz w:val="21"/>
                <w:szCs w:val="21"/>
                <w:u w:val="none"/>
                <w:lang w:val="en-US" w:eastAsia="zh-CN" w:bidi="ar"/>
              </w:rPr>
              <w:t>81</w:t>
            </w:r>
          </w:p>
        </w:tc>
        <w:tc>
          <w:tcPr>
            <w:tcW w:w="1184" w:type="dxa"/>
            <w:gridSpan w:val="2"/>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38.08</w:t>
            </w:r>
          </w:p>
        </w:tc>
        <w:tc>
          <w:tcPr>
            <w:tcW w:w="1184" w:type="dxa"/>
            <w:gridSpan w:val="2"/>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5.09</w:t>
            </w:r>
          </w:p>
        </w:tc>
        <w:tc>
          <w:tcPr>
            <w:tcW w:w="1196" w:type="dxa"/>
            <w:gridSpan w:val="4"/>
            <w:tcBorders>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-62.7</w:t>
            </w:r>
          </w:p>
        </w:tc>
        <w:tc>
          <w:tcPr>
            <w:tcW w:w="1245" w:type="dxa"/>
            <w:gridSpan w:val="2"/>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66" w:hRule="atLeast"/>
          <w:jc w:val="center"/>
        </w:trPr>
        <w:tc>
          <w:tcPr>
            <w:tcW w:w="1704" w:type="dxa"/>
            <w:gridSpan w:val="6"/>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宋体" w:cs="Times New Roman"/>
                <w:i w:val="0"/>
                <w:iCs w:val="0"/>
                <w:color w:val="000000"/>
                <w:kern w:val="0"/>
                <w:sz w:val="22"/>
                <w:szCs w:val="22"/>
                <w:u w:val="none"/>
                <w:lang w:val="en-US" w:eastAsia="zh-CN" w:bidi="ar"/>
              </w:rPr>
              <w:t>8</w:t>
            </w:r>
            <w:r>
              <w:rPr>
                <w:rFonts w:hint="default" w:ascii="仿宋_GB2312" w:hAnsi="Times New Roman" w:eastAsia="仿宋_GB2312" w:cs="仿宋_GB2312"/>
                <w:i w:val="0"/>
                <w:iCs w:val="0"/>
                <w:color w:val="000000"/>
                <w:kern w:val="0"/>
                <w:sz w:val="22"/>
                <w:szCs w:val="22"/>
                <w:u w:val="none"/>
                <w:lang w:val="en-US" w:eastAsia="zh-CN" w:bidi="ar"/>
              </w:rPr>
              <w:t>、不动产产权交易中心</w:t>
            </w:r>
          </w:p>
        </w:tc>
        <w:tc>
          <w:tcPr>
            <w:tcW w:w="1093" w:type="dxa"/>
            <w:gridSpan w:val="2"/>
            <w:tcBorders>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274.82</w:t>
            </w:r>
          </w:p>
        </w:tc>
        <w:tc>
          <w:tcPr>
            <w:tcW w:w="1184" w:type="dxa"/>
            <w:gridSpan w:val="3"/>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274.82</w:t>
            </w:r>
          </w:p>
        </w:tc>
        <w:tc>
          <w:tcPr>
            <w:tcW w:w="1184" w:type="dxa"/>
            <w:gridSpan w:val="5"/>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245.89</w:t>
            </w:r>
          </w:p>
        </w:tc>
        <w:tc>
          <w:tcPr>
            <w:tcW w:w="1184" w:type="dxa"/>
            <w:gridSpan w:val="2"/>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28.93</w:t>
            </w:r>
          </w:p>
        </w:tc>
        <w:tc>
          <w:tcPr>
            <w:tcW w:w="1184" w:type="dxa"/>
            <w:gridSpan w:val="2"/>
            <w:noWrap w:val="0"/>
            <w:vAlign w:val="center"/>
          </w:tcPr>
          <w:p>
            <w:pPr>
              <w:jc w:val="center"/>
              <w:rPr>
                <w:rFonts w:hint="default" w:ascii="Times New Roman" w:hAnsi="Times New Roman" w:eastAsia="仿宋_GB2312" w:cs="Times New Roman"/>
                <w:color w:val="000000"/>
                <w:sz w:val="21"/>
                <w:szCs w:val="21"/>
                <w:highlight w:val="none"/>
                <w:lang w:val="en-US" w:eastAsia="zh-CN"/>
              </w:rPr>
            </w:pPr>
          </w:p>
        </w:tc>
        <w:tc>
          <w:tcPr>
            <w:tcW w:w="1196" w:type="dxa"/>
            <w:gridSpan w:val="4"/>
            <w:tcBorders>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-22.01</w:t>
            </w:r>
          </w:p>
        </w:tc>
        <w:tc>
          <w:tcPr>
            <w:tcW w:w="1245" w:type="dxa"/>
            <w:gridSpan w:val="2"/>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26" w:hRule="atLeast"/>
          <w:jc w:val="center"/>
        </w:trPr>
        <w:tc>
          <w:tcPr>
            <w:tcW w:w="1704" w:type="dxa"/>
            <w:gridSpan w:val="6"/>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宋体" w:cs="Times New Roman"/>
                <w:i w:val="0"/>
                <w:iCs w:val="0"/>
                <w:color w:val="000000"/>
                <w:kern w:val="0"/>
                <w:sz w:val="22"/>
                <w:szCs w:val="22"/>
                <w:u w:val="none"/>
                <w:lang w:val="en-US" w:eastAsia="zh-CN" w:bidi="ar"/>
              </w:rPr>
              <w:t>9</w:t>
            </w:r>
            <w:r>
              <w:rPr>
                <w:rFonts w:hint="default" w:ascii="仿宋_GB2312" w:hAnsi="Times New Roman" w:eastAsia="仿宋_GB2312" w:cs="仿宋_GB2312"/>
                <w:i w:val="0"/>
                <w:iCs w:val="0"/>
                <w:color w:val="000000"/>
                <w:kern w:val="0"/>
                <w:sz w:val="22"/>
                <w:szCs w:val="22"/>
                <w:u w:val="none"/>
                <w:lang w:val="en-US" w:eastAsia="zh-CN" w:bidi="ar"/>
              </w:rPr>
              <w:t>、不动产登记信息中心</w:t>
            </w:r>
          </w:p>
        </w:tc>
        <w:tc>
          <w:tcPr>
            <w:tcW w:w="1093" w:type="dxa"/>
            <w:gridSpan w:val="2"/>
            <w:tcBorders>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98.81</w:t>
            </w:r>
          </w:p>
        </w:tc>
        <w:tc>
          <w:tcPr>
            <w:tcW w:w="1184" w:type="dxa"/>
            <w:gridSpan w:val="3"/>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71.85</w:t>
            </w:r>
          </w:p>
        </w:tc>
        <w:tc>
          <w:tcPr>
            <w:tcW w:w="1184" w:type="dxa"/>
            <w:gridSpan w:val="5"/>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59.23</w:t>
            </w:r>
          </w:p>
        </w:tc>
        <w:tc>
          <w:tcPr>
            <w:tcW w:w="1184" w:type="dxa"/>
            <w:gridSpan w:val="2"/>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12.62</w:t>
            </w:r>
          </w:p>
        </w:tc>
        <w:tc>
          <w:tcPr>
            <w:tcW w:w="1184" w:type="dxa"/>
            <w:gridSpan w:val="2"/>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26.96</w:t>
            </w:r>
          </w:p>
        </w:tc>
        <w:tc>
          <w:tcPr>
            <w:tcW w:w="1196" w:type="dxa"/>
            <w:gridSpan w:val="4"/>
            <w:tcBorders>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-7.28</w:t>
            </w:r>
          </w:p>
        </w:tc>
        <w:tc>
          <w:tcPr>
            <w:tcW w:w="1245" w:type="dxa"/>
            <w:gridSpan w:val="2"/>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01" w:hRule="atLeast"/>
          <w:jc w:val="center"/>
        </w:trPr>
        <w:tc>
          <w:tcPr>
            <w:tcW w:w="1704" w:type="dxa"/>
            <w:gridSpan w:val="6"/>
            <w:noWrap w:val="0"/>
            <w:vAlign w:val="center"/>
          </w:tcPr>
          <w:p>
            <w:pPr>
              <w:keepNext w:val="0"/>
              <w:keepLines w:val="0"/>
              <w:widowControl/>
              <w:suppressLineNumbers w:val="0"/>
              <w:jc w:val="left"/>
              <w:textAlignment w:val="center"/>
              <w:rPr>
                <w:rFonts w:hint="default" w:ascii="Times New Roman" w:hAnsi="Times New Roman" w:eastAsia="仿宋_GB2312" w:cs="Times New Roman"/>
                <w:color w:val="000000"/>
                <w:sz w:val="24"/>
                <w:szCs w:val="24"/>
                <w:lang w:eastAsia="zh-CN"/>
              </w:rPr>
            </w:pPr>
            <w:r>
              <w:rPr>
                <w:rFonts w:hint="default" w:ascii="Times New Roman" w:hAnsi="Times New Roman" w:eastAsia="宋体" w:cs="Times New Roman"/>
                <w:i w:val="0"/>
                <w:iCs w:val="0"/>
                <w:color w:val="000000"/>
                <w:kern w:val="0"/>
                <w:sz w:val="22"/>
                <w:szCs w:val="22"/>
                <w:u w:val="none"/>
                <w:lang w:val="en-US" w:eastAsia="zh-CN" w:bidi="ar"/>
              </w:rPr>
              <w:t>10</w:t>
            </w:r>
            <w:r>
              <w:rPr>
                <w:rFonts w:hint="default" w:ascii="仿宋_GB2312" w:hAnsi="Times New Roman" w:eastAsia="仿宋_GB2312" w:cs="仿宋_GB2312"/>
                <w:i w:val="0"/>
                <w:iCs w:val="0"/>
                <w:color w:val="000000"/>
                <w:kern w:val="0"/>
                <w:sz w:val="22"/>
                <w:szCs w:val="22"/>
                <w:u w:val="none"/>
                <w:lang w:val="en-US" w:eastAsia="zh-CN" w:bidi="ar"/>
              </w:rPr>
              <w:t>、不动产测绘中心</w:t>
            </w:r>
          </w:p>
        </w:tc>
        <w:tc>
          <w:tcPr>
            <w:tcW w:w="1093" w:type="dxa"/>
            <w:gridSpan w:val="2"/>
            <w:tcBorders>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951.85</w:t>
            </w:r>
          </w:p>
        </w:tc>
        <w:tc>
          <w:tcPr>
            <w:tcW w:w="1184" w:type="dxa"/>
            <w:gridSpan w:val="3"/>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951.85</w:t>
            </w:r>
          </w:p>
        </w:tc>
        <w:tc>
          <w:tcPr>
            <w:tcW w:w="1184" w:type="dxa"/>
            <w:gridSpan w:val="5"/>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345.17</w:t>
            </w:r>
          </w:p>
        </w:tc>
        <w:tc>
          <w:tcPr>
            <w:tcW w:w="1184" w:type="dxa"/>
            <w:gridSpan w:val="2"/>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606.68</w:t>
            </w:r>
          </w:p>
        </w:tc>
        <w:tc>
          <w:tcPr>
            <w:tcW w:w="1184" w:type="dxa"/>
            <w:gridSpan w:val="2"/>
            <w:noWrap w:val="0"/>
            <w:vAlign w:val="center"/>
          </w:tcPr>
          <w:p>
            <w:pPr>
              <w:jc w:val="center"/>
              <w:rPr>
                <w:rFonts w:hint="default" w:ascii="Times New Roman" w:hAnsi="Times New Roman" w:eastAsia="仿宋_GB2312" w:cs="Times New Roman"/>
                <w:color w:val="000000"/>
                <w:sz w:val="21"/>
                <w:szCs w:val="21"/>
                <w:highlight w:val="none"/>
                <w:lang w:val="en-US" w:eastAsia="zh-CN"/>
              </w:rPr>
            </w:pPr>
          </w:p>
        </w:tc>
        <w:tc>
          <w:tcPr>
            <w:tcW w:w="1196" w:type="dxa"/>
            <w:gridSpan w:val="4"/>
            <w:tcBorders>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-527.85</w:t>
            </w:r>
          </w:p>
        </w:tc>
        <w:tc>
          <w:tcPr>
            <w:tcW w:w="1245" w:type="dxa"/>
            <w:gridSpan w:val="2"/>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000000"/>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911" w:type="dxa"/>
            <w:gridSpan w:val="7"/>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b/>
                <w:bCs/>
                <w:sz w:val="24"/>
                <w:szCs w:val="24"/>
              </w:rPr>
            </w:pPr>
            <w:r>
              <w:rPr>
                <w:rFonts w:hint="default" w:ascii="仿宋_GB2312" w:hAnsi="宋体" w:eastAsia="仿宋_GB2312" w:cs="仿宋_GB2312"/>
                <w:b/>
                <w:bCs/>
                <w:i w:val="0"/>
                <w:iCs w:val="0"/>
                <w:color w:val="000000"/>
                <w:kern w:val="0"/>
                <w:sz w:val="24"/>
                <w:szCs w:val="24"/>
                <w:u w:val="none"/>
                <w:lang w:val="en-US" w:eastAsia="zh-CN" w:bidi="ar"/>
              </w:rPr>
              <w:t>机构名称</w:t>
            </w:r>
          </w:p>
        </w:tc>
        <w:tc>
          <w:tcPr>
            <w:tcW w:w="1022" w:type="dxa"/>
            <w:gridSpan w:val="3"/>
            <w:vMerge w:val="restart"/>
            <w:tcBorders>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sz w:val="24"/>
                <w:szCs w:val="24"/>
              </w:rPr>
            </w:pPr>
            <w:r>
              <w:rPr>
                <w:rFonts w:hint="default" w:ascii="仿宋_GB2312" w:hAnsi="宋体" w:eastAsia="仿宋_GB2312" w:cs="仿宋_GB2312"/>
                <w:b/>
                <w:bCs/>
                <w:i w:val="0"/>
                <w:iCs w:val="0"/>
                <w:color w:val="000000"/>
                <w:kern w:val="0"/>
                <w:sz w:val="24"/>
                <w:szCs w:val="24"/>
                <w:u w:val="none"/>
                <w:lang w:val="en-US" w:eastAsia="zh-CN" w:bidi="ar"/>
              </w:rPr>
              <w:t>三公经费合计</w:t>
            </w:r>
          </w:p>
        </w:tc>
        <w:tc>
          <w:tcPr>
            <w:tcW w:w="7041" w:type="dxa"/>
            <w:gridSpan w:val="16"/>
            <w:tcBorders>
              <w:lef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sz w:val="24"/>
                <w:szCs w:val="24"/>
              </w:rPr>
            </w:pPr>
            <w:r>
              <w:rPr>
                <w:rFonts w:hint="default" w:ascii="仿宋_GB2312" w:hAnsi="宋体" w:eastAsia="仿宋_GB2312" w:cs="仿宋_GB2312"/>
                <w:b/>
                <w:bCs/>
                <w:i w:val="0"/>
                <w:iCs w:val="0"/>
                <w:color w:val="000000"/>
                <w:kern w:val="0"/>
                <w:sz w:val="24"/>
                <w:szCs w:val="24"/>
                <w:u w:val="none"/>
                <w:lang w:val="en-US" w:eastAsia="zh-CN" w:bidi="ar"/>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911" w:type="dxa"/>
            <w:gridSpan w:val="7"/>
            <w:vMerge w:val="continue"/>
            <w:noWrap w:val="0"/>
            <w:vAlign w:val="center"/>
          </w:tcPr>
          <w:p>
            <w:pPr>
              <w:jc w:val="center"/>
              <w:rPr>
                <w:rFonts w:hint="eastAsia" w:ascii="仿宋_GB2312" w:hAnsi="仿宋_GB2312" w:eastAsia="仿宋_GB2312" w:cs="仿宋_GB2312"/>
                <w:sz w:val="24"/>
                <w:szCs w:val="24"/>
              </w:rPr>
            </w:pPr>
          </w:p>
        </w:tc>
        <w:tc>
          <w:tcPr>
            <w:tcW w:w="1022" w:type="dxa"/>
            <w:gridSpan w:val="3"/>
            <w:vMerge w:val="continue"/>
            <w:tcBorders>
              <w:right w:val="single" w:color="auto" w:sz="4" w:space="0"/>
            </w:tcBorders>
            <w:noWrap w:val="0"/>
            <w:vAlign w:val="center"/>
          </w:tcPr>
          <w:p>
            <w:pPr>
              <w:jc w:val="center"/>
              <w:rPr>
                <w:rFonts w:hint="eastAsia" w:ascii="仿宋_GB2312" w:hAnsi="仿宋_GB2312" w:eastAsia="仿宋_GB2312" w:cs="仿宋_GB2312"/>
                <w:color w:val="000000"/>
                <w:sz w:val="24"/>
                <w:szCs w:val="24"/>
              </w:rPr>
            </w:pPr>
          </w:p>
        </w:tc>
        <w:tc>
          <w:tcPr>
            <w:tcW w:w="2219" w:type="dxa"/>
            <w:gridSpan w:val="5"/>
            <w:tcBorders>
              <w:lef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sz w:val="24"/>
                <w:szCs w:val="24"/>
              </w:rPr>
            </w:pPr>
            <w:r>
              <w:rPr>
                <w:rFonts w:hint="default" w:ascii="仿宋_GB2312" w:hAnsi="宋体" w:eastAsia="仿宋_GB2312" w:cs="仿宋_GB2312"/>
                <w:b/>
                <w:bCs/>
                <w:i w:val="0"/>
                <w:iCs w:val="0"/>
                <w:color w:val="000000"/>
                <w:kern w:val="0"/>
                <w:sz w:val="24"/>
                <w:szCs w:val="24"/>
                <w:u w:val="none"/>
                <w:lang w:val="en-US" w:eastAsia="zh-CN" w:bidi="ar"/>
              </w:rPr>
              <w:t>公务用车运维费</w:t>
            </w:r>
          </w:p>
        </w:tc>
        <w:tc>
          <w:tcPr>
            <w:tcW w:w="2579" w:type="dxa"/>
            <w:gridSpan w:val="6"/>
            <w:noWrap w:val="0"/>
            <w:vAlign w:val="center"/>
          </w:tcPr>
          <w:p>
            <w:pPr>
              <w:keepNext w:val="0"/>
              <w:keepLines w:val="0"/>
              <w:widowControl/>
              <w:suppressLineNumbers w:val="0"/>
              <w:jc w:val="center"/>
              <w:textAlignment w:val="center"/>
              <w:rPr>
                <w:rFonts w:hint="default" w:ascii="仿宋_GB2312" w:hAnsi="仿宋_GB2312" w:eastAsia="仿宋_GB2312" w:cs="仿宋_GB2312"/>
                <w:b/>
                <w:bCs/>
                <w:color w:val="000000"/>
                <w:sz w:val="24"/>
                <w:szCs w:val="24"/>
                <w:lang w:val="en-US" w:eastAsia="zh-CN"/>
              </w:rPr>
            </w:pPr>
            <w:r>
              <w:rPr>
                <w:rFonts w:hint="default" w:ascii="仿宋_GB2312" w:hAnsi="宋体" w:eastAsia="仿宋_GB2312" w:cs="仿宋_GB2312"/>
                <w:b/>
                <w:bCs/>
                <w:i w:val="0"/>
                <w:iCs w:val="0"/>
                <w:color w:val="000000"/>
                <w:kern w:val="0"/>
                <w:sz w:val="24"/>
                <w:szCs w:val="24"/>
                <w:u w:val="none"/>
                <w:lang w:val="en-US" w:eastAsia="zh-CN" w:bidi="ar"/>
              </w:rPr>
              <w:t>公务接待费</w:t>
            </w:r>
          </w:p>
        </w:tc>
        <w:tc>
          <w:tcPr>
            <w:tcW w:w="2243" w:type="dxa"/>
            <w:gridSpan w:val="5"/>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sz w:val="24"/>
                <w:szCs w:val="24"/>
              </w:rPr>
            </w:pPr>
            <w:r>
              <w:rPr>
                <w:rFonts w:hint="default" w:ascii="仿宋_GB2312" w:hAnsi="宋体" w:eastAsia="仿宋_GB2312" w:cs="仿宋_GB2312"/>
                <w:b/>
                <w:bCs/>
                <w:i w:val="0"/>
                <w:iCs w:val="0"/>
                <w:color w:val="000000"/>
                <w:kern w:val="0"/>
                <w:sz w:val="24"/>
                <w:szCs w:val="24"/>
                <w:u w:val="none"/>
                <w:lang w:val="en-US" w:eastAsia="zh-CN" w:bidi="ar"/>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43" w:hRule="atLeast"/>
          <w:jc w:val="center"/>
        </w:trPr>
        <w:tc>
          <w:tcPr>
            <w:tcW w:w="1911" w:type="dxa"/>
            <w:gridSpan w:val="7"/>
            <w:noWrap w:val="0"/>
            <w:vAlign w:val="center"/>
          </w:tcPr>
          <w:p>
            <w:pPr>
              <w:keepNext w:val="0"/>
              <w:keepLines w:val="0"/>
              <w:widowControl/>
              <w:suppressLineNumbers w:val="0"/>
              <w:jc w:val="left"/>
              <w:textAlignment w:val="center"/>
              <w:rPr>
                <w:rFonts w:hint="eastAsia" w:ascii="仿宋_GB2312" w:hAnsi="Times New Roman" w:eastAsia="仿宋_GB2312" w:cs="仿宋_GB2312"/>
                <w:b/>
                <w:bCs/>
                <w:i w:val="0"/>
                <w:iCs w:val="0"/>
                <w:color w:val="000000"/>
                <w:kern w:val="0"/>
                <w:sz w:val="22"/>
                <w:szCs w:val="22"/>
                <w:u w:val="none"/>
                <w:lang w:val="en-US" w:eastAsia="zh-CN" w:bidi="ar"/>
              </w:rPr>
            </w:pPr>
            <w:r>
              <w:rPr>
                <w:rFonts w:hint="default" w:ascii="仿宋_GB2312" w:hAnsi="Times New Roman" w:eastAsia="仿宋_GB2312" w:cs="仿宋_GB2312"/>
                <w:b/>
                <w:bCs/>
                <w:i w:val="0"/>
                <w:iCs w:val="0"/>
                <w:color w:val="000000"/>
                <w:kern w:val="0"/>
                <w:sz w:val="22"/>
                <w:szCs w:val="22"/>
                <w:u w:val="none"/>
                <w:lang w:val="en-US" w:eastAsia="zh-CN" w:bidi="ar"/>
              </w:rPr>
              <w:t>岳阳市自然资源和规划局机关</w:t>
            </w:r>
          </w:p>
        </w:tc>
        <w:tc>
          <w:tcPr>
            <w:tcW w:w="1022" w:type="dxa"/>
            <w:gridSpan w:val="3"/>
            <w:tcBorders>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56.97</w:t>
            </w:r>
          </w:p>
        </w:tc>
        <w:tc>
          <w:tcPr>
            <w:tcW w:w="2219" w:type="dxa"/>
            <w:gridSpan w:val="5"/>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eastAsia" w:ascii="宋体" w:hAnsi="宋体" w:eastAsia="宋体" w:cs="宋体"/>
                <w:b/>
                <w:bCs/>
                <w:i w:val="0"/>
                <w:iCs w:val="0"/>
                <w:color w:val="000000"/>
                <w:kern w:val="0"/>
                <w:sz w:val="22"/>
                <w:szCs w:val="22"/>
                <w:u w:val="none"/>
                <w:lang w:val="en-US" w:eastAsia="zh-CN" w:bidi="ar"/>
              </w:rPr>
              <w:t>33.76</w:t>
            </w:r>
          </w:p>
        </w:tc>
        <w:tc>
          <w:tcPr>
            <w:tcW w:w="2579" w:type="dxa"/>
            <w:gridSpan w:val="6"/>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eastAsia" w:ascii="宋体" w:hAnsi="宋体" w:eastAsia="宋体" w:cs="宋体"/>
                <w:b/>
                <w:bCs/>
                <w:i w:val="0"/>
                <w:iCs w:val="0"/>
                <w:color w:val="000000"/>
                <w:kern w:val="0"/>
                <w:sz w:val="22"/>
                <w:szCs w:val="22"/>
                <w:u w:val="none"/>
                <w:lang w:val="en-US" w:eastAsia="zh-CN" w:bidi="ar"/>
              </w:rPr>
              <w:t>23.21</w:t>
            </w:r>
          </w:p>
        </w:tc>
        <w:tc>
          <w:tcPr>
            <w:tcW w:w="2243" w:type="dxa"/>
            <w:gridSpan w:val="5"/>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szCs w:val="24"/>
                <w:highlight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50" w:hRule="atLeast"/>
          <w:jc w:val="center"/>
        </w:trPr>
        <w:tc>
          <w:tcPr>
            <w:tcW w:w="1911" w:type="dxa"/>
            <w:gridSpan w:val="7"/>
            <w:noWrap w:val="0"/>
            <w:vAlign w:val="center"/>
          </w:tcPr>
          <w:p>
            <w:pPr>
              <w:keepNext w:val="0"/>
              <w:keepLines w:val="0"/>
              <w:widowControl/>
              <w:suppressLineNumbers w:val="0"/>
              <w:jc w:val="left"/>
              <w:textAlignment w:val="center"/>
              <w:rPr>
                <w:rFonts w:hint="eastAsia" w:ascii="仿宋_GB2312" w:hAnsi="Times New Roman" w:eastAsia="仿宋_GB2312" w:cs="仿宋_GB2312"/>
                <w:b/>
                <w:bCs/>
                <w:i w:val="0"/>
                <w:iCs w:val="0"/>
                <w:color w:val="000000"/>
                <w:kern w:val="0"/>
                <w:sz w:val="22"/>
                <w:szCs w:val="22"/>
                <w:u w:val="none"/>
                <w:lang w:val="en-US" w:eastAsia="zh-CN" w:bidi="ar"/>
              </w:rPr>
            </w:pPr>
            <w:r>
              <w:rPr>
                <w:rFonts w:hint="default" w:ascii="仿宋_GB2312" w:hAnsi="Times New Roman" w:eastAsia="仿宋_GB2312" w:cs="仿宋_GB2312"/>
                <w:b/>
                <w:bCs/>
                <w:i w:val="0"/>
                <w:iCs w:val="0"/>
                <w:color w:val="000000"/>
                <w:kern w:val="0"/>
                <w:sz w:val="22"/>
                <w:szCs w:val="22"/>
                <w:u w:val="none"/>
                <w:lang w:val="en-US" w:eastAsia="zh-CN" w:bidi="ar"/>
              </w:rPr>
              <w:t>1、局机关（本级）</w:t>
            </w:r>
          </w:p>
        </w:tc>
        <w:tc>
          <w:tcPr>
            <w:tcW w:w="1022" w:type="dxa"/>
            <w:gridSpan w:val="3"/>
            <w:tcBorders>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宋体" w:cs="Times New Roman"/>
                <w:b/>
                <w:bCs/>
                <w:i w:val="0"/>
                <w:iCs w:val="0"/>
                <w:color w:val="000000"/>
                <w:kern w:val="0"/>
                <w:sz w:val="21"/>
                <w:szCs w:val="21"/>
                <w:u w:val="none"/>
                <w:lang w:val="en-US" w:eastAsia="zh-CN" w:bidi="ar"/>
              </w:rPr>
              <w:t>31.64</w:t>
            </w:r>
          </w:p>
        </w:tc>
        <w:tc>
          <w:tcPr>
            <w:tcW w:w="2219" w:type="dxa"/>
            <w:gridSpan w:val="5"/>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eastAsia" w:ascii="宋体" w:hAnsi="宋体" w:eastAsia="宋体" w:cs="宋体"/>
                <w:b/>
                <w:bCs/>
                <w:i w:val="0"/>
                <w:iCs w:val="0"/>
                <w:color w:val="000000"/>
                <w:kern w:val="0"/>
                <w:sz w:val="22"/>
                <w:szCs w:val="22"/>
                <w:u w:val="none"/>
                <w:lang w:val="en-US" w:eastAsia="zh-CN" w:bidi="ar"/>
              </w:rPr>
              <w:t>17.12</w:t>
            </w:r>
          </w:p>
        </w:tc>
        <w:tc>
          <w:tcPr>
            <w:tcW w:w="2579" w:type="dxa"/>
            <w:gridSpan w:val="6"/>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eastAsia" w:ascii="宋体" w:hAnsi="宋体" w:eastAsia="宋体" w:cs="宋体"/>
                <w:b/>
                <w:bCs/>
                <w:i w:val="0"/>
                <w:iCs w:val="0"/>
                <w:color w:val="000000"/>
                <w:kern w:val="0"/>
                <w:sz w:val="22"/>
                <w:szCs w:val="22"/>
                <w:u w:val="none"/>
                <w:lang w:val="en-US" w:eastAsia="zh-CN" w:bidi="ar"/>
              </w:rPr>
              <w:t>14.52</w:t>
            </w:r>
          </w:p>
        </w:tc>
        <w:tc>
          <w:tcPr>
            <w:tcW w:w="2243" w:type="dxa"/>
            <w:gridSpan w:val="5"/>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szCs w:val="24"/>
                <w:highlight w:val="none"/>
                <w:lang w:val="en-US" w:eastAsia="zh-CN"/>
              </w:rPr>
            </w:pPr>
            <w:r>
              <w:rPr>
                <w:rFonts w:hint="default" w:ascii="仿宋_GB2312" w:hAnsi="宋体" w:eastAsia="仿宋_GB2312" w:cs="仿宋_GB2312"/>
                <w:b/>
                <w:bCs/>
                <w:i w:val="0"/>
                <w:iCs w:val="0"/>
                <w:color w:val="000000"/>
                <w:kern w:val="0"/>
                <w:sz w:val="24"/>
                <w:szCs w:val="24"/>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70" w:hRule="atLeast"/>
          <w:jc w:val="center"/>
        </w:trPr>
        <w:tc>
          <w:tcPr>
            <w:tcW w:w="1911" w:type="dxa"/>
            <w:gridSpan w:val="7"/>
            <w:noWrap w:val="0"/>
            <w:vAlign w:val="center"/>
          </w:tcPr>
          <w:p>
            <w:pPr>
              <w:keepNext w:val="0"/>
              <w:keepLines w:val="0"/>
              <w:widowControl/>
              <w:suppressLineNumbers w:val="0"/>
              <w:jc w:val="left"/>
              <w:textAlignment w:val="center"/>
              <w:rPr>
                <w:rFonts w:hint="eastAsia" w:ascii="仿宋_GB2312" w:hAnsi="Times New Roman" w:eastAsia="仿宋_GB2312" w:cs="仿宋_GB2312"/>
                <w:i w:val="0"/>
                <w:iCs w:val="0"/>
                <w:color w:val="000000"/>
                <w:kern w:val="0"/>
                <w:sz w:val="22"/>
                <w:szCs w:val="22"/>
                <w:u w:val="none"/>
                <w:lang w:val="en-US" w:eastAsia="zh-CN" w:bidi="ar"/>
              </w:rPr>
            </w:pPr>
            <w:r>
              <w:rPr>
                <w:rFonts w:hint="default" w:ascii="仿宋_GB2312" w:hAnsi="Times New Roman" w:eastAsia="仿宋_GB2312" w:cs="仿宋_GB2312"/>
                <w:i w:val="0"/>
                <w:iCs w:val="0"/>
                <w:color w:val="000000"/>
                <w:kern w:val="0"/>
                <w:sz w:val="22"/>
                <w:szCs w:val="22"/>
                <w:u w:val="none"/>
                <w:lang w:val="en-US" w:eastAsia="zh-CN" w:bidi="ar"/>
              </w:rPr>
              <w:t>2、南湖新区分局</w:t>
            </w:r>
          </w:p>
        </w:tc>
        <w:tc>
          <w:tcPr>
            <w:tcW w:w="1022" w:type="dxa"/>
            <w:gridSpan w:val="3"/>
            <w:tcBorders>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1.88</w:t>
            </w:r>
          </w:p>
        </w:tc>
        <w:tc>
          <w:tcPr>
            <w:tcW w:w="2219" w:type="dxa"/>
            <w:gridSpan w:val="5"/>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1.73</w:t>
            </w:r>
          </w:p>
        </w:tc>
        <w:tc>
          <w:tcPr>
            <w:tcW w:w="2579" w:type="dxa"/>
            <w:gridSpan w:val="6"/>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0.15</w:t>
            </w:r>
          </w:p>
        </w:tc>
        <w:tc>
          <w:tcPr>
            <w:tcW w:w="2243" w:type="dxa"/>
            <w:gridSpan w:val="5"/>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szCs w:val="24"/>
                <w:highlight w:val="none"/>
                <w:lang w:val="en-US" w:eastAsia="zh-CN"/>
              </w:rPr>
            </w:pPr>
            <w:r>
              <w:rPr>
                <w:rFonts w:hint="default" w:ascii="仿宋_GB2312" w:hAnsi="宋体" w:eastAsia="仿宋_GB2312" w:cs="仿宋_GB2312"/>
                <w:i w:val="0"/>
                <w:iCs w:val="0"/>
                <w:color w:val="000000"/>
                <w:kern w:val="0"/>
                <w:sz w:val="24"/>
                <w:szCs w:val="24"/>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05" w:hRule="atLeast"/>
          <w:jc w:val="center"/>
        </w:trPr>
        <w:tc>
          <w:tcPr>
            <w:tcW w:w="1911" w:type="dxa"/>
            <w:gridSpan w:val="7"/>
            <w:noWrap w:val="0"/>
            <w:vAlign w:val="center"/>
          </w:tcPr>
          <w:p>
            <w:pPr>
              <w:keepNext w:val="0"/>
              <w:keepLines w:val="0"/>
              <w:widowControl/>
              <w:suppressLineNumbers w:val="0"/>
              <w:jc w:val="left"/>
              <w:textAlignment w:val="center"/>
              <w:rPr>
                <w:rFonts w:hint="eastAsia" w:ascii="仿宋_GB2312" w:hAnsi="Times New Roman" w:eastAsia="仿宋_GB2312" w:cs="仿宋_GB2312"/>
                <w:i w:val="0"/>
                <w:iCs w:val="0"/>
                <w:color w:val="000000"/>
                <w:kern w:val="0"/>
                <w:sz w:val="22"/>
                <w:szCs w:val="22"/>
                <w:u w:val="none"/>
                <w:lang w:val="en-US" w:eastAsia="zh-CN" w:bidi="ar"/>
              </w:rPr>
            </w:pPr>
            <w:r>
              <w:rPr>
                <w:rFonts w:hint="default" w:ascii="仿宋_GB2312" w:hAnsi="Times New Roman" w:eastAsia="仿宋_GB2312" w:cs="仿宋_GB2312"/>
                <w:i w:val="0"/>
                <w:iCs w:val="0"/>
                <w:color w:val="000000"/>
                <w:kern w:val="0"/>
                <w:sz w:val="22"/>
                <w:szCs w:val="22"/>
                <w:u w:val="none"/>
                <w:lang w:val="en-US" w:eastAsia="zh-CN" w:bidi="ar"/>
              </w:rPr>
              <w:t>3、经济技术开发区分局</w:t>
            </w:r>
          </w:p>
        </w:tc>
        <w:tc>
          <w:tcPr>
            <w:tcW w:w="1022" w:type="dxa"/>
            <w:gridSpan w:val="3"/>
            <w:tcBorders>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2.32</w:t>
            </w:r>
          </w:p>
        </w:tc>
        <w:tc>
          <w:tcPr>
            <w:tcW w:w="2219" w:type="dxa"/>
            <w:gridSpan w:val="5"/>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1.84</w:t>
            </w:r>
          </w:p>
        </w:tc>
        <w:tc>
          <w:tcPr>
            <w:tcW w:w="2579" w:type="dxa"/>
            <w:gridSpan w:val="6"/>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0.48</w:t>
            </w:r>
          </w:p>
        </w:tc>
        <w:tc>
          <w:tcPr>
            <w:tcW w:w="2243" w:type="dxa"/>
            <w:gridSpan w:val="5"/>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szCs w:val="24"/>
                <w:highlight w:val="none"/>
                <w:lang w:val="en-US" w:eastAsia="zh-CN"/>
              </w:rPr>
            </w:pPr>
            <w:r>
              <w:rPr>
                <w:rFonts w:hint="default" w:ascii="仿宋_GB2312" w:hAnsi="宋体" w:eastAsia="仿宋_GB2312" w:cs="仿宋_GB2312"/>
                <w:i w:val="0"/>
                <w:iCs w:val="0"/>
                <w:color w:val="000000"/>
                <w:kern w:val="0"/>
                <w:sz w:val="24"/>
                <w:szCs w:val="24"/>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4" w:hRule="atLeast"/>
          <w:jc w:val="center"/>
        </w:trPr>
        <w:tc>
          <w:tcPr>
            <w:tcW w:w="1911" w:type="dxa"/>
            <w:gridSpan w:val="7"/>
            <w:noWrap w:val="0"/>
            <w:vAlign w:val="center"/>
          </w:tcPr>
          <w:p>
            <w:pPr>
              <w:keepNext w:val="0"/>
              <w:keepLines w:val="0"/>
              <w:widowControl/>
              <w:suppressLineNumbers w:val="0"/>
              <w:jc w:val="left"/>
              <w:textAlignment w:val="center"/>
              <w:rPr>
                <w:rFonts w:hint="eastAsia" w:ascii="仿宋_GB2312" w:hAnsi="Times New Roman" w:eastAsia="仿宋_GB2312" w:cs="仿宋_GB2312"/>
                <w:i w:val="0"/>
                <w:iCs w:val="0"/>
                <w:color w:val="000000"/>
                <w:kern w:val="0"/>
                <w:sz w:val="22"/>
                <w:szCs w:val="22"/>
                <w:u w:val="none"/>
                <w:lang w:val="en-US" w:eastAsia="zh-CN" w:bidi="ar"/>
              </w:rPr>
            </w:pPr>
            <w:r>
              <w:rPr>
                <w:rFonts w:hint="default" w:ascii="仿宋_GB2312" w:hAnsi="Times New Roman" w:eastAsia="仿宋_GB2312" w:cs="仿宋_GB2312"/>
                <w:i w:val="0"/>
                <w:iCs w:val="0"/>
                <w:color w:val="000000"/>
                <w:kern w:val="0"/>
                <w:sz w:val="22"/>
                <w:szCs w:val="22"/>
                <w:u w:val="none"/>
                <w:lang w:val="en-US" w:eastAsia="zh-CN" w:bidi="ar"/>
              </w:rPr>
              <w:t>4、临港国土管理处</w:t>
            </w:r>
          </w:p>
        </w:tc>
        <w:tc>
          <w:tcPr>
            <w:tcW w:w="1022" w:type="dxa"/>
            <w:gridSpan w:val="3"/>
            <w:tcBorders>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219" w:type="dxa"/>
            <w:gridSpan w:val="5"/>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2579" w:type="dxa"/>
            <w:gridSpan w:val="6"/>
            <w:noWrap w:val="0"/>
            <w:vAlign w:val="center"/>
          </w:tcPr>
          <w:p>
            <w:pPr>
              <w:jc w:val="center"/>
              <w:rPr>
                <w:rFonts w:hint="default" w:ascii="Times New Roman" w:hAnsi="Times New Roman" w:eastAsia="仿宋_GB2312" w:cs="Times New Roman"/>
                <w:color w:val="auto"/>
                <w:sz w:val="21"/>
                <w:szCs w:val="21"/>
                <w:highlight w:val="none"/>
                <w:lang w:val="en-US" w:eastAsia="zh-CN"/>
              </w:rPr>
            </w:pPr>
          </w:p>
        </w:tc>
        <w:tc>
          <w:tcPr>
            <w:tcW w:w="2243" w:type="dxa"/>
            <w:gridSpan w:val="5"/>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szCs w:val="24"/>
                <w:highlight w:val="none"/>
                <w:lang w:val="en-US" w:eastAsia="zh-CN"/>
              </w:rPr>
            </w:pPr>
            <w:r>
              <w:rPr>
                <w:rFonts w:hint="default" w:ascii="仿宋_GB2312" w:hAnsi="宋体" w:eastAsia="仿宋_GB2312" w:cs="仿宋_GB2312"/>
                <w:i w:val="0"/>
                <w:iCs w:val="0"/>
                <w:color w:val="000000"/>
                <w:kern w:val="0"/>
                <w:sz w:val="24"/>
                <w:szCs w:val="24"/>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12" w:hRule="atLeast"/>
          <w:jc w:val="center"/>
        </w:trPr>
        <w:tc>
          <w:tcPr>
            <w:tcW w:w="1911" w:type="dxa"/>
            <w:gridSpan w:val="7"/>
            <w:noWrap w:val="0"/>
            <w:vAlign w:val="center"/>
          </w:tcPr>
          <w:p>
            <w:pPr>
              <w:keepNext w:val="0"/>
              <w:keepLines w:val="0"/>
              <w:widowControl/>
              <w:suppressLineNumbers w:val="0"/>
              <w:jc w:val="left"/>
              <w:textAlignment w:val="center"/>
              <w:rPr>
                <w:rFonts w:hint="eastAsia" w:ascii="仿宋_GB2312" w:hAnsi="Times New Roman" w:eastAsia="仿宋_GB2312" w:cs="仿宋_GB2312"/>
                <w:i w:val="0"/>
                <w:iCs w:val="0"/>
                <w:color w:val="000000"/>
                <w:kern w:val="0"/>
                <w:sz w:val="22"/>
                <w:szCs w:val="22"/>
                <w:u w:val="none"/>
                <w:lang w:val="en-US" w:eastAsia="zh-CN" w:bidi="ar"/>
              </w:rPr>
            </w:pPr>
            <w:r>
              <w:rPr>
                <w:rFonts w:hint="default" w:ascii="仿宋_GB2312" w:hAnsi="Times New Roman" w:eastAsia="仿宋_GB2312" w:cs="仿宋_GB2312"/>
                <w:i w:val="0"/>
                <w:iCs w:val="0"/>
                <w:color w:val="000000"/>
                <w:kern w:val="0"/>
                <w:sz w:val="22"/>
                <w:szCs w:val="22"/>
                <w:u w:val="none"/>
                <w:lang w:val="en-US" w:eastAsia="zh-CN" w:bidi="ar"/>
              </w:rPr>
              <w:t>5、不动产登记中心</w:t>
            </w:r>
          </w:p>
        </w:tc>
        <w:tc>
          <w:tcPr>
            <w:tcW w:w="1022" w:type="dxa"/>
            <w:gridSpan w:val="3"/>
            <w:tcBorders>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2.66</w:t>
            </w:r>
          </w:p>
        </w:tc>
        <w:tc>
          <w:tcPr>
            <w:tcW w:w="2219" w:type="dxa"/>
            <w:gridSpan w:val="5"/>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1.14</w:t>
            </w:r>
          </w:p>
        </w:tc>
        <w:tc>
          <w:tcPr>
            <w:tcW w:w="2579" w:type="dxa"/>
            <w:gridSpan w:val="6"/>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1.52</w:t>
            </w:r>
          </w:p>
        </w:tc>
        <w:tc>
          <w:tcPr>
            <w:tcW w:w="2243" w:type="dxa"/>
            <w:gridSpan w:val="5"/>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szCs w:val="24"/>
                <w:highlight w:val="none"/>
                <w:lang w:val="en-US" w:eastAsia="zh-CN"/>
              </w:rPr>
            </w:pPr>
            <w:r>
              <w:rPr>
                <w:rFonts w:hint="default" w:ascii="仿宋_GB2312" w:hAnsi="宋体" w:eastAsia="仿宋_GB2312" w:cs="仿宋_GB2312"/>
                <w:i w:val="0"/>
                <w:iCs w:val="0"/>
                <w:color w:val="000000"/>
                <w:kern w:val="0"/>
                <w:sz w:val="24"/>
                <w:szCs w:val="24"/>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63" w:hRule="atLeast"/>
          <w:jc w:val="center"/>
        </w:trPr>
        <w:tc>
          <w:tcPr>
            <w:tcW w:w="1911" w:type="dxa"/>
            <w:gridSpan w:val="7"/>
            <w:noWrap w:val="0"/>
            <w:vAlign w:val="center"/>
          </w:tcPr>
          <w:p>
            <w:pPr>
              <w:keepNext w:val="0"/>
              <w:keepLines w:val="0"/>
              <w:widowControl/>
              <w:suppressLineNumbers w:val="0"/>
              <w:jc w:val="left"/>
              <w:textAlignment w:val="center"/>
              <w:rPr>
                <w:rFonts w:hint="eastAsia" w:ascii="仿宋_GB2312" w:hAnsi="Times New Roman" w:eastAsia="仿宋_GB2312" w:cs="仿宋_GB2312"/>
                <w:i w:val="0"/>
                <w:iCs w:val="0"/>
                <w:color w:val="000000"/>
                <w:kern w:val="0"/>
                <w:sz w:val="22"/>
                <w:szCs w:val="22"/>
                <w:u w:val="none"/>
                <w:lang w:val="en-US" w:eastAsia="zh-CN" w:bidi="ar"/>
              </w:rPr>
            </w:pPr>
            <w:r>
              <w:rPr>
                <w:rFonts w:hint="default" w:ascii="仿宋_GB2312" w:hAnsi="Times New Roman" w:eastAsia="仿宋_GB2312" w:cs="仿宋_GB2312"/>
                <w:i w:val="0"/>
                <w:iCs w:val="0"/>
                <w:color w:val="000000"/>
                <w:kern w:val="0"/>
                <w:sz w:val="22"/>
                <w:szCs w:val="22"/>
                <w:u w:val="none"/>
                <w:lang w:val="en-US" w:eastAsia="zh-CN" w:bidi="ar"/>
              </w:rPr>
              <w:t>6、执法监察支队</w:t>
            </w:r>
          </w:p>
        </w:tc>
        <w:tc>
          <w:tcPr>
            <w:tcW w:w="1022" w:type="dxa"/>
            <w:gridSpan w:val="3"/>
            <w:tcBorders>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11.38</w:t>
            </w:r>
          </w:p>
        </w:tc>
        <w:tc>
          <w:tcPr>
            <w:tcW w:w="2219" w:type="dxa"/>
            <w:gridSpan w:val="5"/>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6.00</w:t>
            </w:r>
          </w:p>
        </w:tc>
        <w:tc>
          <w:tcPr>
            <w:tcW w:w="2579" w:type="dxa"/>
            <w:gridSpan w:val="6"/>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5.38</w:t>
            </w:r>
          </w:p>
        </w:tc>
        <w:tc>
          <w:tcPr>
            <w:tcW w:w="2243" w:type="dxa"/>
            <w:gridSpan w:val="5"/>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4"/>
                <w:szCs w:val="24"/>
                <w:highlight w:val="none"/>
                <w:lang w:val="en-US" w:eastAsia="zh-CN"/>
              </w:rPr>
            </w:pPr>
            <w:r>
              <w:rPr>
                <w:rFonts w:hint="default" w:ascii="仿宋_GB2312" w:hAnsi="宋体" w:eastAsia="仿宋_GB2312" w:cs="仿宋_GB2312"/>
                <w:i w:val="0"/>
                <w:iCs w:val="0"/>
                <w:color w:val="000000"/>
                <w:kern w:val="0"/>
                <w:sz w:val="24"/>
                <w:szCs w:val="24"/>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2" w:hRule="atLeast"/>
          <w:jc w:val="center"/>
        </w:trPr>
        <w:tc>
          <w:tcPr>
            <w:tcW w:w="1911" w:type="dxa"/>
            <w:gridSpan w:val="7"/>
            <w:noWrap w:val="0"/>
            <w:vAlign w:val="center"/>
          </w:tcPr>
          <w:p>
            <w:pPr>
              <w:keepNext w:val="0"/>
              <w:keepLines w:val="0"/>
              <w:widowControl/>
              <w:suppressLineNumbers w:val="0"/>
              <w:jc w:val="left"/>
              <w:textAlignment w:val="center"/>
              <w:rPr>
                <w:rFonts w:hint="eastAsia" w:ascii="仿宋_GB2312" w:hAnsi="Times New Roman" w:eastAsia="仿宋_GB2312" w:cs="仿宋_GB2312"/>
                <w:i w:val="0"/>
                <w:iCs w:val="0"/>
                <w:color w:val="000000"/>
                <w:kern w:val="0"/>
                <w:sz w:val="22"/>
                <w:szCs w:val="22"/>
                <w:u w:val="none"/>
                <w:lang w:val="en-US" w:eastAsia="zh-CN" w:bidi="ar"/>
              </w:rPr>
            </w:pPr>
            <w:r>
              <w:rPr>
                <w:rFonts w:hint="default" w:ascii="仿宋_GB2312" w:hAnsi="Times New Roman" w:eastAsia="仿宋_GB2312" w:cs="仿宋_GB2312"/>
                <w:i w:val="0"/>
                <w:iCs w:val="0"/>
                <w:color w:val="000000"/>
                <w:kern w:val="0"/>
                <w:sz w:val="22"/>
                <w:szCs w:val="22"/>
                <w:u w:val="none"/>
                <w:lang w:val="en-US" w:eastAsia="zh-CN" w:bidi="ar"/>
              </w:rPr>
              <w:t>7、土地综合整治中心</w:t>
            </w:r>
          </w:p>
        </w:tc>
        <w:tc>
          <w:tcPr>
            <w:tcW w:w="1022" w:type="dxa"/>
            <w:gridSpan w:val="3"/>
            <w:tcBorders>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1.68</w:t>
            </w:r>
          </w:p>
        </w:tc>
        <w:tc>
          <w:tcPr>
            <w:tcW w:w="2219" w:type="dxa"/>
            <w:gridSpan w:val="5"/>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0.52</w:t>
            </w:r>
          </w:p>
        </w:tc>
        <w:tc>
          <w:tcPr>
            <w:tcW w:w="2579" w:type="dxa"/>
            <w:gridSpan w:val="6"/>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1.16</w:t>
            </w:r>
          </w:p>
        </w:tc>
        <w:tc>
          <w:tcPr>
            <w:tcW w:w="2243" w:type="dxa"/>
            <w:gridSpan w:val="5"/>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1"/>
                <w:szCs w:val="21"/>
                <w:highlight w:val="none"/>
                <w:lang w:val="en-US" w:eastAsia="zh-CN"/>
              </w:rPr>
            </w:pPr>
            <w:r>
              <w:rPr>
                <w:rFonts w:hint="default" w:ascii="仿宋_GB2312" w:hAnsi="宋体" w:eastAsia="仿宋_GB2312" w:cs="仿宋_GB2312"/>
                <w:i w:val="0"/>
                <w:iCs w:val="0"/>
                <w:color w:val="000000"/>
                <w:kern w:val="0"/>
                <w:sz w:val="24"/>
                <w:szCs w:val="24"/>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01" w:hRule="atLeast"/>
          <w:jc w:val="center"/>
        </w:trPr>
        <w:tc>
          <w:tcPr>
            <w:tcW w:w="1911" w:type="dxa"/>
            <w:gridSpan w:val="7"/>
            <w:noWrap w:val="0"/>
            <w:vAlign w:val="center"/>
          </w:tcPr>
          <w:p>
            <w:pPr>
              <w:keepNext w:val="0"/>
              <w:keepLines w:val="0"/>
              <w:widowControl/>
              <w:suppressLineNumbers w:val="0"/>
              <w:jc w:val="left"/>
              <w:textAlignment w:val="center"/>
              <w:rPr>
                <w:rFonts w:hint="eastAsia" w:ascii="仿宋_GB2312" w:hAnsi="Times New Roman" w:eastAsia="仿宋_GB2312" w:cs="仿宋_GB2312"/>
                <w:i w:val="0"/>
                <w:iCs w:val="0"/>
                <w:color w:val="000000"/>
                <w:kern w:val="0"/>
                <w:sz w:val="22"/>
                <w:szCs w:val="22"/>
                <w:u w:val="none"/>
                <w:lang w:val="en-US" w:eastAsia="zh-CN" w:bidi="ar"/>
              </w:rPr>
            </w:pPr>
            <w:r>
              <w:rPr>
                <w:rFonts w:hint="default" w:ascii="仿宋_GB2312" w:hAnsi="Times New Roman" w:eastAsia="仿宋_GB2312" w:cs="仿宋_GB2312"/>
                <w:i w:val="0"/>
                <w:iCs w:val="0"/>
                <w:color w:val="000000"/>
                <w:kern w:val="0"/>
                <w:sz w:val="22"/>
                <w:szCs w:val="22"/>
                <w:u w:val="none"/>
                <w:lang w:val="en-US" w:eastAsia="zh-CN" w:bidi="ar"/>
              </w:rPr>
              <w:t>8、不动产产权交易中心</w:t>
            </w:r>
          </w:p>
        </w:tc>
        <w:tc>
          <w:tcPr>
            <w:tcW w:w="1022" w:type="dxa"/>
            <w:gridSpan w:val="3"/>
            <w:tcBorders>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219" w:type="dxa"/>
            <w:gridSpan w:val="5"/>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2579" w:type="dxa"/>
            <w:gridSpan w:val="6"/>
            <w:noWrap w:val="0"/>
            <w:vAlign w:val="center"/>
          </w:tcPr>
          <w:p>
            <w:pPr>
              <w:jc w:val="center"/>
              <w:rPr>
                <w:rFonts w:hint="default" w:ascii="Times New Roman" w:hAnsi="Times New Roman" w:eastAsia="仿宋_GB2312" w:cs="Times New Roman"/>
                <w:color w:val="auto"/>
                <w:sz w:val="21"/>
                <w:szCs w:val="21"/>
                <w:highlight w:val="none"/>
                <w:lang w:val="en-US" w:eastAsia="zh-CN"/>
              </w:rPr>
            </w:pPr>
          </w:p>
        </w:tc>
        <w:tc>
          <w:tcPr>
            <w:tcW w:w="2243" w:type="dxa"/>
            <w:gridSpan w:val="5"/>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1"/>
                <w:szCs w:val="21"/>
                <w:highlight w:val="none"/>
                <w:lang w:val="en-US" w:eastAsia="zh-CN"/>
              </w:rPr>
            </w:pPr>
            <w:r>
              <w:rPr>
                <w:rFonts w:hint="default" w:ascii="仿宋_GB2312" w:hAnsi="宋体" w:eastAsia="仿宋_GB2312" w:cs="仿宋_GB2312"/>
                <w:i w:val="0"/>
                <w:iCs w:val="0"/>
                <w:color w:val="000000"/>
                <w:kern w:val="0"/>
                <w:sz w:val="24"/>
                <w:szCs w:val="24"/>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94" w:hRule="atLeast"/>
          <w:jc w:val="center"/>
        </w:trPr>
        <w:tc>
          <w:tcPr>
            <w:tcW w:w="1911" w:type="dxa"/>
            <w:gridSpan w:val="7"/>
            <w:noWrap w:val="0"/>
            <w:vAlign w:val="center"/>
          </w:tcPr>
          <w:p>
            <w:pPr>
              <w:keepNext w:val="0"/>
              <w:keepLines w:val="0"/>
              <w:widowControl/>
              <w:suppressLineNumbers w:val="0"/>
              <w:jc w:val="left"/>
              <w:textAlignment w:val="center"/>
              <w:rPr>
                <w:rFonts w:hint="eastAsia" w:ascii="仿宋_GB2312" w:hAnsi="Times New Roman" w:eastAsia="仿宋_GB2312" w:cs="仿宋_GB2312"/>
                <w:i w:val="0"/>
                <w:iCs w:val="0"/>
                <w:color w:val="000000"/>
                <w:kern w:val="0"/>
                <w:sz w:val="22"/>
                <w:szCs w:val="22"/>
                <w:u w:val="none"/>
                <w:lang w:val="en-US" w:eastAsia="zh-CN" w:bidi="ar"/>
              </w:rPr>
            </w:pPr>
            <w:r>
              <w:rPr>
                <w:rFonts w:hint="default" w:ascii="仿宋_GB2312" w:hAnsi="Times New Roman" w:eastAsia="仿宋_GB2312" w:cs="仿宋_GB2312"/>
                <w:i w:val="0"/>
                <w:iCs w:val="0"/>
                <w:color w:val="000000"/>
                <w:kern w:val="0"/>
                <w:sz w:val="22"/>
                <w:szCs w:val="22"/>
                <w:u w:val="none"/>
                <w:lang w:val="en-US" w:eastAsia="zh-CN" w:bidi="ar"/>
              </w:rPr>
              <w:t>9、不动产登记信息中心</w:t>
            </w:r>
          </w:p>
        </w:tc>
        <w:tc>
          <w:tcPr>
            <w:tcW w:w="1022" w:type="dxa"/>
            <w:gridSpan w:val="3"/>
            <w:tcBorders>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0</w:t>
            </w:r>
          </w:p>
        </w:tc>
        <w:tc>
          <w:tcPr>
            <w:tcW w:w="2219" w:type="dxa"/>
            <w:gridSpan w:val="5"/>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0.00</w:t>
            </w:r>
          </w:p>
        </w:tc>
        <w:tc>
          <w:tcPr>
            <w:tcW w:w="2579" w:type="dxa"/>
            <w:gridSpan w:val="6"/>
            <w:noWrap w:val="0"/>
            <w:vAlign w:val="center"/>
          </w:tcPr>
          <w:p>
            <w:pPr>
              <w:jc w:val="center"/>
              <w:rPr>
                <w:rFonts w:hint="default" w:ascii="Times New Roman" w:hAnsi="Times New Roman" w:eastAsia="仿宋_GB2312" w:cs="Times New Roman"/>
                <w:color w:val="auto"/>
                <w:sz w:val="21"/>
                <w:szCs w:val="21"/>
                <w:highlight w:val="none"/>
                <w:lang w:val="en-US" w:eastAsia="zh-CN"/>
              </w:rPr>
            </w:pPr>
          </w:p>
        </w:tc>
        <w:tc>
          <w:tcPr>
            <w:tcW w:w="2243" w:type="dxa"/>
            <w:gridSpan w:val="5"/>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1"/>
                <w:szCs w:val="21"/>
                <w:highlight w:val="none"/>
                <w:lang w:val="en-US" w:eastAsia="zh-CN"/>
              </w:rPr>
            </w:pPr>
            <w:r>
              <w:rPr>
                <w:rFonts w:hint="default" w:ascii="仿宋_GB2312" w:hAnsi="宋体" w:eastAsia="仿宋_GB2312" w:cs="仿宋_GB2312"/>
                <w:i w:val="0"/>
                <w:iCs w:val="0"/>
                <w:color w:val="000000"/>
                <w:kern w:val="0"/>
                <w:sz w:val="24"/>
                <w:szCs w:val="24"/>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911" w:type="dxa"/>
            <w:gridSpan w:val="7"/>
            <w:noWrap w:val="0"/>
            <w:vAlign w:val="center"/>
          </w:tcPr>
          <w:p>
            <w:pPr>
              <w:keepNext w:val="0"/>
              <w:keepLines w:val="0"/>
              <w:widowControl/>
              <w:suppressLineNumbers w:val="0"/>
              <w:jc w:val="left"/>
              <w:textAlignment w:val="center"/>
              <w:rPr>
                <w:rFonts w:hint="eastAsia" w:ascii="仿宋_GB2312" w:hAnsi="Times New Roman" w:eastAsia="仿宋_GB2312" w:cs="仿宋_GB2312"/>
                <w:i w:val="0"/>
                <w:iCs w:val="0"/>
                <w:color w:val="000000"/>
                <w:kern w:val="0"/>
                <w:sz w:val="22"/>
                <w:szCs w:val="22"/>
                <w:u w:val="none"/>
                <w:lang w:val="en-US" w:eastAsia="zh-CN" w:bidi="ar"/>
              </w:rPr>
            </w:pPr>
            <w:r>
              <w:rPr>
                <w:rFonts w:hint="default" w:ascii="仿宋_GB2312" w:hAnsi="Times New Roman" w:eastAsia="仿宋_GB2312" w:cs="仿宋_GB2312"/>
                <w:i w:val="0"/>
                <w:iCs w:val="0"/>
                <w:color w:val="000000"/>
                <w:kern w:val="0"/>
                <w:sz w:val="22"/>
                <w:szCs w:val="22"/>
                <w:u w:val="none"/>
                <w:lang w:val="en-US" w:eastAsia="zh-CN" w:bidi="ar"/>
              </w:rPr>
              <w:t>10、不动产测绘中心</w:t>
            </w:r>
          </w:p>
        </w:tc>
        <w:tc>
          <w:tcPr>
            <w:tcW w:w="1022" w:type="dxa"/>
            <w:gridSpan w:val="3"/>
            <w:tcBorders>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5.41</w:t>
            </w:r>
          </w:p>
        </w:tc>
        <w:tc>
          <w:tcPr>
            <w:tcW w:w="2219" w:type="dxa"/>
            <w:gridSpan w:val="5"/>
            <w:tcBorders>
              <w:lef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color w:val="auto"/>
                <w:sz w:val="21"/>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5.41</w:t>
            </w:r>
          </w:p>
        </w:tc>
        <w:tc>
          <w:tcPr>
            <w:tcW w:w="2579" w:type="dxa"/>
            <w:gridSpan w:val="6"/>
            <w:noWrap w:val="0"/>
            <w:vAlign w:val="center"/>
          </w:tcPr>
          <w:p>
            <w:pPr>
              <w:jc w:val="center"/>
              <w:rPr>
                <w:rFonts w:hint="default" w:ascii="Times New Roman" w:hAnsi="Times New Roman" w:eastAsia="仿宋_GB2312" w:cs="Times New Roman"/>
                <w:color w:val="auto"/>
                <w:sz w:val="21"/>
                <w:szCs w:val="21"/>
                <w:highlight w:val="none"/>
                <w:lang w:val="en-US" w:eastAsia="zh-CN"/>
              </w:rPr>
            </w:pPr>
          </w:p>
        </w:tc>
        <w:tc>
          <w:tcPr>
            <w:tcW w:w="2243" w:type="dxa"/>
            <w:gridSpan w:val="5"/>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1"/>
                <w:szCs w:val="21"/>
                <w:highlight w:val="none"/>
                <w:lang w:val="en-US" w:eastAsia="zh-CN"/>
              </w:rPr>
            </w:pPr>
            <w:r>
              <w:rPr>
                <w:rFonts w:hint="default" w:ascii="仿宋_GB2312" w:hAnsi="宋体" w:eastAsia="仿宋_GB2312" w:cs="仿宋_GB2312"/>
                <w:i w:val="0"/>
                <w:iCs w:val="0"/>
                <w:color w:val="000000"/>
                <w:kern w:val="0"/>
                <w:sz w:val="24"/>
                <w:szCs w:val="24"/>
                <w:u w:val="none"/>
                <w:lang w:val="en-US" w:eastAsia="zh-CN" w:bidi="ar"/>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8" w:hRule="atLeast"/>
          <w:jc w:val="center"/>
        </w:trPr>
        <w:tc>
          <w:tcPr>
            <w:tcW w:w="955" w:type="dxa"/>
            <w:gridSpan w:val="3"/>
            <w:vMerge w:val="restart"/>
            <w:noWrap w:val="0"/>
            <w:vAlign w:val="center"/>
          </w:tcPr>
          <w:p>
            <w:pPr>
              <w:keepNext w:val="0"/>
              <w:keepLines w:val="0"/>
              <w:widowControl/>
              <w:suppressLineNumbers w:val="0"/>
              <w:jc w:val="center"/>
              <w:textAlignment w:val="center"/>
              <w:rPr>
                <w:rFonts w:hint="eastAsia" w:ascii="仿宋_GB2312" w:hAnsi="仿宋_GB2312" w:eastAsia="仿宋_GB2312" w:cs="仿宋_GB2312"/>
                <w:b/>
                <w:bCs/>
                <w:sz w:val="24"/>
                <w:szCs w:val="24"/>
              </w:rPr>
            </w:pPr>
            <w:r>
              <w:rPr>
                <w:rFonts w:hint="default" w:ascii="仿宋_GB2312" w:hAnsi="宋体" w:eastAsia="仿宋_GB2312" w:cs="仿宋_GB2312"/>
                <w:b/>
                <w:bCs/>
                <w:i w:val="0"/>
                <w:iCs w:val="0"/>
                <w:color w:val="000000"/>
                <w:kern w:val="0"/>
                <w:sz w:val="24"/>
                <w:szCs w:val="24"/>
                <w:u w:val="none"/>
                <w:lang w:val="en-US" w:eastAsia="zh-CN" w:bidi="ar"/>
              </w:rPr>
              <w:t>机构名称</w:t>
            </w:r>
          </w:p>
        </w:tc>
        <w:tc>
          <w:tcPr>
            <w:tcW w:w="1978" w:type="dxa"/>
            <w:gridSpan w:val="7"/>
            <w:vMerge w:val="restart"/>
            <w:tcBorders>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sz w:val="21"/>
                <w:szCs w:val="21"/>
              </w:rPr>
            </w:pPr>
            <w:r>
              <w:rPr>
                <w:rFonts w:hint="default" w:ascii="仿宋_GB2312" w:hAnsi="宋体" w:eastAsia="仿宋_GB2312" w:cs="仿宋_GB2312"/>
                <w:b/>
                <w:bCs/>
                <w:i w:val="0"/>
                <w:iCs w:val="0"/>
                <w:color w:val="000000"/>
                <w:kern w:val="0"/>
                <w:sz w:val="21"/>
                <w:szCs w:val="21"/>
                <w:u w:val="none"/>
                <w:lang w:val="en-US" w:eastAsia="zh-CN" w:bidi="ar"/>
              </w:rPr>
              <w:t>固定资产合计余额（净值）</w:t>
            </w:r>
          </w:p>
        </w:tc>
        <w:tc>
          <w:tcPr>
            <w:tcW w:w="4798" w:type="dxa"/>
            <w:gridSpan w:val="11"/>
            <w:tcBorders>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sz w:val="21"/>
                <w:szCs w:val="21"/>
              </w:rPr>
            </w:pPr>
            <w:r>
              <w:rPr>
                <w:rFonts w:hint="default" w:ascii="仿宋_GB2312" w:hAnsi="宋体" w:eastAsia="仿宋_GB2312" w:cs="仿宋_GB2312"/>
                <w:b/>
                <w:bCs/>
                <w:i w:val="0"/>
                <w:iCs w:val="0"/>
                <w:color w:val="000000"/>
                <w:kern w:val="0"/>
                <w:sz w:val="24"/>
                <w:szCs w:val="24"/>
                <w:u w:val="none"/>
                <w:lang w:val="en-US" w:eastAsia="zh-CN" w:bidi="ar"/>
              </w:rPr>
              <w:t>其中：</w:t>
            </w:r>
          </w:p>
        </w:tc>
        <w:tc>
          <w:tcPr>
            <w:tcW w:w="2243" w:type="dxa"/>
            <w:gridSpan w:val="5"/>
            <w:tcBorders>
              <w:lef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sz w:val="21"/>
                <w:szCs w:val="21"/>
              </w:rPr>
            </w:pPr>
            <w:r>
              <w:rPr>
                <w:rFonts w:hint="default" w:ascii="仿宋_GB2312" w:hAnsi="宋体" w:eastAsia="仿宋_GB2312" w:cs="仿宋_GB2312"/>
                <w:b/>
                <w:bCs/>
                <w:i w:val="0"/>
                <w:iCs w:val="0"/>
                <w:color w:val="000000"/>
                <w:kern w:val="0"/>
                <w:sz w:val="21"/>
                <w:szCs w:val="21"/>
                <w:u w:val="none"/>
                <w:lang w:val="en-US" w:eastAsia="zh-CN" w:bidi="ar"/>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07" w:hRule="atLeast"/>
          <w:jc w:val="center"/>
        </w:trPr>
        <w:tc>
          <w:tcPr>
            <w:tcW w:w="955" w:type="dxa"/>
            <w:gridSpan w:val="3"/>
            <w:vMerge w:val="continue"/>
            <w:noWrap w:val="0"/>
            <w:vAlign w:val="center"/>
          </w:tcPr>
          <w:p>
            <w:pPr>
              <w:jc w:val="center"/>
              <w:rPr>
                <w:rFonts w:hint="eastAsia" w:ascii="仿宋_GB2312" w:hAnsi="仿宋_GB2312" w:eastAsia="仿宋_GB2312" w:cs="仿宋_GB2312"/>
                <w:b/>
                <w:bCs/>
                <w:sz w:val="24"/>
                <w:szCs w:val="24"/>
              </w:rPr>
            </w:pPr>
          </w:p>
        </w:tc>
        <w:tc>
          <w:tcPr>
            <w:tcW w:w="1978" w:type="dxa"/>
            <w:gridSpan w:val="7"/>
            <w:vMerge w:val="continue"/>
            <w:tcBorders>
              <w:right w:val="single" w:color="auto" w:sz="4" w:space="0"/>
            </w:tcBorders>
            <w:noWrap w:val="0"/>
            <w:vAlign w:val="center"/>
          </w:tcPr>
          <w:p>
            <w:pPr>
              <w:jc w:val="center"/>
              <w:rPr>
                <w:rFonts w:hint="eastAsia" w:ascii="仿宋_GB2312" w:hAnsi="仿宋_GB2312" w:eastAsia="仿宋_GB2312" w:cs="仿宋_GB2312"/>
                <w:b/>
                <w:bCs/>
                <w:color w:val="000000"/>
                <w:sz w:val="21"/>
                <w:szCs w:val="21"/>
              </w:rPr>
            </w:pPr>
          </w:p>
        </w:tc>
        <w:tc>
          <w:tcPr>
            <w:tcW w:w="4798" w:type="dxa"/>
            <w:gridSpan w:val="11"/>
            <w:tcBorders>
              <w:left w:val="single" w:color="auto"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sz w:val="21"/>
                <w:szCs w:val="21"/>
              </w:rPr>
            </w:pPr>
            <w:r>
              <w:rPr>
                <w:rFonts w:hint="default" w:ascii="仿宋_GB2312" w:hAnsi="宋体" w:eastAsia="仿宋_GB2312" w:cs="仿宋_GB2312"/>
                <w:b/>
                <w:bCs/>
                <w:i w:val="0"/>
                <w:iCs w:val="0"/>
                <w:color w:val="000000"/>
                <w:kern w:val="0"/>
                <w:sz w:val="21"/>
                <w:szCs w:val="21"/>
                <w:u w:val="none"/>
                <w:lang w:val="en-US" w:eastAsia="zh-CN" w:bidi="ar"/>
              </w:rPr>
              <w:t>在用固定资产</w:t>
            </w:r>
          </w:p>
        </w:tc>
        <w:tc>
          <w:tcPr>
            <w:tcW w:w="2243" w:type="dxa"/>
            <w:gridSpan w:val="5"/>
            <w:tcBorders>
              <w:right w:val="single" w:color="auto" w:sz="4" w:space="0"/>
            </w:tcBorders>
            <w:noWrap w:val="0"/>
            <w:vAlign w:val="center"/>
          </w:tcPr>
          <w:p>
            <w:pPr>
              <w:jc w:val="center"/>
              <w:rPr>
                <w:rFonts w:hint="eastAsia" w:ascii="仿宋_GB2312" w:hAnsi="仿宋_GB2312" w:eastAsia="仿宋_GB2312" w:cs="仿宋_GB2312"/>
                <w:b/>
                <w:bCs/>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093" w:hRule="atLeast"/>
          <w:jc w:val="center"/>
        </w:trPr>
        <w:tc>
          <w:tcPr>
            <w:tcW w:w="955" w:type="dxa"/>
            <w:gridSpan w:val="3"/>
            <w:noWrap w:val="0"/>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Style w:val="13"/>
                <w:rFonts w:hAnsi="宋体"/>
                <w:lang w:val="en-US" w:eastAsia="zh-CN" w:bidi="ar"/>
              </w:rPr>
              <w:t>岳阳自然资源和规划局机</w:t>
            </w:r>
            <w:r>
              <w:rPr>
                <w:rFonts w:hint="default" w:ascii="仿宋_GB2312" w:hAnsi="宋体" w:eastAsia="仿宋_GB2312" w:cs="仿宋_GB2312"/>
                <w:i w:val="0"/>
                <w:iCs w:val="0"/>
                <w:color w:val="000000"/>
                <w:kern w:val="0"/>
                <w:sz w:val="24"/>
                <w:szCs w:val="24"/>
                <w:u w:val="none"/>
                <w:lang w:val="en-US" w:eastAsia="zh-CN" w:bidi="ar"/>
              </w:rPr>
              <w:t>关</w:t>
            </w:r>
          </w:p>
        </w:tc>
        <w:tc>
          <w:tcPr>
            <w:tcW w:w="1978" w:type="dxa"/>
            <w:gridSpan w:val="7"/>
            <w:tcBorders>
              <w:righ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1"/>
                <w:szCs w:val="21"/>
                <w:lang w:val="en-US" w:eastAsia="zh-CN"/>
              </w:rPr>
            </w:pPr>
            <w:r>
              <w:rPr>
                <w:rFonts w:hint="default" w:ascii="仿宋_GB2312" w:hAnsi="宋体" w:eastAsia="仿宋_GB2312" w:cs="仿宋_GB2312"/>
                <w:i w:val="0"/>
                <w:iCs w:val="0"/>
                <w:color w:val="000000"/>
                <w:kern w:val="0"/>
                <w:sz w:val="21"/>
                <w:szCs w:val="21"/>
                <w:u w:val="none"/>
                <w:lang w:val="en-US" w:eastAsia="zh-CN" w:bidi="ar"/>
              </w:rPr>
              <w:t>29,446.99</w:t>
            </w:r>
            <w:r>
              <w:rPr>
                <w:rFonts w:hint="eastAsia" w:ascii="仿宋_GB2312" w:hAnsi="宋体" w:eastAsia="仿宋_GB2312" w:cs="仿宋_GB2312"/>
                <w:i w:val="0"/>
                <w:iCs w:val="0"/>
                <w:color w:val="000000"/>
                <w:kern w:val="0"/>
                <w:sz w:val="21"/>
                <w:szCs w:val="21"/>
                <w:u w:val="none"/>
                <w:lang w:val="en-US" w:eastAsia="zh-CN" w:bidi="ar"/>
              </w:rPr>
              <w:t>万元</w:t>
            </w:r>
          </w:p>
        </w:tc>
        <w:tc>
          <w:tcPr>
            <w:tcW w:w="4798" w:type="dxa"/>
            <w:gridSpan w:val="11"/>
            <w:tcBorders>
              <w:left w:val="single" w:color="auto" w:sz="4" w:space="0"/>
            </w:tcBorders>
            <w:noWrap w:val="0"/>
            <w:vAlign w:val="center"/>
          </w:tcPr>
          <w:p>
            <w:pPr>
              <w:keepNext w:val="0"/>
              <w:keepLines w:val="0"/>
              <w:widowControl/>
              <w:suppressLineNumbers w:val="0"/>
              <w:jc w:val="center"/>
              <w:textAlignment w:val="center"/>
              <w:rPr>
                <w:rFonts w:hint="default" w:ascii="仿宋_GB2312" w:hAnsi="仿宋_GB2312" w:eastAsia="仿宋_GB2312" w:cs="仿宋_GB2312"/>
                <w:color w:val="auto"/>
                <w:sz w:val="21"/>
                <w:szCs w:val="21"/>
                <w:lang w:val="en-US" w:eastAsia="zh-CN"/>
              </w:rPr>
            </w:pPr>
            <w:r>
              <w:rPr>
                <w:rFonts w:hint="default" w:ascii="仿宋_GB2312" w:hAnsi="宋体" w:eastAsia="仿宋_GB2312" w:cs="仿宋_GB2312"/>
                <w:i w:val="0"/>
                <w:iCs w:val="0"/>
                <w:color w:val="000000"/>
                <w:kern w:val="0"/>
                <w:sz w:val="21"/>
                <w:szCs w:val="21"/>
                <w:u w:val="none"/>
                <w:lang w:val="en-US" w:eastAsia="zh-CN" w:bidi="ar"/>
              </w:rPr>
              <w:t>29,446.99</w:t>
            </w:r>
            <w:r>
              <w:rPr>
                <w:rFonts w:hint="eastAsia" w:ascii="仿宋_GB2312" w:hAnsi="宋体" w:eastAsia="仿宋_GB2312" w:cs="仿宋_GB2312"/>
                <w:i w:val="0"/>
                <w:iCs w:val="0"/>
                <w:color w:val="000000"/>
                <w:kern w:val="0"/>
                <w:sz w:val="21"/>
                <w:szCs w:val="21"/>
                <w:u w:val="none"/>
                <w:lang w:val="en-US" w:eastAsia="zh-CN" w:bidi="ar"/>
              </w:rPr>
              <w:t>万元</w:t>
            </w:r>
          </w:p>
        </w:tc>
        <w:tc>
          <w:tcPr>
            <w:tcW w:w="2243" w:type="dxa"/>
            <w:gridSpan w:val="5"/>
            <w:noWrap w:val="0"/>
            <w:vAlign w:val="center"/>
          </w:tcPr>
          <w:p>
            <w:pPr>
              <w:rPr>
                <w:rFonts w:hint="eastAsia" w:ascii="仿宋_GB2312" w:hAnsi="仿宋_GB2312" w:eastAsia="仿宋_GB2312" w:cs="仿宋_GB2312"/>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974" w:type="dxa"/>
            <w:gridSpan w:val="2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6" w:hRule="atLeast"/>
          <w:jc w:val="center"/>
        </w:trPr>
        <w:tc>
          <w:tcPr>
            <w:tcW w:w="541" w:type="dxa"/>
            <w:vMerge w:val="restart"/>
            <w:noWrap w:val="0"/>
            <w:vAlign w:val="center"/>
          </w:tcPr>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绩</w:t>
            </w:r>
          </w:p>
          <w:p>
            <w:pPr>
              <w:spacing w:line="320" w:lineRule="exact"/>
              <w:jc w:val="both"/>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效</w:t>
            </w:r>
          </w:p>
          <w:p>
            <w:pPr>
              <w:spacing w:line="320" w:lineRule="exact"/>
              <w:jc w:val="both"/>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指</w:t>
            </w:r>
          </w:p>
          <w:p>
            <w:pPr>
              <w:spacing w:line="320" w:lineRule="exact"/>
              <w:jc w:val="both"/>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标</w:t>
            </w: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绩</w:t>
            </w:r>
          </w:p>
          <w:p>
            <w:pPr>
              <w:spacing w:line="320" w:lineRule="exact"/>
              <w:jc w:val="both"/>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效</w:t>
            </w:r>
          </w:p>
          <w:p>
            <w:pPr>
              <w:spacing w:line="320" w:lineRule="exact"/>
              <w:jc w:val="both"/>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指</w:t>
            </w:r>
          </w:p>
          <w:p>
            <w:pPr>
              <w:spacing w:line="320" w:lineRule="exact"/>
              <w:jc w:val="both"/>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标</w:t>
            </w: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绩</w:t>
            </w:r>
          </w:p>
          <w:p>
            <w:pPr>
              <w:spacing w:line="320" w:lineRule="exact"/>
              <w:jc w:val="both"/>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效</w:t>
            </w:r>
          </w:p>
          <w:p>
            <w:pPr>
              <w:spacing w:line="320" w:lineRule="exact"/>
              <w:jc w:val="both"/>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指</w:t>
            </w:r>
          </w:p>
          <w:p>
            <w:pPr>
              <w:spacing w:line="320" w:lineRule="exact"/>
              <w:jc w:val="both"/>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标</w:t>
            </w: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绩</w:t>
            </w:r>
          </w:p>
          <w:p>
            <w:pPr>
              <w:spacing w:line="320" w:lineRule="exact"/>
              <w:jc w:val="both"/>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效</w:t>
            </w:r>
          </w:p>
          <w:p>
            <w:pPr>
              <w:spacing w:line="320" w:lineRule="exact"/>
              <w:jc w:val="both"/>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指</w:t>
            </w:r>
          </w:p>
          <w:p>
            <w:pPr>
              <w:spacing w:line="320" w:lineRule="exact"/>
              <w:jc w:val="both"/>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标</w:t>
            </w: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绩</w:t>
            </w:r>
          </w:p>
          <w:p>
            <w:pPr>
              <w:spacing w:line="320" w:lineRule="exact"/>
              <w:jc w:val="both"/>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效</w:t>
            </w:r>
          </w:p>
          <w:p>
            <w:pPr>
              <w:spacing w:line="320" w:lineRule="exact"/>
              <w:jc w:val="both"/>
              <w:rPr>
                <w:rFonts w:hint="eastAsia" w:ascii="仿宋_GB2312" w:hAnsi="仿宋_GB2312" w:eastAsia="仿宋_GB2312" w:cs="仿宋_GB2312"/>
                <w:b/>
                <w:bCs/>
                <w:sz w:val="21"/>
                <w:szCs w:val="21"/>
                <w:lang w:val="en-US" w:eastAsia="zh-CN"/>
              </w:rPr>
            </w:pPr>
          </w:p>
          <w:p>
            <w:pPr>
              <w:spacing w:line="320" w:lineRule="exact"/>
              <w:jc w:val="center"/>
              <w:rPr>
                <w:rFonts w:hint="eastAsia" w:ascii="仿宋_GB2312" w:hAnsi="仿宋_GB2312" w:eastAsia="仿宋_GB2312" w:cs="仿宋_GB2312"/>
                <w:b/>
                <w:bCs/>
                <w:sz w:val="21"/>
                <w:szCs w:val="21"/>
                <w:lang w:val="en-US" w:eastAsia="zh-CN"/>
              </w:rPr>
            </w:pPr>
            <w:r>
              <w:rPr>
                <w:rFonts w:hint="eastAsia" w:ascii="仿宋_GB2312" w:hAnsi="仿宋_GB2312" w:eastAsia="仿宋_GB2312" w:cs="仿宋_GB2312"/>
                <w:b/>
                <w:bCs/>
                <w:sz w:val="21"/>
                <w:szCs w:val="21"/>
                <w:lang w:val="en-US" w:eastAsia="zh-CN"/>
              </w:rPr>
              <w:t>指</w:t>
            </w:r>
          </w:p>
          <w:p>
            <w:pPr>
              <w:spacing w:line="320" w:lineRule="exact"/>
              <w:jc w:val="both"/>
              <w:rPr>
                <w:rFonts w:hint="eastAsia" w:ascii="仿宋_GB2312" w:hAnsi="仿宋_GB2312" w:eastAsia="仿宋_GB2312" w:cs="仿宋_GB2312"/>
                <w:b/>
                <w:bCs/>
                <w:sz w:val="21"/>
                <w:szCs w:val="21"/>
                <w:lang w:val="en-US" w:eastAsia="zh-CN"/>
              </w:rPr>
            </w:pPr>
          </w:p>
          <w:p>
            <w:pPr>
              <w:spacing w:line="32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b/>
                <w:bCs/>
                <w:sz w:val="21"/>
                <w:szCs w:val="21"/>
                <w:lang w:val="en-US" w:eastAsia="zh-CN"/>
              </w:rPr>
              <w:t>标</w:t>
            </w:r>
          </w:p>
        </w:tc>
        <w:tc>
          <w:tcPr>
            <w:tcW w:w="317"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b/>
                <w:bCs/>
                <w:color w:val="000000"/>
                <w:sz w:val="21"/>
                <w:szCs w:val="21"/>
                <w:lang w:val="en-US" w:eastAsia="zh-CN"/>
              </w:rPr>
              <w:t>一级指标</w:t>
            </w:r>
          </w:p>
        </w:tc>
        <w:tc>
          <w:tcPr>
            <w:tcW w:w="483" w:type="dxa"/>
            <w:gridSpan w:val="2"/>
            <w:noWrap w:val="0"/>
            <w:vAlign w:val="center"/>
          </w:tcPr>
          <w:p>
            <w:pPr>
              <w:autoSpaceDN w:val="0"/>
              <w:spacing w:line="320" w:lineRule="exact"/>
              <w:jc w:val="both"/>
              <w:textAlignment w:val="center"/>
              <w:rPr>
                <w:rFonts w:hint="default" w:ascii="仿宋_GB2312" w:hAnsi="仿宋_GB2312" w:eastAsia="仿宋_GB2312" w:cs="仿宋_GB2312"/>
                <w:b/>
                <w:bCs/>
                <w:color w:val="000000"/>
                <w:kern w:val="2"/>
                <w:sz w:val="21"/>
                <w:szCs w:val="21"/>
                <w:lang w:val="en-US" w:eastAsia="zh-CN" w:bidi="ar-SA"/>
              </w:rPr>
            </w:pPr>
            <w:r>
              <w:rPr>
                <w:rFonts w:hint="eastAsia" w:ascii="仿宋_GB2312" w:hAnsi="仿宋_GB2312" w:eastAsia="仿宋_GB2312" w:cs="仿宋_GB2312"/>
                <w:b/>
                <w:bCs/>
                <w:color w:val="000000"/>
                <w:sz w:val="21"/>
                <w:szCs w:val="21"/>
                <w:lang w:val="en-US" w:eastAsia="zh-CN"/>
              </w:rPr>
              <w:t>二级指标</w:t>
            </w:r>
          </w:p>
        </w:tc>
        <w:tc>
          <w:tcPr>
            <w:tcW w:w="3592" w:type="dxa"/>
            <w:gridSpan w:val="9"/>
            <w:noWrap w:val="0"/>
            <w:vAlign w:val="center"/>
          </w:tcPr>
          <w:p>
            <w:pPr>
              <w:autoSpaceDN w:val="0"/>
              <w:spacing w:line="320" w:lineRule="exact"/>
              <w:ind w:firstLine="723" w:firstLineChars="300"/>
              <w:jc w:val="left"/>
              <w:textAlignment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预期目标（年度绩效目标）</w:t>
            </w:r>
          </w:p>
        </w:tc>
        <w:tc>
          <w:tcPr>
            <w:tcW w:w="5041" w:type="dxa"/>
            <w:gridSpan w:val="13"/>
            <w:noWrap w:val="0"/>
            <w:vAlign w:val="center"/>
          </w:tcPr>
          <w:p>
            <w:pPr>
              <w:autoSpaceDN w:val="0"/>
              <w:spacing w:line="320" w:lineRule="exact"/>
              <w:ind w:firstLine="1687" w:firstLineChars="700"/>
              <w:jc w:val="left"/>
              <w:textAlignment w:val="center"/>
              <w:rPr>
                <w:rFonts w:hint="eastAsia" w:ascii="仿宋_GB2312" w:hAnsi="仿宋_GB2312" w:eastAsia="仿宋_GB2312" w:cs="仿宋_GB2312"/>
                <w:b/>
                <w:bCs/>
                <w:color w:val="000000"/>
                <w:sz w:val="24"/>
                <w:szCs w:val="24"/>
                <w:lang w:val="en-US" w:eastAsia="zh-CN"/>
              </w:rPr>
            </w:pPr>
            <w:r>
              <w:rPr>
                <w:rFonts w:hint="eastAsia" w:ascii="仿宋_GB2312" w:hAnsi="仿宋_GB2312" w:eastAsia="仿宋_GB2312" w:cs="仿宋_GB2312"/>
                <w:b/>
                <w:bCs/>
                <w:color w:val="000000"/>
                <w:sz w:val="24"/>
                <w:szCs w:val="24"/>
                <w:lang w:val="en-US" w:eastAsia="zh-CN"/>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968" w:hRule="atLeast"/>
          <w:jc w:val="center"/>
        </w:trPr>
        <w:tc>
          <w:tcPr>
            <w:tcW w:w="541" w:type="dxa"/>
            <w:vMerge w:val="continue"/>
            <w:noWrap w:val="0"/>
            <w:vAlign w:val="center"/>
          </w:tcPr>
          <w:p>
            <w:pPr>
              <w:spacing w:line="320" w:lineRule="exact"/>
              <w:rPr>
                <w:rFonts w:hint="default" w:ascii="仿宋_GB2312" w:hAnsi="仿宋_GB2312" w:eastAsia="仿宋_GB2312" w:cs="仿宋_GB2312"/>
                <w:sz w:val="24"/>
                <w:lang w:val="en-US" w:eastAsia="zh-CN"/>
              </w:rPr>
            </w:pPr>
          </w:p>
        </w:tc>
        <w:tc>
          <w:tcPr>
            <w:tcW w:w="317" w:type="dxa"/>
            <w:vMerge w:val="restart"/>
            <w:noWrap w:val="0"/>
            <w:vAlign w:val="center"/>
          </w:tcPr>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产</w:t>
            </w: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出</w:t>
            </w:r>
          </w:p>
          <w:p>
            <w:pPr>
              <w:autoSpaceDN w:val="0"/>
              <w:spacing w:line="320" w:lineRule="exact"/>
              <w:jc w:val="center"/>
              <w:rPr>
                <w:rFonts w:hint="eastAsia" w:ascii="仿宋_GB2312" w:hAnsi="仿宋_GB2312" w:eastAsia="仿宋_GB2312" w:cs="仿宋_GB2312"/>
                <w:b/>
                <w:bCs/>
                <w:color w:val="000000"/>
                <w:sz w:val="21"/>
                <w:szCs w:val="21"/>
              </w:rPr>
            </w:pPr>
          </w:p>
          <w:p>
            <w:pPr>
              <w:autoSpaceDN w:val="0"/>
              <w:spacing w:line="320" w:lineRule="exact"/>
              <w:jc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指</w:t>
            </w:r>
          </w:p>
          <w:p>
            <w:pPr>
              <w:autoSpaceDN w:val="0"/>
              <w:spacing w:line="320" w:lineRule="exact"/>
              <w:jc w:val="center"/>
              <w:rPr>
                <w:rFonts w:hint="eastAsia" w:ascii="仿宋_GB2312" w:hAnsi="仿宋_GB2312" w:eastAsia="仿宋_GB2312" w:cs="仿宋_GB2312"/>
                <w:b/>
                <w:bCs/>
                <w:color w:val="000000"/>
                <w:sz w:val="21"/>
                <w:szCs w:val="21"/>
              </w:rPr>
            </w:pPr>
          </w:p>
          <w:p>
            <w:pPr>
              <w:autoSpaceDN w:val="0"/>
              <w:spacing w:line="320" w:lineRule="exact"/>
              <w:jc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标</w:t>
            </w:r>
          </w:p>
          <w:p>
            <w:pPr>
              <w:autoSpaceDN w:val="0"/>
              <w:spacing w:line="320" w:lineRule="exact"/>
              <w:jc w:val="center"/>
              <w:rPr>
                <w:rFonts w:hint="eastAsia" w:ascii="仿宋_GB2312" w:hAnsi="仿宋_GB2312" w:eastAsia="仿宋_GB2312" w:cs="仿宋_GB2312"/>
                <w:b/>
                <w:bCs/>
                <w:color w:val="000000"/>
                <w:sz w:val="21"/>
                <w:szCs w:val="21"/>
              </w:rPr>
            </w:pPr>
          </w:p>
          <w:p>
            <w:pPr>
              <w:autoSpaceDN w:val="0"/>
              <w:spacing w:line="320" w:lineRule="exact"/>
              <w:jc w:val="center"/>
              <w:rPr>
                <w:rFonts w:hint="eastAsia" w:ascii="仿宋_GB2312" w:hAnsi="仿宋_GB2312" w:eastAsia="仿宋_GB2312" w:cs="仿宋_GB2312"/>
                <w:b/>
                <w:bCs/>
                <w:color w:val="000000"/>
                <w:sz w:val="21"/>
                <w:szCs w:val="21"/>
              </w:rPr>
            </w:pPr>
          </w:p>
          <w:p>
            <w:pPr>
              <w:autoSpaceDN w:val="0"/>
              <w:spacing w:line="320" w:lineRule="exact"/>
              <w:jc w:val="center"/>
              <w:rPr>
                <w:rFonts w:hint="eastAsia" w:ascii="仿宋_GB2312" w:hAnsi="仿宋_GB2312" w:eastAsia="仿宋_GB2312" w:cs="仿宋_GB2312"/>
                <w:b/>
                <w:bCs/>
                <w:color w:val="000000"/>
                <w:sz w:val="21"/>
                <w:szCs w:val="21"/>
              </w:rPr>
            </w:pPr>
          </w:p>
          <w:p>
            <w:pPr>
              <w:autoSpaceDN w:val="0"/>
              <w:spacing w:line="320" w:lineRule="exact"/>
              <w:jc w:val="center"/>
              <w:rPr>
                <w:rFonts w:hint="eastAsia" w:ascii="仿宋_GB2312" w:hAnsi="仿宋_GB2312" w:eastAsia="仿宋_GB2312" w:cs="仿宋_GB2312"/>
                <w:b/>
                <w:bCs/>
                <w:color w:val="000000"/>
                <w:sz w:val="21"/>
                <w:szCs w:val="21"/>
              </w:rPr>
            </w:pPr>
          </w:p>
          <w:p>
            <w:pPr>
              <w:autoSpaceDN w:val="0"/>
              <w:spacing w:line="320" w:lineRule="exact"/>
              <w:jc w:val="center"/>
              <w:rPr>
                <w:rFonts w:hint="eastAsia" w:ascii="仿宋_GB2312" w:hAnsi="仿宋_GB2312" w:eastAsia="仿宋_GB2312" w:cs="仿宋_GB2312"/>
                <w:b/>
                <w:bCs/>
                <w:color w:val="000000"/>
                <w:sz w:val="21"/>
                <w:szCs w:val="21"/>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产</w:t>
            </w: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出</w:t>
            </w:r>
          </w:p>
          <w:p>
            <w:pPr>
              <w:autoSpaceDN w:val="0"/>
              <w:spacing w:line="320" w:lineRule="exact"/>
              <w:jc w:val="both"/>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指</w:t>
            </w: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标</w:t>
            </w: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产</w:t>
            </w: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出</w:t>
            </w:r>
          </w:p>
          <w:p>
            <w:pPr>
              <w:autoSpaceDN w:val="0"/>
              <w:spacing w:line="320" w:lineRule="exact"/>
              <w:jc w:val="both"/>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指</w:t>
            </w: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标</w:t>
            </w: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产</w:t>
            </w: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出</w:t>
            </w:r>
          </w:p>
          <w:p>
            <w:pPr>
              <w:autoSpaceDN w:val="0"/>
              <w:spacing w:line="320" w:lineRule="exact"/>
              <w:jc w:val="both"/>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指</w:t>
            </w: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标</w:t>
            </w: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产</w:t>
            </w: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出</w:t>
            </w:r>
          </w:p>
          <w:p>
            <w:pPr>
              <w:autoSpaceDN w:val="0"/>
              <w:spacing w:line="320" w:lineRule="exact"/>
              <w:jc w:val="both"/>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指</w:t>
            </w:r>
          </w:p>
          <w:p>
            <w:pPr>
              <w:autoSpaceDN w:val="0"/>
              <w:spacing w:line="320" w:lineRule="exact"/>
              <w:jc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标</w:t>
            </w:r>
          </w:p>
        </w:tc>
        <w:tc>
          <w:tcPr>
            <w:tcW w:w="483" w:type="dxa"/>
            <w:gridSpan w:val="2"/>
            <w:noWrap w:val="0"/>
            <w:vAlign w:val="center"/>
          </w:tcPr>
          <w:p>
            <w:pPr>
              <w:autoSpaceDN w:val="0"/>
              <w:spacing w:line="320" w:lineRule="exact"/>
              <w:jc w:val="center"/>
              <w:textAlignment w:val="center"/>
              <w:rPr>
                <w:rFonts w:hint="eastAsia" w:ascii="仿宋_GB2312" w:hAnsi="仿宋_GB2312" w:eastAsia="仿宋_GB2312" w:cs="仿宋_GB2312"/>
                <w:b/>
                <w:bCs/>
                <w:color w:val="000000"/>
                <w:sz w:val="21"/>
                <w:szCs w:val="21"/>
              </w:rPr>
            </w:pPr>
          </w:p>
          <w:p>
            <w:pPr>
              <w:autoSpaceDN w:val="0"/>
              <w:spacing w:line="320" w:lineRule="exact"/>
              <w:jc w:val="center"/>
              <w:textAlignment w:val="center"/>
              <w:rPr>
                <w:rFonts w:hint="eastAsia" w:ascii="仿宋_GB2312" w:hAnsi="仿宋_GB2312" w:eastAsia="仿宋_GB2312" w:cs="仿宋_GB2312"/>
                <w:b/>
                <w:bCs/>
                <w:color w:val="000000"/>
                <w:sz w:val="21"/>
                <w:szCs w:val="21"/>
              </w:rPr>
            </w:pPr>
          </w:p>
          <w:p>
            <w:pPr>
              <w:autoSpaceDN w:val="0"/>
              <w:spacing w:line="320" w:lineRule="exact"/>
              <w:jc w:val="center"/>
              <w:textAlignment w:val="center"/>
              <w:rPr>
                <w:rFonts w:hint="eastAsia" w:ascii="仿宋_GB2312" w:hAnsi="仿宋_GB2312" w:eastAsia="仿宋_GB2312" w:cs="仿宋_GB2312"/>
                <w:b/>
                <w:bCs/>
                <w:color w:val="000000"/>
                <w:sz w:val="21"/>
                <w:szCs w:val="21"/>
              </w:rPr>
            </w:pPr>
          </w:p>
          <w:p>
            <w:pPr>
              <w:autoSpaceDN w:val="0"/>
              <w:spacing w:line="320" w:lineRule="exact"/>
              <w:jc w:val="center"/>
              <w:textAlignment w:val="center"/>
              <w:rPr>
                <w:rFonts w:hint="eastAsia" w:ascii="仿宋_GB2312" w:hAnsi="仿宋_GB2312" w:eastAsia="仿宋_GB2312" w:cs="仿宋_GB2312"/>
                <w:b/>
                <w:bCs/>
                <w:color w:val="000000"/>
                <w:sz w:val="21"/>
                <w:szCs w:val="21"/>
              </w:rPr>
            </w:pPr>
          </w:p>
          <w:p>
            <w:pPr>
              <w:autoSpaceDN w:val="0"/>
              <w:spacing w:line="320" w:lineRule="exact"/>
              <w:jc w:val="center"/>
              <w:textAlignment w:val="center"/>
              <w:rPr>
                <w:rFonts w:hint="eastAsia" w:ascii="仿宋_GB2312" w:hAnsi="仿宋_GB2312" w:eastAsia="仿宋_GB2312" w:cs="仿宋_GB2312"/>
                <w:b/>
                <w:bCs/>
                <w:color w:val="000000"/>
                <w:sz w:val="21"/>
                <w:szCs w:val="21"/>
              </w:rPr>
            </w:pPr>
          </w:p>
          <w:p>
            <w:pPr>
              <w:autoSpaceDN w:val="0"/>
              <w:spacing w:line="320" w:lineRule="exact"/>
              <w:jc w:val="center"/>
              <w:textAlignment w:val="center"/>
              <w:rPr>
                <w:rFonts w:hint="eastAsia" w:ascii="仿宋_GB2312" w:hAnsi="仿宋_GB2312" w:eastAsia="仿宋_GB2312" w:cs="仿宋_GB2312"/>
                <w:b/>
                <w:bCs/>
                <w:color w:val="000000"/>
                <w:sz w:val="21"/>
                <w:szCs w:val="21"/>
              </w:rPr>
            </w:pPr>
          </w:p>
          <w:p>
            <w:pPr>
              <w:autoSpaceDN w:val="0"/>
              <w:spacing w:line="320" w:lineRule="exact"/>
              <w:jc w:val="center"/>
              <w:textAlignment w:val="center"/>
              <w:rPr>
                <w:rFonts w:hint="eastAsia" w:ascii="仿宋_GB2312" w:hAnsi="仿宋_GB2312" w:eastAsia="仿宋_GB2312" w:cs="仿宋_GB2312"/>
                <w:b/>
                <w:bCs/>
                <w:color w:val="000000"/>
                <w:sz w:val="21"/>
                <w:szCs w:val="21"/>
              </w:rPr>
            </w:pPr>
          </w:p>
          <w:p>
            <w:pPr>
              <w:autoSpaceDN w:val="0"/>
              <w:spacing w:line="320" w:lineRule="exact"/>
              <w:jc w:val="center"/>
              <w:textAlignment w:val="center"/>
              <w:rPr>
                <w:rFonts w:hint="eastAsia" w:ascii="仿宋_GB2312" w:hAnsi="仿宋_GB2312" w:eastAsia="仿宋_GB2312" w:cs="仿宋_GB2312"/>
                <w:b/>
                <w:bCs/>
                <w:color w:val="000000"/>
                <w:sz w:val="21"/>
                <w:szCs w:val="21"/>
              </w:rPr>
            </w:pPr>
          </w:p>
          <w:p>
            <w:pPr>
              <w:autoSpaceDN w:val="0"/>
              <w:spacing w:line="320" w:lineRule="exact"/>
              <w:jc w:val="center"/>
              <w:textAlignment w:val="center"/>
              <w:rPr>
                <w:rFonts w:hint="eastAsia" w:ascii="仿宋_GB2312" w:hAnsi="仿宋_GB2312" w:eastAsia="仿宋_GB2312" w:cs="仿宋_GB2312"/>
                <w:b/>
                <w:bCs/>
                <w:color w:val="000000"/>
                <w:sz w:val="21"/>
                <w:szCs w:val="21"/>
              </w:rPr>
            </w:pPr>
          </w:p>
          <w:p>
            <w:pPr>
              <w:autoSpaceDN w:val="0"/>
              <w:spacing w:line="320" w:lineRule="exact"/>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数</w:t>
            </w:r>
          </w:p>
          <w:p>
            <w:pPr>
              <w:autoSpaceDN w:val="0"/>
              <w:spacing w:line="320" w:lineRule="exact"/>
              <w:jc w:val="both"/>
              <w:textAlignment w:val="center"/>
              <w:rPr>
                <w:rFonts w:hint="eastAsia" w:ascii="仿宋_GB2312" w:hAnsi="仿宋_GB2312" w:eastAsia="仿宋_GB2312" w:cs="仿宋_GB2312"/>
                <w:b/>
                <w:bCs/>
                <w:color w:val="000000"/>
                <w:sz w:val="21"/>
                <w:szCs w:val="21"/>
              </w:rPr>
            </w:pPr>
          </w:p>
          <w:p>
            <w:pPr>
              <w:autoSpaceDN w:val="0"/>
              <w:spacing w:line="320" w:lineRule="exact"/>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量</w:t>
            </w:r>
          </w:p>
          <w:p>
            <w:pPr>
              <w:autoSpaceDN w:val="0"/>
              <w:spacing w:line="320" w:lineRule="exact"/>
              <w:jc w:val="both"/>
              <w:textAlignment w:val="center"/>
              <w:rPr>
                <w:rFonts w:hint="eastAsia" w:ascii="仿宋_GB2312" w:hAnsi="仿宋_GB2312" w:eastAsia="仿宋_GB2312" w:cs="仿宋_GB2312"/>
                <w:b/>
                <w:bCs/>
                <w:color w:val="000000"/>
                <w:sz w:val="21"/>
                <w:szCs w:val="21"/>
              </w:rPr>
            </w:pPr>
          </w:p>
          <w:p>
            <w:pPr>
              <w:autoSpaceDN w:val="0"/>
              <w:spacing w:line="320" w:lineRule="exact"/>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指</w:t>
            </w:r>
          </w:p>
          <w:p>
            <w:pPr>
              <w:autoSpaceDN w:val="0"/>
              <w:spacing w:line="320" w:lineRule="exact"/>
              <w:jc w:val="center"/>
              <w:textAlignment w:val="center"/>
              <w:rPr>
                <w:rFonts w:hint="eastAsia" w:ascii="仿宋_GB2312" w:hAnsi="仿宋_GB2312" w:eastAsia="仿宋_GB2312" w:cs="仿宋_GB2312"/>
                <w:b/>
                <w:bCs/>
                <w:color w:val="000000"/>
                <w:sz w:val="21"/>
                <w:szCs w:val="21"/>
              </w:rPr>
            </w:pPr>
          </w:p>
          <w:p>
            <w:pPr>
              <w:autoSpaceDN w:val="0"/>
              <w:spacing w:line="320" w:lineRule="exact"/>
              <w:ind w:firstLine="211" w:firstLineChars="100"/>
              <w:jc w:val="both"/>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标</w:t>
            </w:r>
          </w:p>
          <w:p>
            <w:pPr>
              <w:autoSpaceDN w:val="0"/>
              <w:spacing w:line="320" w:lineRule="exact"/>
              <w:jc w:val="center"/>
              <w:textAlignment w:val="center"/>
              <w:rPr>
                <w:rFonts w:hint="eastAsia" w:ascii="仿宋_GB2312" w:hAnsi="仿宋_GB2312" w:eastAsia="仿宋_GB2312" w:cs="仿宋_GB2312"/>
                <w:b/>
                <w:bCs/>
                <w:color w:val="000000"/>
                <w:sz w:val="21"/>
                <w:szCs w:val="21"/>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eastAsia="zh-CN"/>
              </w:rPr>
              <w:t>（</w:t>
            </w:r>
            <w:r>
              <w:rPr>
                <w:rFonts w:hint="eastAsia" w:ascii="仿宋_GB2312" w:hAnsi="仿宋_GB2312" w:eastAsia="仿宋_GB2312" w:cs="仿宋_GB2312"/>
                <w:b/>
                <w:bCs/>
                <w:color w:val="000000"/>
                <w:sz w:val="21"/>
                <w:szCs w:val="21"/>
                <w:lang w:val="en-US" w:eastAsia="zh-CN"/>
              </w:rPr>
              <w:t>包括定量与定性指标）</w:t>
            </w: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rPr>
            </w:pPr>
          </w:p>
          <w:p>
            <w:pPr>
              <w:autoSpaceDN w:val="0"/>
              <w:spacing w:line="320" w:lineRule="exact"/>
              <w:jc w:val="center"/>
              <w:textAlignment w:val="center"/>
              <w:rPr>
                <w:rFonts w:hint="eastAsia" w:ascii="仿宋_GB2312" w:hAnsi="仿宋_GB2312" w:eastAsia="仿宋_GB2312" w:cs="仿宋_GB2312"/>
                <w:b/>
                <w:bCs/>
                <w:color w:val="000000"/>
                <w:sz w:val="21"/>
                <w:szCs w:val="21"/>
              </w:rPr>
            </w:pPr>
          </w:p>
          <w:p>
            <w:pPr>
              <w:autoSpaceDN w:val="0"/>
              <w:spacing w:line="320" w:lineRule="exact"/>
              <w:jc w:val="center"/>
              <w:textAlignment w:val="center"/>
              <w:rPr>
                <w:rFonts w:hint="eastAsia" w:ascii="仿宋_GB2312" w:hAnsi="仿宋_GB2312" w:eastAsia="仿宋_GB2312" w:cs="仿宋_GB2312"/>
                <w:b/>
                <w:bCs/>
                <w:color w:val="000000"/>
                <w:sz w:val="21"/>
                <w:szCs w:val="21"/>
              </w:rPr>
            </w:pPr>
          </w:p>
          <w:p>
            <w:pPr>
              <w:autoSpaceDN w:val="0"/>
              <w:spacing w:line="320" w:lineRule="exact"/>
              <w:jc w:val="center"/>
              <w:textAlignment w:val="center"/>
              <w:rPr>
                <w:rFonts w:hint="eastAsia" w:ascii="仿宋_GB2312" w:hAnsi="仿宋_GB2312" w:eastAsia="仿宋_GB2312" w:cs="仿宋_GB2312"/>
                <w:b/>
                <w:bCs/>
                <w:color w:val="000000"/>
                <w:sz w:val="21"/>
                <w:szCs w:val="21"/>
              </w:rPr>
            </w:pPr>
          </w:p>
          <w:p>
            <w:pPr>
              <w:autoSpaceDN w:val="0"/>
              <w:spacing w:line="320" w:lineRule="exact"/>
              <w:jc w:val="center"/>
              <w:textAlignment w:val="center"/>
              <w:rPr>
                <w:rFonts w:hint="eastAsia" w:ascii="仿宋_GB2312" w:hAnsi="仿宋_GB2312" w:eastAsia="仿宋_GB2312" w:cs="仿宋_GB2312"/>
                <w:b/>
                <w:bCs/>
                <w:color w:val="000000"/>
                <w:sz w:val="21"/>
                <w:szCs w:val="21"/>
              </w:rPr>
            </w:pPr>
          </w:p>
          <w:p>
            <w:pPr>
              <w:autoSpaceDN w:val="0"/>
              <w:spacing w:line="320" w:lineRule="exact"/>
              <w:jc w:val="center"/>
              <w:textAlignment w:val="center"/>
              <w:rPr>
                <w:rFonts w:hint="eastAsia" w:ascii="仿宋_GB2312" w:hAnsi="仿宋_GB2312" w:eastAsia="仿宋_GB2312" w:cs="仿宋_GB2312"/>
                <w:b/>
                <w:bCs/>
                <w:color w:val="000000"/>
                <w:sz w:val="21"/>
                <w:szCs w:val="21"/>
              </w:rPr>
            </w:pPr>
          </w:p>
          <w:p>
            <w:pPr>
              <w:autoSpaceDN w:val="0"/>
              <w:spacing w:line="320" w:lineRule="exact"/>
              <w:jc w:val="center"/>
              <w:textAlignment w:val="center"/>
              <w:rPr>
                <w:rFonts w:hint="eastAsia" w:ascii="仿宋_GB2312" w:hAnsi="仿宋_GB2312" w:eastAsia="仿宋_GB2312" w:cs="仿宋_GB2312"/>
                <w:b/>
                <w:bCs/>
                <w:color w:val="000000"/>
                <w:sz w:val="21"/>
                <w:szCs w:val="21"/>
              </w:rPr>
            </w:pPr>
          </w:p>
          <w:p>
            <w:pPr>
              <w:autoSpaceDN w:val="0"/>
              <w:spacing w:line="320" w:lineRule="exact"/>
              <w:jc w:val="center"/>
              <w:textAlignment w:val="center"/>
              <w:rPr>
                <w:rFonts w:hint="eastAsia" w:ascii="仿宋_GB2312" w:hAnsi="仿宋_GB2312" w:eastAsia="仿宋_GB2312" w:cs="仿宋_GB2312"/>
                <w:b/>
                <w:bCs/>
                <w:color w:val="000000"/>
                <w:sz w:val="21"/>
                <w:szCs w:val="21"/>
              </w:rPr>
            </w:pPr>
          </w:p>
          <w:p>
            <w:pPr>
              <w:autoSpaceDN w:val="0"/>
              <w:spacing w:line="320" w:lineRule="exact"/>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数</w:t>
            </w:r>
          </w:p>
          <w:p>
            <w:pPr>
              <w:autoSpaceDN w:val="0"/>
              <w:spacing w:line="320" w:lineRule="exact"/>
              <w:jc w:val="both"/>
              <w:textAlignment w:val="center"/>
              <w:rPr>
                <w:rFonts w:hint="eastAsia" w:ascii="仿宋_GB2312" w:hAnsi="仿宋_GB2312" w:eastAsia="仿宋_GB2312" w:cs="仿宋_GB2312"/>
                <w:b/>
                <w:bCs/>
                <w:color w:val="000000"/>
                <w:sz w:val="21"/>
                <w:szCs w:val="21"/>
              </w:rPr>
            </w:pPr>
          </w:p>
          <w:p>
            <w:pPr>
              <w:autoSpaceDN w:val="0"/>
              <w:spacing w:line="320" w:lineRule="exact"/>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量</w:t>
            </w:r>
          </w:p>
          <w:p>
            <w:pPr>
              <w:autoSpaceDN w:val="0"/>
              <w:spacing w:line="320" w:lineRule="exact"/>
              <w:jc w:val="both"/>
              <w:textAlignment w:val="center"/>
              <w:rPr>
                <w:rFonts w:hint="eastAsia" w:ascii="仿宋_GB2312" w:hAnsi="仿宋_GB2312" w:eastAsia="仿宋_GB2312" w:cs="仿宋_GB2312"/>
                <w:b/>
                <w:bCs/>
                <w:color w:val="000000"/>
                <w:sz w:val="21"/>
                <w:szCs w:val="21"/>
              </w:rPr>
            </w:pPr>
          </w:p>
          <w:p>
            <w:pPr>
              <w:autoSpaceDN w:val="0"/>
              <w:spacing w:line="320" w:lineRule="exact"/>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指</w:t>
            </w:r>
          </w:p>
          <w:p>
            <w:pPr>
              <w:autoSpaceDN w:val="0"/>
              <w:spacing w:line="320" w:lineRule="exact"/>
              <w:jc w:val="center"/>
              <w:textAlignment w:val="center"/>
              <w:rPr>
                <w:rFonts w:hint="eastAsia" w:ascii="仿宋_GB2312" w:hAnsi="仿宋_GB2312" w:eastAsia="仿宋_GB2312" w:cs="仿宋_GB2312"/>
                <w:b/>
                <w:bCs/>
                <w:color w:val="000000"/>
                <w:sz w:val="21"/>
                <w:szCs w:val="21"/>
              </w:rPr>
            </w:pPr>
          </w:p>
          <w:p>
            <w:pPr>
              <w:autoSpaceDN w:val="0"/>
              <w:spacing w:line="320" w:lineRule="exact"/>
              <w:ind w:firstLine="211" w:firstLineChars="100"/>
              <w:jc w:val="both"/>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标</w:t>
            </w:r>
          </w:p>
          <w:p>
            <w:pPr>
              <w:autoSpaceDN w:val="0"/>
              <w:spacing w:line="320" w:lineRule="exact"/>
              <w:jc w:val="center"/>
              <w:textAlignment w:val="center"/>
              <w:rPr>
                <w:rFonts w:hint="eastAsia" w:ascii="仿宋_GB2312" w:hAnsi="仿宋_GB2312" w:eastAsia="仿宋_GB2312" w:cs="仿宋_GB2312"/>
                <w:b/>
                <w:bCs/>
                <w:color w:val="000000"/>
                <w:sz w:val="21"/>
                <w:szCs w:val="21"/>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eastAsia="zh-CN"/>
              </w:rPr>
              <w:t>（</w:t>
            </w:r>
            <w:r>
              <w:rPr>
                <w:rFonts w:hint="eastAsia" w:ascii="仿宋_GB2312" w:hAnsi="仿宋_GB2312" w:eastAsia="仿宋_GB2312" w:cs="仿宋_GB2312"/>
                <w:b/>
                <w:bCs/>
                <w:color w:val="000000"/>
                <w:sz w:val="21"/>
                <w:szCs w:val="21"/>
                <w:lang w:val="en-US" w:eastAsia="zh-CN"/>
              </w:rPr>
              <w:t>包括定量与定性指标）</w:t>
            </w: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rPr>
            </w:pPr>
          </w:p>
          <w:p>
            <w:pPr>
              <w:autoSpaceDN w:val="0"/>
              <w:spacing w:line="320" w:lineRule="exact"/>
              <w:jc w:val="center"/>
              <w:textAlignment w:val="center"/>
              <w:rPr>
                <w:rFonts w:hint="eastAsia" w:ascii="仿宋_GB2312" w:hAnsi="仿宋_GB2312" w:eastAsia="仿宋_GB2312" w:cs="仿宋_GB2312"/>
                <w:b/>
                <w:bCs/>
                <w:color w:val="000000"/>
                <w:sz w:val="21"/>
                <w:szCs w:val="21"/>
              </w:rPr>
            </w:pPr>
          </w:p>
          <w:p>
            <w:pPr>
              <w:autoSpaceDN w:val="0"/>
              <w:spacing w:line="320" w:lineRule="exact"/>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数</w:t>
            </w:r>
          </w:p>
          <w:p>
            <w:pPr>
              <w:autoSpaceDN w:val="0"/>
              <w:spacing w:line="320" w:lineRule="exact"/>
              <w:jc w:val="both"/>
              <w:textAlignment w:val="center"/>
              <w:rPr>
                <w:rFonts w:hint="eastAsia" w:ascii="仿宋_GB2312" w:hAnsi="仿宋_GB2312" w:eastAsia="仿宋_GB2312" w:cs="仿宋_GB2312"/>
                <w:b/>
                <w:bCs/>
                <w:color w:val="000000"/>
                <w:sz w:val="21"/>
                <w:szCs w:val="21"/>
              </w:rPr>
            </w:pPr>
          </w:p>
          <w:p>
            <w:pPr>
              <w:autoSpaceDN w:val="0"/>
              <w:spacing w:line="320" w:lineRule="exact"/>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量</w:t>
            </w:r>
          </w:p>
          <w:p>
            <w:pPr>
              <w:autoSpaceDN w:val="0"/>
              <w:spacing w:line="320" w:lineRule="exact"/>
              <w:jc w:val="both"/>
              <w:textAlignment w:val="center"/>
              <w:rPr>
                <w:rFonts w:hint="eastAsia" w:ascii="仿宋_GB2312" w:hAnsi="仿宋_GB2312" w:eastAsia="仿宋_GB2312" w:cs="仿宋_GB2312"/>
                <w:b/>
                <w:bCs/>
                <w:color w:val="000000"/>
                <w:sz w:val="21"/>
                <w:szCs w:val="21"/>
              </w:rPr>
            </w:pPr>
          </w:p>
          <w:p>
            <w:pPr>
              <w:autoSpaceDN w:val="0"/>
              <w:spacing w:line="320" w:lineRule="exact"/>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指</w:t>
            </w:r>
          </w:p>
          <w:p>
            <w:pPr>
              <w:autoSpaceDN w:val="0"/>
              <w:spacing w:line="320" w:lineRule="exact"/>
              <w:jc w:val="center"/>
              <w:textAlignment w:val="center"/>
              <w:rPr>
                <w:rFonts w:hint="eastAsia" w:ascii="仿宋_GB2312" w:hAnsi="仿宋_GB2312" w:eastAsia="仿宋_GB2312" w:cs="仿宋_GB2312"/>
                <w:b/>
                <w:bCs/>
                <w:color w:val="000000"/>
                <w:sz w:val="21"/>
                <w:szCs w:val="21"/>
              </w:rPr>
            </w:pPr>
          </w:p>
          <w:p>
            <w:pPr>
              <w:autoSpaceDN w:val="0"/>
              <w:spacing w:line="320" w:lineRule="exact"/>
              <w:ind w:firstLine="211" w:firstLineChars="100"/>
              <w:jc w:val="both"/>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标</w:t>
            </w:r>
          </w:p>
          <w:p>
            <w:pPr>
              <w:autoSpaceDN w:val="0"/>
              <w:spacing w:line="320" w:lineRule="exact"/>
              <w:jc w:val="center"/>
              <w:textAlignment w:val="center"/>
              <w:rPr>
                <w:rFonts w:hint="eastAsia" w:ascii="仿宋_GB2312" w:hAnsi="仿宋_GB2312" w:eastAsia="仿宋_GB2312" w:cs="仿宋_GB2312"/>
                <w:b/>
                <w:bCs/>
                <w:color w:val="000000"/>
                <w:sz w:val="21"/>
                <w:szCs w:val="21"/>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eastAsia="zh-CN"/>
              </w:rPr>
              <w:t>（</w:t>
            </w:r>
            <w:r>
              <w:rPr>
                <w:rFonts w:hint="eastAsia" w:ascii="仿宋_GB2312" w:hAnsi="仿宋_GB2312" w:eastAsia="仿宋_GB2312" w:cs="仿宋_GB2312"/>
                <w:b/>
                <w:bCs/>
                <w:color w:val="000000"/>
                <w:sz w:val="21"/>
                <w:szCs w:val="21"/>
                <w:lang w:val="en-US" w:eastAsia="zh-CN"/>
              </w:rPr>
              <w:t>包括定量与定性指标）</w:t>
            </w: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center"/>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ind w:firstLine="211" w:firstLineChars="100"/>
              <w:jc w:val="both"/>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数</w:t>
            </w:r>
          </w:p>
          <w:p>
            <w:pPr>
              <w:autoSpaceDN w:val="0"/>
              <w:spacing w:line="320" w:lineRule="exact"/>
              <w:jc w:val="both"/>
              <w:textAlignment w:val="center"/>
              <w:rPr>
                <w:rFonts w:hint="eastAsia" w:ascii="仿宋_GB2312" w:hAnsi="仿宋_GB2312" w:eastAsia="仿宋_GB2312" w:cs="仿宋_GB2312"/>
                <w:b/>
                <w:bCs/>
                <w:color w:val="000000"/>
                <w:sz w:val="21"/>
                <w:szCs w:val="21"/>
              </w:rPr>
            </w:pPr>
          </w:p>
          <w:p>
            <w:pPr>
              <w:autoSpaceDN w:val="0"/>
              <w:spacing w:line="320" w:lineRule="exact"/>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量</w:t>
            </w:r>
          </w:p>
          <w:p>
            <w:pPr>
              <w:autoSpaceDN w:val="0"/>
              <w:spacing w:line="320" w:lineRule="exact"/>
              <w:jc w:val="both"/>
              <w:textAlignment w:val="center"/>
              <w:rPr>
                <w:rFonts w:hint="eastAsia" w:ascii="仿宋_GB2312" w:hAnsi="仿宋_GB2312" w:eastAsia="仿宋_GB2312" w:cs="仿宋_GB2312"/>
                <w:b/>
                <w:bCs/>
                <w:color w:val="000000"/>
                <w:sz w:val="21"/>
                <w:szCs w:val="21"/>
              </w:rPr>
            </w:pPr>
          </w:p>
          <w:p>
            <w:pPr>
              <w:autoSpaceDN w:val="0"/>
              <w:spacing w:line="320" w:lineRule="exact"/>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指</w:t>
            </w:r>
          </w:p>
          <w:p>
            <w:pPr>
              <w:autoSpaceDN w:val="0"/>
              <w:spacing w:line="320" w:lineRule="exact"/>
              <w:jc w:val="center"/>
              <w:textAlignment w:val="center"/>
              <w:rPr>
                <w:rFonts w:hint="eastAsia" w:ascii="仿宋_GB2312" w:hAnsi="仿宋_GB2312" w:eastAsia="仿宋_GB2312" w:cs="仿宋_GB2312"/>
                <w:b/>
                <w:bCs/>
                <w:color w:val="000000"/>
                <w:sz w:val="21"/>
                <w:szCs w:val="21"/>
              </w:rPr>
            </w:pPr>
          </w:p>
          <w:p>
            <w:pPr>
              <w:autoSpaceDN w:val="0"/>
              <w:spacing w:line="320" w:lineRule="exact"/>
              <w:ind w:firstLine="211" w:firstLineChars="100"/>
              <w:jc w:val="both"/>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标</w:t>
            </w:r>
          </w:p>
          <w:p>
            <w:pPr>
              <w:autoSpaceDN w:val="0"/>
              <w:spacing w:line="320" w:lineRule="exact"/>
              <w:jc w:val="center"/>
              <w:textAlignment w:val="center"/>
              <w:rPr>
                <w:rFonts w:hint="eastAsia" w:ascii="仿宋_GB2312" w:hAnsi="仿宋_GB2312" w:eastAsia="仿宋_GB2312" w:cs="仿宋_GB2312"/>
                <w:b/>
                <w:bCs/>
                <w:color w:val="000000"/>
                <w:sz w:val="21"/>
                <w:szCs w:val="21"/>
              </w:rPr>
            </w:pPr>
          </w:p>
          <w:p>
            <w:pPr>
              <w:autoSpaceDN w:val="0"/>
              <w:spacing w:line="320" w:lineRule="exact"/>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b/>
                <w:bCs/>
                <w:color w:val="000000"/>
                <w:sz w:val="21"/>
                <w:szCs w:val="21"/>
                <w:lang w:eastAsia="zh-CN"/>
              </w:rPr>
              <w:t>（</w:t>
            </w:r>
            <w:r>
              <w:rPr>
                <w:rFonts w:hint="eastAsia" w:ascii="仿宋_GB2312" w:hAnsi="仿宋_GB2312" w:eastAsia="仿宋_GB2312" w:cs="仿宋_GB2312"/>
                <w:b/>
                <w:bCs/>
                <w:color w:val="000000"/>
                <w:sz w:val="21"/>
                <w:szCs w:val="21"/>
                <w:lang w:val="en-US" w:eastAsia="zh-CN"/>
              </w:rPr>
              <w:t>包括定量与定性指标）</w:t>
            </w:r>
          </w:p>
        </w:tc>
        <w:tc>
          <w:tcPr>
            <w:tcW w:w="3592" w:type="dxa"/>
            <w:gridSpan w:val="9"/>
            <w:noWrap w:val="0"/>
            <w:vAlign w:val="center"/>
          </w:tcPr>
          <w:p>
            <w:pPr>
              <w:autoSpaceDN w:val="0"/>
              <w:spacing w:line="320" w:lineRule="exact"/>
              <w:ind w:firstLine="420" w:firstLineChars="200"/>
              <w:jc w:val="left"/>
              <w:textAlignment w:val="center"/>
              <w:rPr>
                <w:rFonts w:hint="eastAsia" w:ascii="仿宋_GB2312" w:hAnsi="仿宋_GB2312" w:eastAsia="仿宋_GB2312" w:cs="仿宋_GB2312"/>
                <w:b/>
                <w:bCs/>
                <w:color w:val="000000"/>
                <w:sz w:val="21"/>
                <w:szCs w:val="21"/>
                <w:lang w:val="en-US" w:eastAsia="zh-CN"/>
              </w:rPr>
            </w:pPr>
            <w:r>
              <w:rPr>
                <w:rFonts w:hint="eastAsia"/>
                <w:lang w:val="en-US" w:eastAsia="zh-CN"/>
              </w:rPr>
              <w:t>根</w:t>
            </w:r>
            <w:r>
              <w:rPr>
                <w:rFonts w:hint="eastAsia" w:ascii="仿宋_GB2312" w:hAnsi="仿宋_GB2312" w:eastAsia="仿宋_GB2312" w:cs="仿宋_GB2312"/>
                <w:color w:val="000000"/>
                <w:sz w:val="21"/>
                <w:szCs w:val="21"/>
                <w:lang w:val="en-US" w:eastAsia="zh-CN"/>
              </w:rPr>
              <w:t>据《2021年全市自然资源和规划工作报告》，2021年重点工作预期目标如下：</w:t>
            </w:r>
          </w:p>
          <w:p>
            <w:p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left"/>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b/>
                <w:bCs/>
                <w:color w:val="000000"/>
                <w:sz w:val="21"/>
                <w:szCs w:val="21"/>
                <w:lang w:val="en-US" w:eastAsia="zh-CN"/>
              </w:rPr>
              <w:t>（一）规划编制与完善方面</w:t>
            </w:r>
          </w:p>
          <w:p>
            <w:pPr>
              <w:autoSpaceDN w:val="0"/>
              <w:spacing w:line="320" w:lineRule="exact"/>
              <w:ind w:firstLine="210" w:firstLineChars="1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1、国土空间规划编制。统筹划定“三条控制线”，编制城市设计、村庄规划编制。</w:t>
            </w:r>
          </w:p>
          <w:p>
            <w:pPr>
              <w:pStyle w:val="6"/>
              <w:ind w:left="0" w:leftChars="0" w:firstLine="0" w:firstLineChars="0"/>
              <w:rPr>
                <w:rFonts w:hint="eastAsia" w:ascii="仿宋_GB2312" w:hAnsi="仿宋_GB2312" w:eastAsia="仿宋_GB2312" w:cs="仿宋_GB2312"/>
                <w:color w:val="000000"/>
                <w:sz w:val="21"/>
                <w:szCs w:val="21"/>
                <w:lang w:val="en-US" w:eastAsia="zh-CN"/>
              </w:rPr>
            </w:pPr>
          </w:p>
          <w:p>
            <w:pPr>
              <w:pStyle w:val="6"/>
              <w:ind w:left="0" w:leftChars="0" w:firstLine="0" w:firstLineChars="0"/>
              <w:rPr>
                <w:rFonts w:hint="eastAsia" w:ascii="仿宋_GB2312" w:hAnsi="仿宋_GB2312" w:eastAsia="仿宋_GB2312" w:cs="仿宋_GB2312"/>
                <w:color w:val="000000"/>
                <w:sz w:val="21"/>
                <w:szCs w:val="21"/>
                <w:lang w:val="en-US" w:eastAsia="zh-CN"/>
              </w:rPr>
            </w:pPr>
          </w:p>
          <w:p>
            <w:pPr>
              <w:pStyle w:val="6"/>
              <w:numPr>
                <w:ilvl w:val="0"/>
                <w:numId w:val="0"/>
              </w:numPr>
              <w:ind w:firstLine="420" w:firstLineChars="200"/>
              <w:rPr>
                <w:rFonts w:hint="eastAsia" w:ascii="仿宋_GB2312" w:hAnsi="仿宋_GB2312" w:eastAsia="仿宋_GB2312" w:cs="仿宋_GB2312"/>
                <w:color w:val="000000"/>
                <w:kern w:val="2"/>
                <w:sz w:val="21"/>
                <w:szCs w:val="21"/>
                <w:lang w:val="en-US" w:eastAsia="zh-CN" w:bidi="ar-SA"/>
              </w:rPr>
            </w:pPr>
          </w:p>
          <w:p>
            <w:pPr>
              <w:pStyle w:val="6"/>
              <w:numPr>
                <w:ilvl w:val="0"/>
                <w:numId w:val="0"/>
              </w:numPr>
              <w:rPr>
                <w:rFonts w:hint="eastAsia" w:ascii="仿宋_GB2312" w:hAnsi="仿宋_GB2312" w:eastAsia="仿宋_GB2312" w:cs="仿宋_GB2312"/>
                <w:color w:val="000000"/>
                <w:kern w:val="2"/>
                <w:sz w:val="21"/>
                <w:szCs w:val="21"/>
                <w:lang w:val="en-US" w:eastAsia="zh-CN" w:bidi="ar-SA"/>
              </w:rPr>
            </w:pPr>
          </w:p>
          <w:p>
            <w:pPr>
              <w:pStyle w:val="6"/>
              <w:numPr>
                <w:ilvl w:val="0"/>
                <w:numId w:val="0"/>
              </w:numPr>
              <w:ind w:firstLine="420" w:firstLineChars="200"/>
              <w:rPr>
                <w:rFonts w:hint="eastAsia" w:ascii="仿宋_GB2312" w:hAnsi="仿宋_GB2312" w:eastAsia="仿宋_GB2312" w:cs="仿宋_GB2312"/>
                <w:color w:val="000000"/>
                <w:kern w:val="2"/>
                <w:sz w:val="21"/>
                <w:szCs w:val="21"/>
                <w:lang w:val="en-US" w:eastAsia="zh-CN" w:bidi="ar-SA"/>
              </w:rPr>
            </w:pPr>
          </w:p>
          <w:p>
            <w:pPr>
              <w:pStyle w:val="6"/>
              <w:numPr>
                <w:ilvl w:val="0"/>
                <w:numId w:val="0"/>
              </w:numPr>
              <w:ind w:firstLine="420" w:firstLineChars="200"/>
              <w:rPr>
                <w:rFonts w:hint="eastAsia" w:ascii="仿宋_GB2312" w:hAnsi="仿宋_GB2312" w:eastAsia="仿宋_GB2312" w:cs="仿宋_GB2312"/>
                <w:color w:val="000000"/>
                <w:kern w:val="2"/>
                <w:sz w:val="21"/>
                <w:szCs w:val="21"/>
                <w:lang w:val="en-US" w:eastAsia="zh-CN" w:bidi="ar-SA"/>
              </w:rPr>
            </w:pPr>
          </w:p>
          <w:p>
            <w:pPr>
              <w:pStyle w:val="6"/>
              <w:numPr>
                <w:ilvl w:val="0"/>
                <w:numId w:val="0"/>
              </w:numPr>
              <w:ind w:firstLine="420" w:firstLineChars="200"/>
              <w:rPr>
                <w:rFonts w:hint="eastAsia" w:ascii="仿宋_GB2312" w:hAnsi="仿宋_GB2312" w:eastAsia="仿宋_GB2312" w:cs="仿宋_GB2312"/>
                <w:color w:val="000000"/>
                <w:kern w:val="2"/>
                <w:sz w:val="21"/>
                <w:szCs w:val="21"/>
                <w:lang w:val="en-US" w:eastAsia="zh-CN" w:bidi="ar-SA"/>
              </w:rPr>
            </w:pPr>
          </w:p>
          <w:p>
            <w:pPr>
              <w:pStyle w:val="6"/>
              <w:numPr>
                <w:ilvl w:val="0"/>
                <w:numId w:val="0"/>
              </w:numPr>
              <w:ind w:firstLine="420" w:firstLineChars="200"/>
              <w:rPr>
                <w:rFonts w:hint="default"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2、生态修复治理。做好修复工程项目申报及历史遗留矿山图斑核查，上报确认未修复历史遗留矿山683公顷，计划十四五期间修复约546公顷，拟实现修复率80%、</w:t>
            </w:r>
          </w:p>
          <w:p>
            <w:pPr>
              <w:pStyle w:val="6"/>
              <w:numPr>
                <w:ilvl w:val="0"/>
                <w:numId w:val="0"/>
              </w:numPr>
              <w:ind w:firstLine="420" w:firstLineChars="200"/>
              <w:rPr>
                <w:rFonts w:hint="default"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3、绿色矿山建设。编制专项规划；推进砂石土矿专项整治，完成了砂石土采矿权关闭目标。</w:t>
            </w:r>
          </w:p>
          <w:p>
            <w:pPr>
              <w:autoSpaceDN w:val="0"/>
              <w:spacing w:line="320" w:lineRule="exact"/>
              <w:jc w:val="left"/>
              <w:textAlignment w:val="center"/>
              <w:rPr>
                <w:rFonts w:hint="eastAsia" w:ascii="仿宋_GB2312" w:hAnsi="仿宋_GB2312" w:eastAsia="仿宋_GB2312" w:cs="仿宋_GB2312"/>
                <w:color w:val="000000"/>
                <w:sz w:val="21"/>
                <w:szCs w:val="21"/>
                <w:lang w:val="en-US" w:eastAsia="zh-CN"/>
              </w:rPr>
            </w:pPr>
          </w:p>
          <w:p>
            <w:pPr>
              <w:autoSpaceDN w:val="0"/>
              <w:spacing w:line="320" w:lineRule="exact"/>
              <w:jc w:val="left"/>
              <w:textAlignment w:val="center"/>
              <w:rPr>
                <w:rFonts w:hint="eastAsia" w:ascii="仿宋_GB2312" w:hAnsi="仿宋_GB2312" w:eastAsia="仿宋_GB2312" w:cs="仿宋_GB2312"/>
                <w:color w:val="000000"/>
                <w:sz w:val="21"/>
                <w:szCs w:val="21"/>
                <w:lang w:val="en-US" w:eastAsia="zh-CN"/>
              </w:rPr>
            </w:pPr>
          </w:p>
          <w:p>
            <w:pPr>
              <w:autoSpaceDN w:val="0"/>
              <w:spacing w:line="320" w:lineRule="exact"/>
              <w:jc w:val="left"/>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color w:val="000000"/>
                <w:sz w:val="21"/>
                <w:szCs w:val="21"/>
                <w:lang w:val="en-US" w:eastAsia="zh-CN"/>
              </w:rPr>
              <w:t>（</w:t>
            </w:r>
            <w:r>
              <w:rPr>
                <w:rFonts w:hint="eastAsia" w:ascii="仿宋_GB2312" w:hAnsi="仿宋_GB2312" w:eastAsia="仿宋_GB2312" w:cs="仿宋_GB2312"/>
                <w:b/>
                <w:bCs/>
                <w:color w:val="000000"/>
                <w:sz w:val="21"/>
                <w:szCs w:val="21"/>
                <w:lang w:val="en-US" w:eastAsia="zh-CN"/>
              </w:rPr>
              <w:t>二）耕地保护、执法体系建设</w:t>
            </w:r>
            <w:r>
              <w:rPr>
                <w:rFonts w:hint="eastAsia" w:ascii="仿宋_GB2312" w:hAnsi="仿宋_GB2312" w:eastAsia="仿宋_GB2312" w:cs="仿宋_GB2312"/>
                <w:b/>
                <w:bCs/>
                <w:color w:val="000000"/>
                <w:sz w:val="21"/>
                <w:szCs w:val="21"/>
                <w:lang w:eastAsia="zh-CN"/>
              </w:rPr>
              <w:t>“三调”</w:t>
            </w:r>
            <w:r>
              <w:rPr>
                <w:rFonts w:hint="eastAsia" w:ascii="仿宋_GB2312" w:hAnsi="仿宋_GB2312" w:eastAsia="仿宋_GB2312" w:cs="仿宋_GB2312"/>
                <w:b/>
                <w:bCs/>
                <w:color w:val="000000"/>
                <w:sz w:val="21"/>
                <w:szCs w:val="21"/>
                <w:lang w:val="en-US" w:eastAsia="zh-CN"/>
              </w:rPr>
              <w:t>成果、农村乱占耕地建房问题整治方面</w:t>
            </w:r>
            <w:r>
              <w:rPr>
                <w:rFonts w:hint="eastAsia" w:ascii="仿宋_GB2312" w:hAnsi="仿宋_GB2312" w:eastAsia="仿宋_GB2312" w:cs="仿宋_GB2312"/>
                <w:color w:val="000000"/>
                <w:sz w:val="21"/>
                <w:szCs w:val="21"/>
                <w:lang w:eastAsia="zh-CN"/>
              </w:rPr>
              <w:t>。</w:t>
            </w:r>
          </w:p>
          <w:p>
            <w:pPr>
              <w:autoSpaceDN w:val="0"/>
              <w:spacing w:line="320" w:lineRule="exact"/>
              <w:ind w:firstLine="420" w:firstLineChars="200"/>
              <w:jc w:val="left"/>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1、强化</w:t>
            </w:r>
            <w:r>
              <w:rPr>
                <w:rFonts w:hint="eastAsia" w:ascii="仿宋_GB2312" w:hAnsi="仿宋_GB2312" w:eastAsia="仿宋_GB2312" w:cs="仿宋_GB2312"/>
                <w:b w:val="0"/>
                <w:bCs w:val="0"/>
                <w:color w:val="000000"/>
                <w:sz w:val="21"/>
                <w:szCs w:val="21"/>
                <w:lang w:val="en-US" w:eastAsia="zh-CN"/>
              </w:rPr>
              <w:t>耕地保护。</w:t>
            </w:r>
            <w:r>
              <w:rPr>
                <w:rFonts w:hint="eastAsia" w:ascii="仿宋_GB2312" w:hAnsi="仿宋_GB2312" w:eastAsia="仿宋_GB2312" w:cs="仿宋_GB2312"/>
                <w:color w:val="000000"/>
                <w:sz w:val="21"/>
                <w:szCs w:val="21"/>
                <w:lang w:val="en-US" w:eastAsia="zh-CN"/>
              </w:rPr>
              <w:t>配合省整治局核实验收项目30个，确认增减挂钩项目4批次，做到占优补优、占水田补水田。</w:t>
            </w:r>
          </w:p>
          <w:p>
            <w:pPr>
              <w:autoSpaceDN w:val="0"/>
              <w:spacing w:line="320" w:lineRule="exact"/>
              <w:ind w:firstLine="420" w:firstLineChars="200"/>
              <w:jc w:val="left"/>
              <w:textAlignment w:val="center"/>
              <w:rPr>
                <w:rFonts w:hint="eastAsia" w:ascii="仿宋_GB2312" w:hAnsi="仿宋_GB2312" w:eastAsia="仿宋_GB2312" w:cs="仿宋_GB2312"/>
                <w:b w:val="0"/>
                <w:bCs w:val="0"/>
                <w:color w:val="000000"/>
                <w:sz w:val="21"/>
                <w:szCs w:val="21"/>
                <w:lang w:val="en-US" w:eastAsia="zh-CN"/>
              </w:rPr>
            </w:pPr>
          </w:p>
          <w:p>
            <w:pPr>
              <w:autoSpaceDN w:val="0"/>
              <w:spacing w:line="320" w:lineRule="exact"/>
              <w:ind w:firstLine="420" w:firstLineChars="200"/>
              <w:jc w:val="left"/>
              <w:textAlignment w:val="center"/>
              <w:rPr>
                <w:rFonts w:hint="eastAsia" w:ascii="仿宋_GB2312" w:hAnsi="仿宋_GB2312" w:eastAsia="仿宋_GB2312" w:cs="仿宋_GB2312"/>
                <w:b w:val="0"/>
                <w:bCs w:val="0"/>
                <w:color w:val="000000"/>
                <w:sz w:val="21"/>
                <w:szCs w:val="21"/>
                <w:lang w:val="en-US" w:eastAsia="zh-CN"/>
              </w:rPr>
            </w:pPr>
          </w:p>
          <w:p>
            <w:pPr>
              <w:autoSpaceDN w:val="0"/>
              <w:spacing w:line="320" w:lineRule="exact"/>
              <w:ind w:firstLine="420" w:firstLineChars="200"/>
              <w:jc w:val="left"/>
              <w:textAlignment w:val="center"/>
              <w:rPr>
                <w:rFonts w:hint="eastAsia" w:ascii="仿宋_GB2312" w:hAnsi="仿宋_GB2312" w:eastAsia="仿宋_GB2312" w:cs="仿宋_GB2312"/>
                <w:b w:val="0"/>
                <w:bCs w:val="0"/>
                <w:color w:val="000000"/>
                <w:sz w:val="21"/>
                <w:szCs w:val="21"/>
                <w:lang w:val="en-US" w:eastAsia="zh-CN"/>
              </w:rPr>
            </w:pPr>
          </w:p>
          <w:p>
            <w:pPr>
              <w:autoSpaceDN w:val="0"/>
              <w:spacing w:line="320" w:lineRule="exact"/>
              <w:ind w:firstLine="210" w:firstLineChars="100"/>
              <w:jc w:val="left"/>
              <w:textAlignment w:val="center"/>
              <w:rPr>
                <w:rFonts w:hint="eastAsia" w:ascii="仿宋_GB2312" w:hAnsi="仿宋_GB2312" w:eastAsia="仿宋_GB2312" w:cs="仿宋_GB2312"/>
                <w:b w:val="0"/>
                <w:bCs w:val="0"/>
                <w:color w:val="000000"/>
                <w:sz w:val="21"/>
                <w:szCs w:val="21"/>
                <w:lang w:val="en-US" w:eastAsia="zh-CN"/>
              </w:rPr>
            </w:pPr>
          </w:p>
          <w:p>
            <w:pPr>
              <w:autoSpaceDN w:val="0"/>
              <w:spacing w:line="320" w:lineRule="exact"/>
              <w:jc w:val="left"/>
              <w:textAlignment w:val="center"/>
              <w:rPr>
                <w:rFonts w:hint="eastAsia" w:ascii="仿宋_GB2312" w:hAnsi="仿宋_GB2312" w:eastAsia="仿宋_GB2312" w:cs="仿宋_GB2312"/>
                <w:b w:val="0"/>
                <w:bCs w:val="0"/>
                <w:color w:val="000000"/>
                <w:sz w:val="21"/>
                <w:szCs w:val="21"/>
                <w:lang w:val="en-US" w:eastAsia="zh-CN"/>
              </w:rPr>
            </w:pPr>
          </w:p>
          <w:p>
            <w:pPr>
              <w:autoSpaceDN w:val="0"/>
              <w:spacing w:line="320" w:lineRule="exact"/>
              <w:ind w:firstLine="210" w:firstLineChars="100"/>
              <w:jc w:val="left"/>
              <w:textAlignment w:val="center"/>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2、督查执法。抓实问题“回头看”，全市乱占耕地建房问题整改率达到100%。</w:t>
            </w:r>
          </w:p>
          <w:p>
            <w:pPr>
              <w:pStyle w:val="6"/>
              <w:ind w:left="0" w:leftChars="0" w:firstLine="420" w:firstLineChars="200"/>
              <w:rPr>
                <w:rFonts w:hint="eastAsia" w:ascii="仿宋_GB2312" w:hAnsi="仿宋_GB2312" w:eastAsia="仿宋_GB2312" w:cs="仿宋_GB2312"/>
                <w:b w:val="0"/>
                <w:bCs w:val="0"/>
                <w:color w:val="000000"/>
                <w:sz w:val="21"/>
                <w:szCs w:val="21"/>
                <w:lang w:val="en-US" w:eastAsia="zh-CN"/>
              </w:rPr>
            </w:pPr>
          </w:p>
          <w:p>
            <w:pPr>
              <w:pStyle w:val="6"/>
              <w:ind w:left="0" w:leftChars="0" w:firstLine="420" w:firstLineChars="200"/>
              <w:rPr>
                <w:rFonts w:hint="eastAsia" w:ascii="仿宋_GB2312" w:hAnsi="仿宋_GB2312" w:eastAsia="仿宋_GB2312" w:cs="仿宋_GB2312"/>
                <w:b w:val="0"/>
                <w:bCs w:val="0"/>
                <w:color w:val="000000"/>
                <w:sz w:val="21"/>
                <w:szCs w:val="21"/>
                <w:lang w:val="en-US" w:eastAsia="zh-CN"/>
              </w:rPr>
            </w:pPr>
          </w:p>
          <w:p>
            <w:pPr>
              <w:pStyle w:val="6"/>
              <w:ind w:left="0" w:leftChars="0" w:firstLine="420" w:firstLineChars="200"/>
              <w:rPr>
                <w:rFonts w:hint="eastAsia" w:ascii="仿宋_GB2312" w:hAnsi="仿宋_GB2312" w:eastAsia="仿宋_GB2312" w:cs="仿宋_GB2312"/>
                <w:b w:val="0"/>
                <w:bCs w:val="0"/>
                <w:color w:val="000000"/>
                <w:sz w:val="21"/>
                <w:szCs w:val="21"/>
                <w:lang w:val="en-US" w:eastAsia="zh-CN"/>
              </w:rPr>
            </w:pPr>
          </w:p>
          <w:p>
            <w:pPr>
              <w:pStyle w:val="6"/>
              <w:ind w:left="0" w:leftChars="0" w:firstLine="420" w:firstLineChars="200"/>
              <w:rPr>
                <w:rFonts w:hint="eastAsia" w:ascii="仿宋_GB2312" w:hAnsi="仿宋_GB2312" w:eastAsia="仿宋_GB2312" w:cs="仿宋_GB2312"/>
                <w:b w:val="0"/>
                <w:bCs w:val="0"/>
                <w:color w:val="000000"/>
                <w:sz w:val="21"/>
                <w:szCs w:val="21"/>
                <w:lang w:val="en-US" w:eastAsia="zh-CN"/>
              </w:rPr>
            </w:pPr>
          </w:p>
          <w:p>
            <w:pPr>
              <w:pStyle w:val="6"/>
              <w:ind w:left="0" w:leftChars="0" w:firstLine="420" w:firstLineChars="200"/>
              <w:rPr>
                <w:rFonts w:hint="eastAsia" w:ascii="仿宋_GB2312" w:hAnsi="仿宋_GB2312" w:eastAsia="仿宋_GB2312" w:cs="仿宋_GB2312"/>
                <w:b w:val="0"/>
                <w:bCs w:val="0"/>
                <w:color w:val="000000"/>
                <w:sz w:val="21"/>
                <w:szCs w:val="21"/>
                <w:lang w:val="en-US" w:eastAsia="zh-CN"/>
              </w:rPr>
            </w:pPr>
          </w:p>
          <w:p>
            <w:pPr>
              <w:pStyle w:val="6"/>
              <w:ind w:left="0" w:leftChars="0" w:firstLine="0" w:firstLineChars="0"/>
              <w:rPr>
                <w:rFonts w:hint="eastAsia" w:ascii="仿宋_GB2312" w:hAnsi="仿宋_GB2312" w:eastAsia="仿宋_GB2312" w:cs="仿宋_GB2312"/>
                <w:b w:val="0"/>
                <w:bCs w:val="0"/>
                <w:color w:val="000000"/>
                <w:sz w:val="21"/>
                <w:szCs w:val="21"/>
                <w:lang w:val="en-US" w:eastAsia="zh-CN"/>
              </w:rPr>
            </w:pPr>
          </w:p>
          <w:p>
            <w:pPr>
              <w:pStyle w:val="6"/>
              <w:ind w:left="0" w:leftChars="0" w:firstLine="0" w:firstLineChars="0"/>
              <w:rPr>
                <w:rFonts w:hint="eastAsia" w:ascii="仿宋_GB2312" w:hAnsi="仿宋_GB2312" w:eastAsia="仿宋_GB2312" w:cs="仿宋_GB2312"/>
                <w:b w:val="0"/>
                <w:bCs w:val="0"/>
                <w:color w:val="000000"/>
                <w:sz w:val="21"/>
                <w:szCs w:val="21"/>
                <w:lang w:val="en-US" w:eastAsia="zh-CN"/>
              </w:rPr>
            </w:pPr>
          </w:p>
          <w:p>
            <w:pPr>
              <w:numPr>
                <w:ilvl w:val="0"/>
                <w:numId w:val="0"/>
              </w:numPr>
              <w:autoSpaceDN w:val="0"/>
              <w:spacing w:line="320" w:lineRule="exact"/>
              <w:ind w:firstLine="210" w:firstLineChars="100"/>
              <w:jc w:val="left"/>
              <w:textAlignment w:val="center"/>
              <w:rPr>
                <w:rFonts w:hint="eastAsia" w:ascii="仿宋_GB2312" w:hAnsi="仿宋_GB2312" w:eastAsia="仿宋_GB2312" w:cs="仿宋_GB2312"/>
                <w:color w:val="000000"/>
                <w:sz w:val="21"/>
                <w:szCs w:val="21"/>
                <w:lang w:val="en-US" w:eastAsia="zh-CN"/>
              </w:rPr>
            </w:pPr>
          </w:p>
          <w:p>
            <w:pPr>
              <w:numPr>
                <w:ilvl w:val="0"/>
                <w:numId w:val="0"/>
              </w:numPr>
              <w:autoSpaceDN w:val="0"/>
              <w:spacing w:line="320" w:lineRule="exact"/>
              <w:ind w:firstLine="210" w:firstLineChars="100"/>
              <w:jc w:val="left"/>
              <w:textAlignment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color w:val="000000"/>
                <w:sz w:val="21"/>
                <w:szCs w:val="21"/>
                <w:lang w:val="en-US" w:eastAsia="zh-CN"/>
              </w:rPr>
              <w:t>3、资源调查工作。完成用地专项调查、农村空心房</w:t>
            </w:r>
            <w:r>
              <w:rPr>
                <w:rFonts w:hint="eastAsia" w:ascii="仿宋_GB2312" w:hAnsi="仿宋_GB2312" w:eastAsia="仿宋_GB2312" w:cs="仿宋_GB2312"/>
                <w:b w:val="0"/>
                <w:bCs w:val="0"/>
                <w:color w:val="000000"/>
                <w:sz w:val="21"/>
                <w:szCs w:val="21"/>
                <w:lang w:val="en-US" w:eastAsia="zh-CN"/>
              </w:rPr>
              <w:t>专项调查、年度国土变更调查等工作，成果上报省厅并通过省级核查。</w:t>
            </w:r>
          </w:p>
          <w:p>
            <w:pPr>
              <w:numPr>
                <w:ilvl w:val="0"/>
                <w:numId w:val="0"/>
              </w:num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p>
          <w:p>
            <w:pPr>
              <w:numPr>
                <w:ilvl w:val="0"/>
                <w:numId w:val="0"/>
              </w:num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（三）土地要素、优化营商环境、节约用地方面</w:t>
            </w:r>
          </w:p>
          <w:p>
            <w:pPr>
              <w:numPr>
                <w:ilvl w:val="0"/>
                <w:numId w:val="0"/>
              </w:numPr>
              <w:autoSpaceDN w:val="0"/>
              <w:spacing w:line="320" w:lineRule="exact"/>
              <w:ind w:firstLine="210" w:firstLineChars="1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1、土地要素保障。重大项目顺利落地，全市清零验收121个土地依法征收项目，完成建设用地供应1099宗2811.02公顷，追缴往年欠缴土地出让金12.32亿元。</w:t>
            </w:r>
          </w:p>
          <w:p>
            <w:pPr>
              <w:pStyle w:val="6"/>
              <w:ind w:left="0" w:leftChars="0" w:firstLine="0" w:firstLineChars="0"/>
              <w:rPr>
                <w:rFonts w:hint="eastAsia" w:ascii="仿宋_GB2312" w:hAnsi="仿宋_GB2312" w:eastAsia="仿宋_GB2312" w:cs="仿宋_GB2312"/>
                <w:color w:val="000000"/>
                <w:sz w:val="21"/>
                <w:szCs w:val="21"/>
                <w:lang w:val="en-US" w:eastAsia="zh-CN"/>
              </w:rPr>
            </w:pPr>
          </w:p>
          <w:p>
            <w:pPr>
              <w:pStyle w:val="6"/>
              <w:ind w:left="0" w:leftChars="0" w:firstLine="0" w:firstLineChars="0"/>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2、优化营商环境。核发建设用地规划许可36项，建设工程规划许可75项，“多测合一”改革实现全流程、全覆盖。2个试点项目顺利实施“拿地即开工”。</w:t>
            </w:r>
          </w:p>
          <w:p>
            <w:pPr>
              <w:numPr>
                <w:ilvl w:val="0"/>
                <w:numId w:val="0"/>
              </w:numPr>
              <w:autoSpaceDN w:val="0"/>
              <w:spacing w:line="320" w:lineRule="exact"/>
              <w:ind w:firstLine="210" w:firstLineChars="100"/>
              <w:jc w:val="left"/>
              <w:textAlignment w:val="center"/>
              <w:rPr>
                <w:rFonts w:hint="eastAsia" w:ascii="仿宋_GB2312" w:hAnsi="仿宋_GB2312" w:eastAsia="仿宋_GB2312" w:cs="仿宋_GB2312"/>
                <w:color w:val="000000"/>
                <w:sz w:val="21"/>
                <w:szCs w:val="21"/>
                <w:lang w:val="en-US" w:eastAsia="zh-CN"/>
              </w:rPr>
            </w:pPr>
          </w:p>
          <w:p>
            <w:pPr>
              <w:numPr>
                <w:ilvl w:val="0"/>
                <w:numId w:val="0"/>
              </w:numPr>
              <w:autoSpaceDN w:val="0"/>
              <w:spacing w:line="320" w:lineRule="exact"/>
              <w:ind w:firstLine="210" w:firstLineChars="100"/>
              <w:jc w:val="left"/>
              <w:textAlignment w:val="center"/>
              <w:rPr>
                <w:rFonts w:hint="eastAsia" w:ascii="仿宋_GB2312" w:hAnsi="仿宋_GB2312" w:eastAsia="仿宋_GB2312" w:cs="仿宋_GB2312"/>
                <w:color w:val="000000"/>
                <w:sz w:val="21"/>
                <w:szCs w:val="21"/>
                <w:lang w:val="en-US" w:eastAsia="zh-CN"/>
              </w:rPr>
            </w:pPr>
          </w:p>
          <w:p>
            <w:pPr>
              <w:numPr>
                <w:ilvl w:val="0"/>
                <w:numId w:val="0"/>
              </w:numPr>
              <w:autoSpaceDN w:val="0"/>
              <w:spacing w:line="320" w:lineRule="exact"/>
              <w:ind w:firstLine="210" w:firstLineChars="100"/>
              <w:jc w:val="left"/>
              <w:textAlignment w:val="center"/>
              <w:rPr>
                <w:rFonts w:hint="eastAsia" w:ascii="仿宋_GB2312" w:hAnsi="仿宋_GB2312" w:eastAsia="仿宋_GB2312" w:cs="仿宋_GB2312"/>
                <w:color w:val="000000"/>
                <w:sz w:val="21"/>
                <w:szCs w:val="21"/>
                <w:lang w:val="en-US" w:eastAsia="zh-CN"/>
              </w:rPr>
            </w:pPr>
          </w:p>
          <w:p>
            <w:pPr>
              <w:numPr>
                <w:ilvl w:val="0"/>
                <w:numId w:val="0"/>
              </w:numPr>
              <w:autoSpaceDN w:val="0"/>
              <w:spacing w:line="320" w:lineRule="exact"/>
              <w:ind w:firstLine="210" w:firstLineChars="100"/>
              <w:jc w:val="left"/>
              <w:textAlignment w:val="center"/>
              <w:rPr>
                <w:rFonts w:hint="eastAsia" w:ascii="仿宋_GB2312" w:hAnsi="仿宋_GB2312" w:eastAsia="仿宋_GB2312" w:cs="仿宋_GB2312"/>
                <w:color w:val="000000"/>
                <w:sz w:val="21"/>
                <w:szCs w:val="21"/>
                <w:lang w:val="en-US" w:eastAsia="zh-CN"/>
              </w:rPr>
            </w:pPr>
          </w:p>
          <w:p>
            <w:pPr>
              <w:numPr>
                <w:ilvl w:val="0"/>
                <w:numId w:val="0"/>
              </w:numPr>
              <w:autoSpaceDN w:val="0"/>
              <w:spacing w:line="320" w:lineRule="exact"/>
              <w:jc w:val="left"/>
              <w:textAlignment w:val="center"/>
              <w:rPr>
                <w:rFonts w:hint="eastAsia" w:ascii="仿宋_GB2312" w:hAnsi="仿宋_GB2312" w:eastAsia="仿宋_GB2312" w:cs="仿宋_GB2312"/>
                <w:color w:val="000000"/>
                <w:sz w:val="21"/>
                <w:szCs w:val="21"/>
                <w:lang w:val="en-US" w:eastAsia="zh-CN"/>
              </w:rPr>
            </w:pPr>
          </w:p>
          <w:p>
            <w:pPr>
              <w:numPr>
                <w:ilvl w:val="0"/>
                <w:numId w:val="0"/>
              </w:numPr>
              <w:autoSpaceDN w:val="0"/>
              <w:spacing w:line="320" w:lineRule="exact"/>
              <w:ind w:firstLine="210" w:firstLineChars="100"/>
              <w:jc w:val="left"/>
              <w:textAlignment w:val="center"/>
              <w:rPr>
                <w:rFonts w:hint="eastAsia" w:ascii="仿宋_GB2312" w:hAnsi="仿宋_GB2312" w:eastAsia="仿宋_GB2312" w:cs="仿宋_GB2312"/>
                <w:color w:val="000000"/>
                <w:sz w:val="21"/>
                <w:szCs w:val="21"/>
                <w:lang w:val="en-US" w:eastAsia="zh-CN"/>
              </w:rPr>
            </w:pPr>
          </w:p>
          <w:p>
            <w:pPr>
              <w:numPr>
                <w:ilvl w:val="0"/>
                <w:numId w:val="0"/>
              </w:numPr>
              <w:autoSpaceDN w:val="0"/>
              <w:spacing w:line="320" w:lineRule="exact"/>
              <w:ind w:firstLine="210" w:firstLineChars="1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3、集约用地。完成省厅下达处置批而未供土地1357.57公顷，处置闲置土地781.95公顷任务；“摘帽”行动处置43宗，“净地”攻坚行动处置59宗“执法”行动34宗、处置率100%。</w:t>
            </w:r>
          </w:p>
          <w:p>
            <w:pPr>
              <w:pStyle w:val="6"/>
              <w:ind w:left="0" w:leftChars="0" w:firstLine="0" w:firstLineChars="0"/>
              <w:rPr>
                <w:rFonts w:hint="eastAsia" w:ascii="仿宋_GB2312" w:hAnsi="仿宋_GB2312" w:eastAsia="仿宋_GB2312" w:cs="仿宋_GB2312"/>
                <w:color w:val="000000"/>
                <w:sz w:val="21"/>
                <w:szCs w:val="21"/>
                <w:lang w:val="en-US" w:eastAsia="zh-CN"/>
              </w:rPr>
            </w:pPr>
          </w:p>
          <w:p>
            <w:p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left"/>
              <w:textAlignment w:val="center"/>
              <w:rPr>
                <w:rFonts w:hint="eastAsia" w:ascii="仿宋_GB2312" w:hAnsi="仿宋_GB2312" w:eastAsia="仿宋_GB2312" w:cs="仿宋_GB2312"/>
                <w:color w:val="000000"/>
                <w:sz w:val="21"/>
                <w:szCs w:val="21"/>
                <w:lang w:eastAsia="zh-CN"/>
              </w:rPr>
            </w:pPr>
            <w:r>
              <w:rPr>
                <w:rFonts w:hint="eastAsia" w:ascii="仿宋_GB2312" w:hAnsi="仿宋_GB2312" w:eastAsia="仿宋_GB2312" w:cs="仿宋_GB2312"/>
                <w:b/>
                <w:bCs/>
                <w:color w:val="000000"/>
                <w:sz w:val="21"/>
                <w:szCs w:val="21"/>
                <w:lang w:val="en-US" w:eastAsia="zh-CN"/>
              </w:rPr>
              <w:t>（四）地灾防治、不动产登记服务、信访问题化解及禁拆治违方面</w:t>
            </w:r>
          </w:p>
          <w:p>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1、地灾防治。全市共举办应急避险演练40次；持续保持地灾隐患点“零死亡”。</w:t>
            </w:r>
          </w:p>
          <w:p>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2、提升不动产登记服务。建设不动产交易登记审核效率提升，最快“60分钟”出证；将不动登记“一窗办事”平台延伸；推行各类业务“网上办、掌上办、自助办”，实现了“数据多跑路，群众少跑腿”。</w:t>
            </w:r>
          </w:p>
          <w:p>
            <w:pPr>
              <w:numPr>
                <w:ilvl w:val="0"/>
                <w:numId w:val="0"/>
              </w:num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3、购房群众合法权益保护。全市87个房地产办证信访突出问题化解90%，做到了“交房即交证”改革工作全覆盖。</w:t>
            </w:r>
          </w:p>
          <w:p>
            <w:pPr>
              <w:numPr>
                <w:ilvl w:val="0"/>
                <w:numId w:val="0"/>
              </w:numPr>
              <w:autoSpaceDN w:val="0"/>
              <w:spacing w:line="320" w:lineRule="exact"/>
              <w:jc w:val="left"/>
              <w:textAlignment w:val="center"/>
              <w:rPr>
                <w:rFonts w:hint="eastAsia" w:ascii="仿宋_GB2312" w:hAnsi="仿宋_GB2312" w:eastAsia="仿宋_GB2312" w:cs="仿宋_GB2312"/>
                <w:color w:val="000000"/>
                <w:sz w:val="21"/>
                <w:szCs w:val="21"/>
                <w:lang w:val="en-US" w:eastAsia="zh-CN"/>
              </w:rPr>
            </w:pPr>
          </w:p>
          <w:p>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4、完成禁拆治违整治行动。全市拆违200万㎡以上。</w:t>
            </w:r>
          </w:p>
          <w:p>
            <w:p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left"/>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b/>
                <w:bCs/>
                <w:color w:val="000000"/>
                <w:sz w:val="21"/>
                <w:szCs w:val="21"/>
                <w:lang w:val="en-US" w:eastAsia="zh-CN"/>
              </w:rPr>
              <w:t>（五）深化机构改革、人才培养、信息化建设、信访维稳方面</w:t>
            </w:r>
          </w:p>
          <w:p>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1、深化机构改革。搞好部分单位职权下放、市规划设计院改制方面</w:t>
            </w:r>
          </w:p>
          <w:p>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p>
          <w:p>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p>
          <w:p>
            <w:pPr>
              <w:autoSpaceDN w:val="0"/>
              <w:spacing w:line="320" w:lineRule="exact"/>
              <w:ind w:firstLine="420" w:firstLineChars="200"/>
              <w:jc w:val="left"/>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2、人才培养。搞好选拔任用干部、岗位交流干部，完成调训、培训任务</w:t>
            </w:r>
          </w:p>
          <w:p>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p>
          <w:p>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p>
          <w:p>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p>
          <w:p>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p>
          <w:p>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3、信息化建设。完成局政务平台综合办公及审批系统业务流程改造和国产化适配。</w:t>
            </w:r>
          </w:p>
          <w:p>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p>
          <w:p>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p>
          <w:p>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p>
          <w:p>
            <w:pPr>
              <w:autoSpaceDN w:val="0"/>
              <w:spacing w:line="320" w:lineRule="exact"/>
              <w:jc w:val="left"/>
              <w:textAlignment w:val="center"/>
              <w:rPr>
                <w:rFonts w:hint="eastAsia" w:ascii="仿宋_GB2312" w:hAnsi="仿宋_GB2312" w:eastAsia="仿宋_GB2312" w:cs="仿宋_GB2312"/>
                <w:color w:val="000000"/>
                <w:sz w:val="21"/>
                <w:szCs w:val="21"/>
                <w:lang w:val="en-US" w:eastAsia="zh-CN"/>
              </w:rPr>
            </w:pPr>
          </w:p>
          <w:p>
            <w:pPr>
              <w:autoSpaceDN w:val="0"/>
              <w:spacing w:line="320" w:lineRule="exact"/>
              <w:jc w:val="left"/>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4、信访维稳。完成市级信访积案，接待群众来信来访，办理交办转办件，处置网络舆情事件件，办理建议提案。</w:t>
            </w:r>
          </w:p>
          <w:p>
            <w:p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ind w:firstLine="422" w:firstLineChars="200"/>
              <w:jc w:val="left"/>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（六）党建及廉政建设方面</w:t>
            </w:r>
          </w:p>
          <w:p>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1、政治立场。组织党组中心组学习18次、市委巡察反馈问题整改率100%。</w:t>
            </w:r>
          </w:p>
          <w:p>
            <w:pPr>
              <w:autoSpaceDN w:val="0"/>
              <w:spacing w:line="320" w:lineRule="exact"/>
              <w:jc w:val="left"/>
              <w:textAlignment w:val="center"/>
              <w:rPr>
                <w:rFonts w:hint="eastAsia" w:ascii="仿宋_GB2312" w:hAnsi="仿宋_GB2312" w:eastAsia="仿宋_GB2312" w:cs="仿宋_GB2312"/>
                <w:color w:val="000000"/>
                <w:sz w:val="21"/>
                <w:szCs w:val="21"/>
                <w:lang w:val="en-US" w:eastAsia="zh-CN"/>
              </w:rPr>
            </w:pPr>
          </w:p>
          <w:p>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2、巩固基层党建。开展“主题党日”活动，扎实推进“我为群众办实事”实践活动。组织开展宣讲比赛活动，评选表彰“一先两优”。</w:t>
            </w:r>
          </w:p>
          <w:p>
            <w:pPr>
              <w:autoSpaceDN w:val="0"/>
              <w:spacing w:line="320" w:lineRule="exact"/>
              <w:jc w:val="left"/>
              <w:textAlignment w:val="center"/>
              <w:rPr>
                <w:rFonts w:hint="eastAsia" w:ascii="仿宋_GB2312" w:hAnsi="仿宋_GB2312" w:eastAsia="仿宋_GB2312" w:cs="仿宋_GB2312"/>
                <w:color w:val="000000"/>
                <w:sz w:val="21"/>
                <w:szCs w:val="21"/>
                <w:lang w:val="en-US" w:eastAsia="zh-CN"/>
              </w:rPr>
            </w:pPr>
          </w:p>
          <w:p>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p>
          <w:p>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3、意识形态。完善《岳阳市自然资源和规划局落实意识形态工作责任制》。加强了网络舆论管控，及时清理解散“僵尸”QQ工作群，推动“学习强国”平台深化应用。</w:t>
            </w:r>
          </w:p>
          <w:p>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p>
          <w:p>
            <w:pPr>
              <w:autoSpaceDN w:val="0"/>
              <w:spacing w:line="320" w:lineRule="exact"/>
              <w:jc w:val="left"/>
              <w:textAlignment w:val="center"/>
              <w:rPr>
                <w:rFonts w:hint="eastAsia" w:ascii="仿宋_GB2312" w:hAnsi="仿宋_GB2312" w:eastAsia="仿宋_GB2312" w:cs="仿宋_GB2312"/>
                <w:color w:val="000000"/>
                <w:sz w:val="21"/>
                <w:szCs w:val="21"/>
                <w:lang w:val="en-US" w:eastAsia="zh-CN"/>
              </w:rPr>
            </w:pPr>
          </w:p>
          <w:p>
            <w:pPr>
              <w:autoSpaceDN w:val="0"/>
              <w:spacing w:line="320" w:lineRule="exact"/>
              <w:jc w:val="left"/>
              <w:textAlignment w:val="center"/>
              <w:rPr>
                <w:rFonts w:hint="eastAsia" w:ascii="仿宋_GB2312" w:hAnsi="仿宋_GB2312" w:eastAsia="仿宋_GB2312" w:cs="仿宋_GB2312"/>
                <w:color w:val="000000"/>
                <w:sz w:val="21"/>
                <w:szCs w:val="21"/>
                <w:lang w:val="en-US" w:eastAsia="zh-CN"/>
              </w:rPr>
            </w:pPr>
          </w:p>
          <w:p>
            <w:pPr>
              <w:autoSpaceDN w:val="0"/>
              <w:spacing w:line="320" w:lineRule="exact"/>
              <w:jc w:val="left"/>
              <w:textAlignment w:val="center"/>
              <w:rPr>
                <w:rFonts w:hint="eastAsia" w:ascii="仿宋_GB2312" w:hAnsi="仿宋_GB2312" w:eastAsia="仿宋_GB2312" w:cs="仿宋_GB2312"/>
                <w:b/>
                <w:bCs/>
                <w:color w:val="000000"/>
                <w:sz w:val="21"/>
                <w:szCs w:val="21"/>
                <w:lang w:eastAsia="zh-CN"/>
              </w:rPr>
            </w:pPr>
            <w:r>
              <w:rPr>
                <w:rFonts w:hint="eastAsia" w:ascii="仿宋_GB2312" w:hAnsi="仿宋_GB2312" w:eastAsia="仿宋_GB2312" w:cs="仿宋_GB2312"/>
                <w:color w:val="000000"/>
                <w:sz w:val="21"/>
                <w:szCs w:val="21"/>
                <w:lang w:val="en-US" w:eastAsia="zh-CN"/>
              </w:rPr>
              <w:t>4、廉政建设。切实履行党风廉政建设主体责任和“一岗双责”，制定《2021年落实党风廉政建设责任制工作任务和分工意见》《2021年党风廉政建设和反腐败工作要点》，开展廉政谈话，观看廉政电视教育片2次，严格执纪问责。</w:t>
            </w:r>
          </w:p>
          <w:p>
            <w:pPr>
              <w:autoSpaceDN w:val="0"/>
              <w:spacing w:line="320" w:lineRule="exact"/>
              <w:jc w:val="left"/>
              <w:textAlignment w:val="center"/>
              <w:rPr>
                <w:rFonts w:hint="eastAsia" w:ascii="仿宋_GB2312" w:hAnsi="仿宋_GB2312" w:eastAsia="仿宋_GB2312" w:cs="仿宋_GB2312"/>
                <w:b/>
                <w:bCs/>
                <w:color w:val="000000"/>
                <w:sz w:val="21"/>
                <w:szCs w:val="21"/>
                <w:lang w:eastAsia="zh-CN"/>
              </w:rPr>
            </w:pPr>
          </w:p>
          <w:p>
            <w:p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p>
          <w:p>
            <w:pPr>
              <w:pStyle w:val="2"/>
              <w:rPr>
                <w:rFonts w:hint="default" w:ascii="Times New Roman" w:hAnsi="Times New Roman" w:eastAsia="宋体" w:cs="Times New Roman"/>
                <w:kern w:val="2"/>
                <w:sz w:val="21"/>
                <w:szCs w:val="24"/>
                <w:lang w:val="en-US" w:eastAsia="zh-CN" w:bidi="ar-SA"/>
              </w:rPr>
            </w:pPr>
          </w:p>
        </w:tc>
        <w:tc>
          <w:tcPr>
            <w:tcW w:w="5041" w:type="dxa"/>
            <w:gridSpan w:val="13"/>
            <w:noWrap w:val="0"/>
            <w:vAlign w:val="center"/>
          </w:tcPr>
          <w:p>
            <w:pPr>
              <w:autoSpaceDN w:val="0"/>
              <w:spacing w:line="320" w:lineRule="exact"/>
              <w:jc w:val="left"/>
              <w:textAlignment w:val="center"/>
              <w:rPr>
                <w:rFonts w:hint="eastAsia" w:ascii="仿宋_GB2312" w:hAnsi="仿宋_GB2312" w:eastAsia="仿宋_GB2312" w:cs="仿宋_GB2312"/>
                <w:color w:val="000000"/>
                <w:sz w:val="21"/>
                <w:szCs w:val="21"/>
                <w:lang w:val="en-US" w:eastAsia="zh-CN"/>
              </w:rPr>
            </w:pPr>
          </w:p>
          <w:p>
            <w:pPr>
              <w:autoSpaceDN w:val="0"/>
              <w:spacing w:line="320" w:lineRule="exact"/>
              <w:jc w:val="left"/>
              <w:textAlignment w:val="center"/>
              <w:rPr>
                <w:rFonts w:hint="eastAsia" w:ascii="仿宋_GB2312" w:hAnsi="仿宋_GB2312" w:eastAsia="仿宋_GB2312" w:cs="仿宋_GB2312"/>
                <w:color w:val="000000"/>
                <w:sz w:val="21"/>
                <w:szCs w:val="21"/>
                <w:lang w:val="en-US" w:eastAsia="zh-CN"/>
              </w:rPr>
            </w:pPr>
          </w:p>
          <w:p>
            <w:pPr>
              <w:autoSpaceDN w:val="0"/>
              <w:spacing w:line="320" w:lineRule="exact"/>
              <w:jc w:val="left"/>
              <w:textAlignment w:val="center"/>
              <w:rPr>
                <w:rFonts w:hint="eastAsia" w:ascii="仿宋_GB2312" w:hAnsi="仿宋_GB2312" w:eastAsia="仿宋_GB2312" w:cs="仿宋_GB2312"/>
                <w:color w:val="000000"/>
                <w:sz w:val="21"/>
                <w:szCs w:val="21"/>
                <w:lang w:val="en-US" w:eastAsia="zh-CN"/>
              </w:rPr>
            </w:pPr>
          </w:p>
          <w:p>
            <w:pPr>
              <w:numPr>
                <w:ilvl w:val="0"/>
                <w:numId w:val="0"/>
              </w:num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p>
          <w:p>
            <w:pPr>
              <w:numPr>
                <w:ilvl w:val="0"/>
                <w:numId w:val="0"/>
              </w:numPr>
              <w:autoSpaceDN w:val="0"/>
              <w:spacing w:line="320" w:lineRule="exact"/>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b/>
                <w:bCs/>
                <w:color w:val="000000"/>
                <w:sz w:val="21"/>
                <w:szCs w:val="21"/>
                <w:lang w:val="en-US" w:eastAsia="zh-CN"/>
              </w:rPr>
              <w:t>（一）全力</w:t>
            </w:r>
            <w:r>
              <w:rPr>
                <w:rFonts w:hint="eastAsia" w:ascii="仿宋_GB2312" w:hAnsi="仿宋_GB2312" w:eastAsia="仿宋_GB2312" w:cs="仿宋_GB2312"/>
                <w:b/>
                <w:bCs/>
                <w:color w:val="000000"/>
                <w:sz w:val="21"/>
                <w:szCs w:val="21"/>
                <w:lang w:eastAsia="zh-CN"/>
              </w:rPr>
              <w:t>编制</w:t>
            </w:r>
            <w:r>
              <w:rPr>
                <w:rFonts w:hint="eastAsia" w:ascii="仿宋_GB2312" w:hAnsi="仿宋_GB2312" w:eastAsia="仿宋_GB2312" w:cs="仿宋_GB2312"/>
                <w:b/>
                <w:bCs/>
                <w:color w:val="000000"/>
                <w:sz w:val="21"/>
                <w:szCs w:val="21"/>
                <w:lang w:val="en-US" w:eastAsia="zh-CN"/>
              </w:rPr>
              <w:t>好</w:t>
            </w:r>
            <w:r>
              <w:rPr>
                <w:rFonts w:hint="eastAsia" w:ascii="仿宋_GB2312" w:hAnsi="仿宋_GB2312" w:eastAsia="仿宋_GB2312" w:cs="仿宋_GB2312"/>
                <w:b/>
                <w:bCs/>
                <w:color w:val="000000"/>
                <w:sz w:val="21"/>
                <w:szCs w:val="21"/>
                <w:lang w:eastAsia="zh-CN"/>
              </w:rPr>
              <w:t>规划，</w:t>
            </w:r>
            <w:r>
              <w:rPr>
                <w:rFonts w:hint="eastAsia" w:ascii="仿宋_GB2312" w:hAnsi="仿宋_GB2312" w:eastAsia="仿宋_GB2312" w:cs="仿宋_GB2312"/>
                <w:b/>
                <w:bCs/>
                <w:color w:val="000000"/>
                <w:sz w:val="21"/>
                <w:szCs w:val="21"/>
                <w:lang w:val="en-US" w:eastAsia="zh-CN"/>
              </w:rPr>
              <w:t>推进城市建设与品质提升</w:t>
            </w:r>
            <w:r>
              <w:rPr>
                <w:rFonts w:hint="eastAsia" w:ascii="仿宋_GB2312" w:hAnsi="仿宋_GB2312" w:eastAsia="仿宋_GB2312" w:cs="仿宋_GB2312"/>
                <w:color w:val="000000"/>
                <w:sz w:val="21"/>
                <w:szCs w:val="21"/>
                <w:lang w:val="en-US" w:eastAsia="zh-CN"/>
              </w:rPr>
              <w:t>。         1、精心编制空间规划。统筹划定“三条控制线”，初步划定永久基本农田2956.1平方公里，生态保护红线3380.6平方公里，城镇开发边界664.5平方公里。</w:t>
            </w:r>
          </w:p>
          <w:p>
            <w:pPr>
              <w:numPr>
                <w:ilvl w:val="0"/>
                <w:numId w:val="0"/>
              </w:numPr>
              <w:autoSpaceDN w:val="0"/>
              <w:spacing w:line="320" w:lineRule="exact"/>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开展了多类型、多专业的十大专题报告研究，启动了新一轮控规修编，建设了“多规合一”“一张图”平台；编制了《“一湖两岸”城市设计》，并作为湖南省唯一“城市设计”案例入选自然资源部建党100周年优秀案例评选。完成了461个村庄的基础调查、村域国土空间保护开发现状分析评价、初步方案咨询论证、规划方案村内公示等工作，全省国土空间优秀案例岳阳市获一等奖1个、二等奖1个、三等奖1个、优胜奖2个，我局被评为优秀组织单位。</w:t>
            </w:r>
          </w:p>
          <w:p>
            <w:pPr>
              <w:pStyle w:val="6"/>
              <w:ind w:left="0" w:leftChars="0" w:firstLine="0" w:firstLineChars="0"/>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sz w:val="21"/>
                <w:szCs w:val="21"/>
                <w:lang w:val="en-US" w:eastAsia="zh-CN"/>
              </w:rPr>
              <w:t>2</w:t>
            </w:r>
            <w:r>
              <w:rPr>
                <w:rFonts w:hint="eastAsia" w:ascii="仿宋_GB2312" w:hAnsi="仿宋_GB2312" w:eastAsia="仿宋_GB2312" w:cs="仿宋_GB2312"/>
                <w:color w:val="000000"/>
                <w:kern w:val="2"/>
                <w:sz w:val="21"/>
                <w:szCs w:val="21"/>
                <w:lang w:val="en-US" w:eastAsia="zh-CN" w:bidi="ar-SA"/>
              </w:rPr>
              <w:t>、着力生态修复治理。加快生态修复专项规划编制，推进了全域土地综合整治试点，做好修复工程项目申报及历史遗留矿山图斑核查，上报确认了未修复历史遗留矿山683公顷，计划十四五期间修复约546公顷，拟实现修复率80%</w:t>
            </w:r>
          </w:p>
          <w:p>
            <w:pPr>
              <w:pStyle w:val="6"/>
              <w:ind w:left="0" w:leftChars="0" w:firstLine="210" w:firstLineChars="100"/>
              <w:rPr>
                <w:rFonts w:hint="eastAsia" w:ascii="仿宋_GB2312" w:hAnsi="仿宋_GB2312" w:eastAsia="仿宋_GB2312" w:cs="仿宋_GB2312"/>
                <w:color w:val="000000"/>
                <w:kern w:val="2"/>
                <w:sz w:val="21"/>
                <w:szCs w:val="21"/>
                <w:lang w:val="en-US" w:eastAsia="zh-CN" w:bidi="ar-SA"/>
              </w:rPr>
            </w:pPr>
            <w:r>
              <w:rPr>
                <w:rFonts w:hint="eastAsia" w:ascii="仿宋_GB2312" w:hAnsi="仿宋_GB2312" w:eastAsia="仿宋_GB2312" w:cs="仿宋_GB2312"/>
                <w:color w:val="000000"/>
                <w:kern w:val="2"/>
                <w:sz w:val="21"/>
                <w:szCs w:val="21"/>
                <w:lang w:val="en-US" w:eastAsia="zh-CN" w:bidi="ar-SA"/>
              </w:rPr>
              <w:t>3、加快绿色矿山建设。编制矿产资源总体规划和砂石土矿专项规划；推进砂石土矿专项整治，完成了砂石土采矿权关闭目标，全市砂石土采矿权规划数64个，现保有42个；绿色矿山建设卓有成效，全市已建成14个绿色矿山，其中国家级4个，省级10个。</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b/>
                <w:bCs/>
                <w:color w:val="000000"/>
                <w:sz w:val="21"/>
                <w:szCs w:val="21"/>
                <w:lang w:val="en-US" w:eastAsia="zh-CN"/>
              </w:rPr>
              <w:t>（二）严格保护耕地，落实基本国策。</w:t>
            </w:r>
          </w:p>
          <w:p>
            <w:pPr>
              <w:numPr>
                <w:ilvl w:val="0"/>
                <w:numId w:val="0"/>
              </w:numPr>
              <w:autoSpaceDN w:val="0"/>
              <w:spacing w:line="320" w:lineRule="exact"/>
              <w:ind w:firstLine="210" w:firstLineChars="1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落实了最严格的耕地保护制度。科学编制耕地保护专项规划，按时完成永久基本农田核实整改补足工作；全程监管新增耕地开发，配合省整治局核实验收项目30个370.92公顷，省厅确认农用地开发项目40个707.83公顷，确认增减挂钩项目4批次99.74公顷，确保了新增耕地一亩不假；严格落实“占补平衡”，建设占用耕地398.4公顷，同比减少33.8%，做到了占优补优、占水田补水田；全市耕地面积523.36万亩，是全省上一轮规划唯一耕地保有量达标的市州。我市耕地保护工作获省政府真抓实干督查激励先进。</w:t>
            </w:r>
          </w:p>
          <w:p>
            <w:pPr>
              <w:numPr>
                <w:ilvl w:val="0"/>
                <w:numId w:val="0"/>
              </w:numPr>
              <w:autoSpaceDN w:val="0"/>
              <w:spacing w:line="320" w:lineRule="exact"/>
              <w:ind w:firstLine="210" w:firstLineChars="1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全面强化了督查执法，发现问题及时整改。抓实了“大棚房”问题专项行动“回头看”、违建别墅清查整治“回头看”、农村乱占耕地建房整治等专项行动，排查“大棚房”新增问题1个，违建别墅问题无新增，制定了《关于进一步明确农村宅基地农用地转用审批责任的意见》，在全省范围内首次明确了农村宅基地农用地转用审批过程中的乡镇属地管理、承办主体责任和部门指导审批、财政资金保障责任，全市乱占耕地建房问题整改率达到100%。报请市政府印发了《关于建立完善违法用地整治工作长效管理机制的通知》，切实做好了月清“三地两矿”、卫片执法检查、例行督察整改等工作，全市违法用地面积、宗数和比例维持5%以内，做到了守土有责、守土负责、守土尽责。</w:t>
            </w:r>
          </w:p>
          <w:p>
            <w:pPr>
              <w:numPr>
                <w:ilvl w:val="0"/>
                <w:numId w:val="0"/>
              </w:numPr>
              <w:autoSpaceDN w:val="0"/>
              <w:spacing w:line="320" w:lineRule="exact"/>
              <w:ind w:firstLine="210" w:firstLineChars="100"/>
              <w:jc w:val="left"/>
              <w:textAlignment w:val="center"/>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color w:val="000000"/>
                <w:sz w:val="21"/>
                <w:szCs w:val="21"/>
                <w:lang w:val="en-US" w:eastAsia="zh-CN"/>
              </w:rPr>
              <w:t>3、做好资源调查工作。完成了耕地后备资源调查和规划划定、城镇低效用地专项调查、农村空心房</w:t>
            </w:r>
            <w:r>
              <w:rPr>
                <w:rFonts w:hint="eastAsia" w:ascii="仿宋_GB2312" w:hAnsi="仿宋_GB2312" w:eastAsia="仿宋_GB2312" w:cs="仿宋_GB2312"/>
                <w:b w:val="0"/>
                <w:bCs w:val="0"/>
                <w:color w:val="000000"/>
                <w:sz w:val="21"/>
                <w:szCs w:val="21"/>
                <w:lang w:val="en-US" w:eastAsia="zh-CN"/>
              </w:rPr>
              <w:t>专项调查、年度国土变更调查等工作，成果上报省厅并通过省级核查。</w:t>
            </w:r>
          </w:p>
          <w:p>
            <w:p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（三）科学配置要素，保障经济发展。</w:t>
            </w:r>
          </w:p>
          <w:p>
            <w:pPr>
              <w:numPr>
                <w:ilvl w:val="0"/>
                <w:numId w:val="0"/>
              </w:numPr>
              <w:autoSpaceDN w:val="0"/>
              <w:spacing w:line="320" w:lineRule="exact"/>
              <w:ind w:firstLine="211" w:firstLineChars="1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eastAsia="仿宋_GB2312"/>
                <w:b/>
                <w:bCs/>
                <w:sz w:val="21"/>
                <w:szCs w:val="21"/>
                <w:lang w:val="en-US" w:eastAsia="zh-CN"/>
              </w:rPr>
              <w:t>1</w:t>
            </w:r>
            <w:r>
              <w:rPr>
                <w:rFonts w:hint="eastAsia" w:ascii="仿宋_GB2312" w:hAnsi="仿宋_GB2312" w:eastAsia="仿宋_GB2312" w:cs="仿宋_GB2312"/>
                <w:color w:val="000000"/>
                <w:sz w:val="21"/>
                <w:szCs w:val="21"/>
                <w:lang w:val="en-US" w:eastAsia="zh-CN"/>
              </w:rPr>
              <w:t>、强化土地要素保障。落实“限期供地”“净地出让”，己内酰胺、市中心医院等一大批重大项目顺利落地，截至12月底，全市清零验收121个土地依法征收项目，其中市中心城区清零验收65个；全市新增建设用地项目或批次161个991.7公顷，完成建设用地供应1099宗2811.02公顷，实现土地价款282.62亿元，价款同比增长72.87%，追缴往年欠缴土地出让金12.32亿元。</w:t>
            </w:r>
          </w:p>
          <w:p>
            <w:pPr>
              <w:numPr>
                <w:ilvl w:val="0"/>
                <w:numId w:val="0"/>
              </w:numPr>
              <w:autoSpaceDN w:val="0"/>
              <w:spacing w:line="320" w:lineRule="exact"/>
              <w:ind w:firstLine="210" w:firstLineChars="1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持续优化营商环境。完善分期验收制度，核发建设用地规划许可36项，建设工程规划许可75项，“多测合一”改革实现全流程、全覆盖。将“标准地+承诺制”和“用地清单制”整合，出台了《关于印发〈岳阳市工程建设项目拿地即开工（社会投资类）实施方案（试行）〉的通知》，2个试点项目顺利实施“拿地即开工”；提起市政府出台了《岳阳市创建“五好”园区节约集约用地十条措施》，出台了《关于强化中国（湖南）自由贸易区试验区岳阳片区自然资源和规划要素保障的若干措施的通知》，岳阳绿色化工高新技术产业开发区（150万吨/年乙烯炼化一体化项目）调区扩区获省厅支持。</w:t>
            </w:r>
          </w:p>
          <w:p>
            <w:pPr>
              <w:numPr>
                <w:ilvl w:val="0"/>
                <w:numId w:val="0"/>
              </w:numPr>
              <w:autoSpaceDN w:val="0"/>
              <w:spacing w:line="320" w:lineRule="exact"/>
              <w:ind w:firstLine="210" w:firstLineChars="1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落实集约节约用地。深入挖潜、盘活存量，会同市政府督查室持续开展批而未供、闲置土地处置和“三清单三行动”，处置批而未供土地1357.57公顷，处置闲置土地781.95公顷，完成省厅下达任务；“摘帽”行动处置43宗296.07公顷，处置率99.67%，“净地”攻坚行动处置59宗243.86公顷，处置率87.99%，“执法”行动34宗123.7公顷，处置率100%。</w:t>
            </w:r>
          </w:p>
          <w:p>
            <w:pPr>
              <w:autoSpaceDN w:val="0"/>
              <w:spacing w:line="320" w:lineRule="exact"/>
              <w:ind w:firstLine="422" w:firstLineChars="200"/>
              <w:jc w:val="left"/>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ind w:firstLine="422" w:firstLineChars="2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b/>
                <w:bCs/>
                <w:color w:val="000000"/>
                <w:sz w:val="21"/>
                <w:szCs w:val="21"/>
                <w:lang w:val="en-US" w:eastAsia="zh-CN"/>
              </w:rPr>
              <w:t>（四）聚焦民生福祉，维护群众权益</w:t>
            </w:r>
            <w:r>
              <w:rPr>
                <w:rFonts w:hint="eastAsia" w:ascii="仿宋_GB2312" w:hAnsi="仿宋_GB2312" w:eastAsia="仿宋_GB2312" w:cs="仿宋_GB2312"/>
                <w:color w:val="000000"/>
                <w:sz w:val="21"/>
                <w:szCs w:val="21"/>
                <w:lang w:val="en-US" w:eastAsia="zh-CN"/>
              </w:rPr>
              <w:t>。</w:t>
            </w:r>
          </w:p>
          <w:p>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1、扎实开展地灾防治。积极开展防灾避险知识科普宣传和综合演练，全市共举办应急避险演练41次；坚持人防技防相结合，成功避险2起，持续保持地灾隐患点“零死亡”。</w:t>
            </w:r>
          </w:p>
          <w:p>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提升不动产登记服务。建设不动产交易登记“三个一”服务新模式（一个环节办理、一个平台审核、一个网络贯通），审核效率提升5倍，最快“60分钟”出证；将不动登记“一窗办事”平台延伸至开发企业、中介公司、金融机构、司法机构，推行各类业务“网上办、掌上办、自助办”，实现了“数据多跑路，群众少跑腿”。</w:t>
            </w:r>
          </w:p>
          <w:p>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保障购房群众合法权益。全市87个房地产办证信访突出问题化解82个，化解率94.25%，各县市区均出台了《新建商品房“交房即交证”改革工作方案》，并选取了开发项目进行改革试点，做到了“交房即交证”改革工作全覆盖，省厅考评获满分成绩。</w:t>
            </w:r>
          </w:p>
          <w:p>
            <w:pPr>
              <w:autoSpaceDN w:val="0"/>
              <w:spacing w:line="320" w:lineRule="exact"/>
              <w:ind w:firstLine="420" w:firstLineChars="200"/>
              <w:jc w:val="left"/>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完成禁拆治违整治行动。全市拆违216.71万㎡，集中整治了一批存在安全隐患、破坏生态环境、群众意见强烈的违法建设，构建了禁违拆违治违长效工作机制，真正形成“不敢违、不能违、不想违”的社会氛围。</w:t>
            </w:r>
          </w:p>
          <w:p>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p>
          <w:p>
            <w:p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（五）强化基础支撑，提升软硬实力。</w:t>
            </w:r>
          </w:p>
          <w:p>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深化机构改革。顺利推进南湖、经开、临港职权下放，市规划设计院成功改制为市规划勘测设计院有限公司，“三中心一支队”改革除支队外已完成三定方案批复和人员配置，做到了“思想不乱、队伍不散、工作不断”。</w:t>
            </w:r>
          </w:p>
          <w:p>
            <w:pPr>
              <w:autoSpaceDN w:val="0"/>
              <w:spacing w:line="320" w:lineRule="exact"/>
              <w:ind w:firstLine="420" w:firstLineChars="200"/>
              <w:jc w:val="left"/>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强化人才培养。选拔任用干部8人，岗位交流干部11人，职级晋升13人，其中90后干部2名，向市委组织部推荐正处实职干部2名、副处实职干部3名。争取了省委985硕士选调生2名，遴选公务员3名，通过“四海揽才”面向高校引入硕士研究生1名。共完成各类调训、培训任务208人次。</w:t>
            </w:r>
          </w:p>
          <w:p>
            <w:pPr>
              <w:autoSpaceDN w:val="0"/>
              <w:spacing w:line="320" w:lineRule="exact"/>
              <w:ind w:firstLine="420" w:firstLineChars="200"/>
              <w:jc w:val="left"/>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3、推进信息化建设。推进市县一体化智慧岳阳时空信息云平台应用。全面更换国产电脑，完成局政务平台综合办公及审批系统业务流程改造和国产化适配。</w:t>
            </w:r>
          </w:p>
          <w:p>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p>
          <w:p>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p>
          <w:p>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p>
          <w:p>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p>
          <w:p>
            <w:pPr>
              <w:autoSpaceDN w:val="0"/>
              <w:spacing w:line="320" w:lineRule="exact"/>
              <w:ind w:firstLine="420" w:firstLineChars="200"/>
              <w:jc w:val="left"/>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4、抓实信访维稳。认真做好了重要会议期间信访维稳工作，完成市级信访积案“百日攻坚”4件，全年接待群众来信来访84件480余人次，办理国家信访局、省厅、市信访局交办转办件42件，处置网络舆情45件，办理建议提案37件。</w:t>
            </w:r>
          </w:p>
          <w:p>
            <w:pPr>
              <w:autoSpaceDN w:val="0"/>
              <w:spacing w:line="320" w:lineRule="exact"/>
              <w:ind w:firstLine="422" w:firstLineChars="200"/>
              <w:jc w:val="left"/>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ind w:firstLine="422" w:firstLineChars="2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b/>
                <w:bCs/>
                <w:color w:val="000000"/>
                <w:sz w:val="21"/>
                <w:szCs w:val="21"/>
                <w:lang w:val="en-US" w:eastAsia="zh-CN"/>
              </w:rPr>
              <w:t>（六）坚持党建引领，筑牢廉洁底线</w:t>
            </w:r>
            <w:r>
              <w:rPr>
                <w:rFonts w:hint="eastAsia" w:ascii="仿宋_GB2312" w:hAnsi="仿宋_GB2312" w:eastAsia="仿宋_GB2312" w:cs="仿宋_GB2312"/>
                <w:color w:val="000000"/>
                <w:sz w:val="21"/>
                <w:szCs w:val="21"/>
                <w:lang w:val="en-US" w:eastAsia="zh-CN"/>
              </w:rPr>
              <w:t>。</w:t>
            </w:r>
          </w:p>
          <w:p>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1、站稳政治立场。深入贯彻落实十九届五中、六中全会、省第十二次党代会和市第八次党代会精神，扎实开展党史学习教育活动，组织党组中心组学习18次。狠抓市委巡察反馈问题整改，全部整改到位。</w:t>
            </w:r>
          </w:p>
          <w:p>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巩固基层党建。严格落实“三会一课”制度，积极开展“主题党日”活动，扎实推进“我为群众办实事”实践活动。组织开展“革命英雄在我心中”“红色故事”微宣讲比赛活动等一系列庆祝建党100周年活动，颁发“光荣在党50年”纪念章8枚，评选表彰“一先两优”。</w:t>
            </w:r>
          </w:p>
          <w:p>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3、狠抓意识形态。完善《岳阳市自然资源和规划局落实意识形态工作责任制》，健全意识形态工作队伍建设。加强了网络舆论管控，积极开展风险矛盾化解。强化宣传阵地建设，及时清理解散2个“僵尸”QQ工作群，开展重要节点宣传教育活动，推动“学习强国”平台深化应用。</w:t>
            </w:r>
          </w:p>
          <w:p>
            <w:pPr>
              <w:autoSpaceDN w:val="0"/>
              <w:spacing w:line="320" w:lineRule="exact"/>
              <w:ind w:firstLine="420" w:firstLineChars="200"/>
              <w:jc w:val="left"/>
              <w:textAlignment w:val="center"/>
              <w:rPr>
                <w:rFonts w:hint="eastAsia" w:ascii="仿宋_GB2312" w:hAnsi="仿宋_GB2312" w:eastAsia="仿宋_GB2312" w:cs="仿宋_GB2312"/>
                <w:color w:val="000000"/>
                <w:sz w:val="21"/>
                <w:szCs w:val="21"/>
                <w:lang w:val="en-US" w:eastAsia="zh-CN"/>
              </w:rPr>
            </w:pPr>
          </w:p>
          <w:p>
            <w:pPr>
              <w:autoSpaceDN w:val="0"/>
              <w:spacing w:line="320" w:lineRule="exact"/>
              <w:ind w:firstLine="420" w:firstLineChars="200"/>
              <w:jc w:val="left"/>
              <w:textAlignment w:val="center"/>
              <w:rPr>
                <w:rFonts w:hint="default" w:ascii="Times New Roman" w:hAnsi="Times New Roman" w:eastAsia="宋体" w:cs="Times New Roman"/>
                <w:kern w:val="2"/>
                <w:sz w:val="21"/>
                <w:szCs w:val="24"/>
                <w:lang w:val="en-US" w:eastAsia="zh-CN" w:bidi="ar-SA"/>
              </w:rPr>
            </w:pPr>
            <w:r>
              <w:rPr>
                <w:rFonts w:hint="eastAsia" w:ascii="仿宋_GB2312" w:hAnsi="仿宋_GB2312" w:eastAsia="仿宋_GB2312" w:cs="仿宋_GB2312"/>
                <w:color w:val="000000"/>
                <w:sz w:val="21"/>
                <w:szCs w:val="21"/>
                <w:lang w:val="en-US" w:eastAsia="zh-CN"/>
              </w:rPr>
              <w:t>4、加强廉政建设。切实履行党风廉政建设主体责任和“一岗双责”，制定《2021年落实党风廉政建设责任制工作任务和分工意见》《2021年党风廉政建设和反腐败工作要点》。注重抓早抓小、提醒教育，开展廉政谈话18人次，观看廉政电视教育片2次。认真落实《整治违规吃喝隐形变异“十严禁”》要求，紧盯节假日关键时间节点，紧盯审批服务、公务接待、公车管理等重要环节，驰而不息纠“四风”。严格执纪问责，给予政务处分2人，党纪处分2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825" w:hRule="atLeast"/>
          <w:jc w:val="center"/>
        </w:trPr>
        <w:tc>
          <w:tcPr>
            <w:tcW w:w="541" w:type="dxa"/>
            <w:vMerge w:val="continue"/>
            <w:noWrap w:val="0"/>
            <w:vAlign w:val="center"/>
          </w:tcPr>
          <w:p>
            <w:pPr>
              <w:spacing w:line="320" w:lineRule="exact"/>
              <w:rPr>
                <w:rFonts w:hint="eastAsia" w:ascii="仿宋_GB2312" w:hAnsi="仿宋_GB2312" w:eastAsia="仿宋_GB2312" w:cs="仿宋_GB2312"/>
                <w:sz w:val="24"/>
              </w:rPr>
            </w:pPr>
          </w:p>
        </w:tc>
        <w:tc>
          <w:tcPr>
            <w:tcW w:w="317" w:type="dxa"/>
            <w:vMerge w:val="continue"/>
            <w:noWrap w:val="0"/>
            <w:vAlign w:val="center"/>
          </w:tcPr>
          <w:p>
            <w:pPr>
              <w:autoSpaceDN w:val="0"/>
              <w:spacing w:line="320" w:lineRule="exact"/>
              <w:rPr>
                <w:rFonts w:hint="eastAsia" w:ascii="仿宋_GB2312" w:hAnsi="仿宋_GB2312" w:eastAsia="仿宋_GB2312" w:cs="仿宋_GB2312"/>
                <w:sz w:val="21"/>
                <w:szCs w:val="21"/>
              </w:rPr>
            </w:pPr>
          </w:p>
        </w:tc>
        <w:tc>
          <w:tcPr>
            <w:tcW w:w="483" w:type="dxa"/>
            <w:gridSpan w:val="2"/>
            <w:noWrap w:val="0"/>
            <w:vAlign w:val="center"/>
          </w:tcPr>
          <w:p>
            <w:pPr>
              <w:autoSpaceDN w:val="0"/>
              <w:spacing w:line="320" w:lineRule="exact"/>
              <w:ind w:firstLine="211" w:firstLineChars="100"/>
              <w:jc w:val="both"/>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质</w:t>
            </w:r>
          </w:p>
          <w:p>
            <w:pPr>
              <w:autoSpaceDN w:val="0"/>
              <w:spacing w:line="320" w:lineRule="exact"/>
              <w:ind w:firstLine="211" w:firstLineChars="100"/>
              <w:jc w:val="both"/>
              <w:textAlignment w:val="center"/>
              <w:rPr>
                <w:rFonts w:hint="eastAsia" w:ascii="仿宋_GB2312" w:hAnsi="仿宋_GB2312" w:eastAsia="仿宋_GB2312" w:cs="仿宋_GB2312"/>
                <w:b/>
                <w:bCs/>
                <w:color w:val="000000"/>
                <w:sz w:val="21"/>
                <w:szCs w:val="21"/>
              </w:rPr>
            </w:pPr>
          </w:p>
          <w:p>
            <w:pPr>
              <w:autoSpaceDN w:val="0"/>
              <w:spacing w:line="320" w:lineRule="exact"/>
              <w:ind w:firstLine="211" w:firstLineChars="100"/>
              <w:jc w:val="both"/>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量</w:t>
            </w:r>
          </w:p>
          <w:p>
            <w:pPr>
              <w:autoSpaceDN w:val="0"/>
              <w:spacing w:line="320" w:lineRule="exact"/>
              <w:jc w:val="both"/>
              <w:textAlignment w:val="center"/>
              <w:rPr>
                <w:rFonts w:hint="eastAsia" w:ascii="仿宋_GB2312" w:hAnsi="仿宋_GB2312" w:eastAsia="仿宋_GB2312" w:cs="仿宋_GB2312"/>
                <w:b/>
                <w:bCs/>
                <w:color w:val="000000"/>
                <w:sz w:val="21"/>
                <w:szCs w:val="21"/>
              </w:rPr>
            </w:pPr>
          </w:p>
          <w:p>
            <w:pPr>
              <w:autoSpaceDN w:val="0"/>
              <w:spacing w:line="320" w:lineRule="exact"/>
              <w:ind w:firstLine="211" w:firstLineChars="100"/>
              <w:jc w:val="both"/>
              <w:textAlignment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指</w:t>
            </w:r>
          </w:p>
          <w:p>
            <w:pPr>
              <w:autoSpaceDN w:val="0"/>
              <w:spacing w:line="320" w:lineRule="exact"/>
              <w:jc w:val="center"/>
              <w:textAlignment w:val="center"/>
              <w:rPr>
                <w:rFonts w:hint="eastAsia" w:ascii="仿宋_GB2312" w:hAnsi="仿宋_GB2312" w:eastAsia="仿宋_GB2312" w:cs="仿宋_GB2312"/>
                <w:b/>
                <w:bCs/>
                <w:color w:val="000000"/>
                <w:sz w:val="21"/>
                <w:szCs w:val="21"/>
              </w:rPr>
            </w:pPr>
          </w:p>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lang w:val="en-US" w:eastAsia="zh-CN"/>
              </w:rPr>
              <w:t xml:space="preserve"> </w:t>
            </w:r>
            <w:r>
              <w:rPr>
                <w:rFonts w:hint="eastAsia" w:ascii="仿宋_GB2312" w:hAnsi="仿宋_GB2312" w:eastAsia="仿宋_GB2312" w:cs="仿宋_GB2312"/>
                <w:b/>
                <w:bCs/>
                <w:color w:val="000000"/>
                <w:sz w:val="21"/>
                <w:szCs w:val="21"/>
              </w:rPr>
              <w:t>标</w:t>
            </w:r>
          </w:p>
        </w:tc>
        <w:tc>
          <w:tcPr>
            <w:tcW w:w="3592" w:type="dxa"/>
            <w:gridSpan w:val="9"/>
            <w:noWrap w:val="0"/>
            <w:vAlign w:val="top"/>
          </w:tcPr>
          <w:p>
            <w:pPr>
              <w:numPr>
                <w:ilvl w:val="0"/>
                <w:numId w:val="0"/>
              </w:numPr>
              <w:autoSpaceDN w:val="0"/>
              <w:spacing w:line="320" w:lineRule="exact"/>
              <w:jc w:val="both"/>
              <w:textAlignment w:val="center"/>
              <w:rPr>
                <w:rFonts w:hint="eastAsia" w:ascii="仿宋_GB2312" w:hAnsi="仿宋_GB2312" w:eastAsia="仿宋_GB2312" w:cs="仿宋_GB2312"/>
                <w:b/>
                <w:bCs/>
                <w:color w:val="000000"/>
                <w:sz w:val="21"/>
                <w:szCs w:val="21"/>
                <w:lang w:val="en-US" w:eastAsia="zh-CN"/>
              </w:rPr>
            </w:pPr>
          </w:p>
          <w:p>
            <w:pPr>
              <w:numPr>
                <w:ilvl w:val="0"/>
                <w:numId w:val="0"/>
              </w:numPr>
              <w:autoSpaceDN w:val="0"/>
              <w:spacing w:line="320" w:lineRule="exact"/>
              <w:jc w:val="both"/>
              <w:textAlignment w:val="center"/>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bCs/>
                <w:color w:val="000000"/>
                <w:sz w:val="21"/>
                <w:szCs w:val="21"/>
                <w:lang w:val="en-US" w:eastAsia="zh-CN"/>
              </w:rPr>
              <w:t>（一）耕地保有量达到省标准</w:t>
            </w:r>
            <w:r>
              <w:rPr>
                <w:rFonts w:hint="eastAsia" w:ascii="仿宋_GB2312" w:hAnsi="仿宋_GB2312" w:eastAsia="仿宋_GB2312" w:cs="仿宋_GB2312"/>
                <w:b w:val="0"/>
                <w:bCs w:val="0"/>
                <w:color w:val="000000"/>
                <w:sz w:val="21"/>
                <w:szCs w:val="21"/>
                <w:lang w:val="en-US" w:eastAsia="zh-CN"/>
              </w:rPr>
              <w:t>。</w:t>
            </w:r>
          </w:p>
          <w:p>
            <w:pPr>
              <w:numPr>
                <w:ilvl w:val="0"/>
                <w:numId w:val="0"/>
              </w:numPr>
              <w:autoSpaceDN w:val="0"/>
              <w:spacing w:line="320" w:lineRule="exact"/>
              <w:jc w:val="both"/>
              <w:textAlignment w:val="center"/>
              <w:rPr>
                <w:rFonts w:hint="eastAsia" w:ascii="仿宋_GB2312" w:hAnsi="仿宋_GB2312" w:eastAsia="仿宋_GB2312" w:cs="仿宋_GB2312"/>
                <w:b w:val="0"/>
                <w:bCs w:val="0"/>
                <w:color w:val="000000"/>
                <w:sz w:val="21"/>
                <w:szCs w:val="21"/>
                <w:lang w:val="en-US" w:eastAsia="zh-CN"/>
              </w:rPr>
            </w:pPr>
          </w:p>
          <w:p>
            <w:pPr>
              <w:numPr>
                <w:ilvl w:val="0"/>
                <w:numId w:val="0"/>
              </w:numPr>
              <w:autoSpaceDN w:val="0"/>
              <w:spacing w:line="320" w:lineRule="exact"/>
              <w:jc w:val="both"/>
              <w:textAlignment w:val="center"/>
              <w:rPr>
                <w:rFonts w:hint="eastAsia" w:ascii="仿宋_GB2312" w:hAnsi="仿宋_GB2312" w:eastAsia="仿宋_GB2312" w:cs="仿宋_GB2312"/>
                <w:b w:val="0"/>
                <w:bCs w:val="0"/>
                <w:color w:val="000000"/>
                <w:sz w:val="21"/>
                <w:szCs w:val="21"/>
                <w:lang w:val="en-US" w:eastAsia="zh-CN"/>
              </w:rPr>
            </w:pPr>
          </w:p>
          <w:p>
            <w:pPr>
              <w:numPr>
                <w:ilvl w:val="0"/>
                <w:numId w:val="0"/>
              </w:numPr>
              <w:autoSpaceDN w:val="0"/>
              <w:spacing w:line="320" w:lineRule="exact"/>
              <w:jc w:val="both"/>
              <w:textAlignment w:val="center"/>
              <w:rPr>
                <w:rFonts w:hint="eastAsia" w:ascii="仿宋_GB2312" w:hAnsi="仿宋_GB2312" w:eastAsia="仿宋_GB2312" w:cs="仿宋_GB2312"/>
                <w:b w:val="0"/>
                <w:bCs w:val="0"/>
                <w:color w:val="000000"/>
                <w:sz w:val="21"/>
                <w:szCs w:val="21"/>
                <w:lang w:val="en-US" w:eastAsia="zh-CN"/>
              </w:rPr>
            </w:pPr>
          </w:p>
          <w:p>
            <w:pPr>
              <w:numPr>
                <w:ilvl w:val="0"/>
                <w:numId w:val="0"/>
              </w:numPr>
              <w:autoSpaceDN w:val="0"/>
              <w:spacing w:line="320" w:lineRule="exact"/>
              <w:jc w:val="both"/>
              <w:textAlignment w:val="center"/>
              <w:rPr>
                <w:rFonts w:hint="eastAsia" w:ascii="仿宋_GB2312" w:hAnsi="仿宋_GB2312" w:eastAsia="仿宋_GB2312" w:cs="仿宋_GB2312"/>
                <w:b w:val="0"/>
                <w:bCs w:val="0"/>
                <w:color w:val="000000"/>
                <w:sz w:val="21"/>
                <w:szCs w:val="21"/>
                <w:lang w:val="en-US" w:eastAsia="zh-CN"/>
              </w:rPr>
            </w:pPr>
          </w:p>
          <w:p>
            <w:pPr>
              <w:numPr>
                <w:ilvl w:val="0"/>
                <w:numId w:val="0"/>
              </w:numPr>
              <w:autoSpaceDN w:val="0"/>
              <w:spacing w:line="320" w:lineRule="exact"/>
              <w:jc w:val="both"/>
              <w:textAlignment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（二）</w:t>
            </w:r>
            <w:r>
              <w:rPr>
                <w:rFonts w:hint="eastAsia" w:ascii="仿宋_GB2312" w:hAnsi="仿宋_GB2312" w:eastAsia="仿宋_GB2312" w:cs="仿宋_GB2312"/>
                <w:b/>
                <w:bCs/>
                <w:color w:val="000000"/>
                <w:sz w:val="21"/>
                <w:szCs w:val="21"/>
                <w:lang w:val="en-US" w:eastAsia="zh-CN"/>
              </w:rPr>
              <w:t>编制国土空间规划成果通过上级部门及专家审查通过。</w:t>
            </w:r>
          </w:p>
          <w:p>
            <w:pPr>
              <w:autoSpaceDN w:val="0"/>
              <w:spacing w:line="320" w:lineRule="exact"/>
              <w:jc w:val="both"/>
              <w:textAlignment w:val="center"/>
              <w:rPr>
                <w:rFonts w:hint="eastAsia" w:ascii="仿宋_GB2312" w:hAnsi="仿宋_GB2312" w:eastAsia="仿宋_GB2312" w:cs="仿宋_GB2312"/>
                <w:b w:val="0"/>
                <w:bCs w:val="0"/>
                <w:color w:val="000000"/>
                <w:sz w:val="21"/>
                <w:szCs w:val="21"/>
                <w:lang w:val="en-US" w:eastAsia="zh-CN"/>
              </w:rPr>
            </w:pPr>
          </w:p>
          <w:p>
            <w:pPr>
              <w:autoSpaceDN w:val="0"/>
              <w:spacing w:line="320" w:lineRule="exact"/>
              <w:jc w:val="both"/>
              <w:textAlignment w:val="center"/>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bCs/>
                <w:color w:val="000000"/>
                <w:sz w:val="21"/>
                <w:szCs w:val="21"/>
                <w:lang w:val="en-US" w:eastAsia="zh-CN"/>
              </w:rPr>
              <w:t>（三）完成督查整改问题100%，违建别墅问题无新增。</w:t>
            </w:r>
          </w:p>
          <w:p>
            <w:pPr>
              <w:autoSpaceDN w:val="0"/>
              <w:spacing w:line="320" w:lineRule="exact"/>
              <w:jc w:val="both"/>
              <w:textAlignment w:val="center"/>
              <w:rPr>
                <w:rFonts w:hint="eastAsia" w:ascii="仿宋_GB2312" w:hAnsi="仿宋_GB2312" w:eastAsia="仿宋_GB2312" w:cs="仿宋_GB2312"/>
                <w:b w:val="0"/>
                <w:bCs w:val="0"/>
                <w:color w:val="000000"/>
                <w:sz w:val="21"/>
                <w:szCs w:val="21"/>
                <w:lang w:val="en-US" w:eastAsia="zh-CN"/>
              </w:rPr>
            </w:pPr>
          </w:p>
          <w:p>
            <w:pPr>
              <w:autoSpaceDN w:val="0"/>
              <w:spacing w:line="320" w:lineRule="exact"/>
              <w:jc w:val="both"/>
              <w:textAlignment w:val="center"/>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w:t>
            </w:r>
            <w:r>
              <w:rPr>
                <w:rFonts w:hint="eastAsia" w:ascii="仿宋_GB2312" w:hAnsi="仿宋_GB2312" w:eastAsia="仿宋_GB2312" w:cs="仿宋_GB2312"/>
                <w:b/>
                <w:bCs/>
                <w:color w:val="000000"/>
                <w:sz w:val="21"/>
                <w:szCs w:val="21"/>
                <w:lang w:val="en-US" w:eastAsia="zh-CN"/>
              </w:rPr>
              <w:t>四）持续保持地质灾害隐患点“零死亡”“最多跑一次”改革落实到位，优化营商环境专项巡察整改率100%</w:t>
            </w:r>
            <w:r>
              <w:rPr>
                <w:rFonts w:hint="eastAsia" w:ascii="仿宋_GB2312" w:hAnsi="仿宋_GB2312" w:eastAsia="仿宋_GB2312" w:cs="仿宋_GB2312"/>
                <w:b w:val="0"/>
                <w:bCs w:val="0"/>
                <w:color w:val="000000"/>
                <w:sz w:val="21"/>
                <w:szCs w:val="21"/>
                <w:lang w:val="en-US" w:eastAsia="zh-CN"/>
              </w:rPr>
              <w:t>。</w:t>
            </w:r>
          </w:p>
          <w:p>
            <w:pPr>
              <w:autoSpaceDN w:val="0"/>
              <w:spacing w:line="320" w:lineRule="exact"/>
              <w:jc w:val="both"/>
              <w:textAlignment w:val="center"/>
              <w:rPr>
                <w:rFonts w:hint="eastAsia" w:ascii="仿宋_GB2312" w:hAnsi="仿宋_GB2312" w:eastAsia="仿宋_GB2312" w:cs="仿宋_GB2312"/>
                <w:b w:val="0"/>
                <w:bCs w:val="0"/>
                <w:color w:val="000000"/>
                <w:sz w:val="21"/>
                <w:szCs w:val="21"/>
                <w:lang w:val="en-US" w:eastAsia="zh-CN"/>
              </w:rPr>
            </w:pPr>
          </w:p>
          <w:p>
            <w:pPr>
              <w:autoSpaceDN w:val="0"/>
              <w:spacing w:line="320" w:lineRule="exact"/>
              <w:jc w:val="both"/>
              <w:textAlignment w:val="center"/>
              <w:rPr>
                <w:rFonts w:hint="eastAsia"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（五）违法行为查处整改率合格，上级部门约谈和问责为0次</w:t>
            </w:r>
          </w:p>
          <w:p>
            <w:pPr>
              <w:autoSpaceDN w:val="0"/>
              <w:spacing w:line="320" w:lineRule="exact"/>
              <w:jc w:val="both"/>
              <w:textAlignment w:val="center"/>
              <w:rPr>
                <w:rFonts w:hint="eastAsia" w:ascii="仿宋_GB2312" w:hAnsi="仿宋_GB2312" w:eastAsia="仿宋_GB2312" w:cs="仿宋_GB2312"/>
                <w:b w:val="0"/>
                <w:bCs w:val="0"/>
                <w:color w:val="000000"/>
                <w:sz w:val="21"/>
                <w:szCs w:val="21"/>
                <w:lang w:val="en-US" w:eastAsia="zh-CN"/>
              </w:rPr>
            </w:pPr>
          </w:p>
          <w:p>
            <w:pPr>
              <w:autoSpaceDN w:val="0"/>
              <w:spacing w:line="320" w:lineRule="exact"/>
              <w:jc w:val="both"/>
              <w:textAlignment w:val="center"/>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bCs/>
                <w:color w:val="000000"/>
                <w:sz w:val="21"/>
                <w:szCs w:val="21"/>
                <w:lang w:val="en-US" w:eastAsia="zh-CN"/>
              </w:rPr>
              <w:t>（六）重点项目跟踪服务落地率100%</w:t>
            </w:r>
            <w:r>
              <w:rPr>
                <w:rFonts w:hint="eastAsia" w:ascii="仿宋_GB2312" w:hAnsi="仿宋_GB2312" w:eastAsia="仿宋_GB2312" w:cs="仿宋_GB2312"/>
                <w:b w:val="0"/>
                <w:bCs w:val="0"/>
                <w:color w:val="000000"/>
                <w:sz w:val="21"/>
                <w:szCs w:val="21"/>
                <w:lang w:val="en-US" w:eastAsia="zh-CN"/>
              </w:rPr>
              <w:t>。</w:t>
            </w:r>
          </w:p>
        </w:tc>
        <w:tc>
          <w:tcPr>
            <w:tcW w:w="5041" w:type="dxa"/>
            <w:gridSpan w:val="13"/>
            <w:noWrap w:val="0"/>
            <w:vAlign w:val="center"/>
          </w:tcPr>
          <w:p>
            <w:pPr>
              <w:autoSpaceDN w:val="0"/>
              <w:spacing w:line="320" w:lineRule="exact"/>
              <w:jc w:val="left"/>
              <w:textAlignment w:val="center"/>
              <w:rPr>
                <w:rFonts w:hint="eastAsia" w:ascii="仿宋_GB2312" w:hAnsi="仿宋_GB2312" w:eastAsia="仿宋_GB2312" w:cs="仿宋_GB2312"/>
                <w:b/>
                <w:bCs/>
                <w:color w:val="000000"/>
                <w:sz w:val="21"/>
                <w:szCs w:val="21"/>
                <w:lang w:val="en-US" w:eastAsia="zh-CN"/>
              </w:rPr>
            </w:pPr>
          </w:p>
          <w:p>
            <w:pPr>
              <w:autoSpaceDN w:val="0"/>
              <w:spacing w:line="320" w:lineRule="exact"/>
              <w:jc w:val="left"/>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b/>
                <w:bCs/>
                <w:color w:val="000000"/>
                <w:sz w:val="21"/>
                <w:szCs w:val="21"/>
                <w:lang w:val="en-US" w:eastAsia="zh-CN"/>
              </w:rPr>
              <w:t>（一）</w:t>
            </w:r>
            <w:r>
              <w:rPr>
                <w:rFonts w:hint="eastAsia" w:ascii="仿宋_GB2312" w:hAnsi="仿宋_GB2312" w:eastAsia="仿宋_GB2312" w:cs="仿宋_GB2312"/>
                <w:color w:val="000000"/>
                <w:sz w:val="21"/>
                <w:szCs w:val="21"/>
                <w:lang w:val="en-US" w:eastAsia="zh-CN"/>
              </w:rPr>
              <w:t>省厅确认农用地开发项目40个707.83公顷，确认增减挂项目4批次99.74公顷，确保了新增耕田一亩不假，全市耕地面积523.36亩，是全省上一轮规划唯一耕地保有量达标的市。我市耕地保护工作获得省政府真抓实干督查激励先进。</w:t>
            </w:r>
          </w:p>
          <w:p>
            <w:pPr>
              <w:autoSpaceDN w:val="0"/>
              <w:spacing w:line="320" w:lineRule="exact"/>
              <w:jc w:val="left"/>
              <w:textAlignment w:val="center"/>
              <w:rPr>
                <w:rFonts w:hint="default" w:ascii="仿宋_GB2312" w:hAnsi="仿宋_GB2312" w:eastAsia="仿宋_GB2312" w:cs="仿宋_GB2312"/>
                <w:b/>
                <w:bCs/>
                <w:color w:val="000000"/>
                <w:sz w:val="21"/>
                <w:szCs w:val="21"/>
                <w:lang w:val="en-US" w:eastAsia="zh-CN"/>
              </w:rPr>
            </w:pPr>
            <w:r>
              <w:rPr>
                <w:rFonts w:hint="eastAsia" w:ascii="仿宋_GB2312" w:hAnsi="仿宋_GB2312" w:eastAsia="仿宋_GB2312" w:cs="仿宋_GB2312"/>
                <w:b/>
                <w:bCs/>
                <w:color w:val="000000"/>
                <w:sz w:val="21"/>
                <w:szCs w:val="21"/>
                <w:lang w:val="en-US" w:eastAsia="zh-CN"/>
              </w:rPr>
              <w:t>（二）</w:t>
            </w:r>
            <w:r>
              <w:rPr>
                <w:rFonts w:hint="eastAsia" w:ascii="仿宋_GB2312" w:hAnsi="仿宋_GB2312" w:eastAsia="仿宋_GB2312" w:cs="仿宋_GB2312"/>
                <w:b w:val="0"/>
                <w:bCs w:val="0"/>
                <w:color w:val="000000"/>
                <w:sz w:val="21"/>
                <w:szCs w:val="21"/>
                <w:lang w:val="en-US" w:eastAsia="zh-CN"/>
              </w:rPr>
              <w:t>岳阳市</w:t>
            </w:r>
            <w:r>
              <w:rPr>
                <w:rFonts w:hint="eastAsia" w:ascii="仿宋_GB2312" w:hAnsi="仿宋_GB2312" w:eastAsia="仿宋_GB2312" w:cs="仿宋_GB2312"/>
                <w:color w:val="000000"/>
                <w:sz w:val="21"/>
                <w:szCs w:val="21"/>
                <w:lang w:val="en-US" w:eastAsia="zh-CN"/>
              </w:rPr>
              <w:t>获得全省国土空间优秀案例一等奖1个、二等奖1个、三等奖1个、优胜奖2个。、</w:t>
            </w:r>
          </w:p>
          <w:p>
            <w:pPr>
              <w:autoSpaceDN w:val="0"/>
              <w:spacing w:line="320" w:lineRule="exact"/>
              <w:jc w:val="left"/>
              <w:textAlignment w:val="center"/>
              <w:rPr>
                <w:rFonts w:hint="eastAsia" w:ascii="仿宋_GB2312" w:hAnsi="仿宋_GB2312" w:eastAsia="仿宋_GB2312" w:cs="仿宋_GB2312"/>
                <w:b w:val="0"/>
                <w:bCs w:val="0"/>
                <w:color w:val="000000"/>
                <w:sz w:val="21"/>
                <w:szCs w:val="21"/>
                <w:lang w:val="en-US" w:eastAsia="zh-CN"/>
              </w:rPr>
            </w:pPr>
          </w:p>
          <w:p>
            <w:pPr>
              <w:autoSpaceDN w:val="0"/>
              <w:spacing w:line="320" w:lineRule="exact"/>
              <w:jc w:val="left"/>
              <w:textAlignment w:val="center"/>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bCs/>
                <w:color w:val="000000"/>
                <w:sz w:val="21"/>
                <w:szCs w:val="21"/>
                <w:lang w:val="en-US" w:eastAsia="zh-CN"/>
              </w:rPr>
              <w:t>（三）</w:t>
            </w:r>
            <w:r>
              <w:rPr>
                <w:rFonts w:hint="eastAsia" w:ascii="仿宋_GB2312" w:hAnsi="仿宋_GB2312" w:eastAsia="仿宋_GB2312" w:cs="仿宋_GB2312"/>
                <w:b w:val="0"/>
                <w:bCs w:val="0"/>
                <w:color w:val="000000"/>
                <w:sz w:val="21"/>
                <w:szCs w:val="21"/>
                <w:lang w:val="en-US" w:eastAsia="zh-CN"/>
              </w:rPr>
              <w:t>完成督查整改问题100%，违建别墅问题无新增。</w:t>
            </w:r>
          </w:p>
          <w:p>
            <w:pPr>
              <w:autoSpaceDN w:val="0"/>
              <w:spacing w:line="320" w:lineRule="exact"/>
              <w:jc w:val="left"/>
              <w:textAlignment w:val="center"/>
              <w:rPr>
                <w:rFonts w:hint="eastAsia" w:ascii="仿宋_GB2312" w:hAnsi="仿宋_GB2312" w:eastAsia="仿宋_GB2312" w:cs="仿宋_GB2312"/>
                <w:b w:val="0"/>
                <w:bCs w:val="0"/>
                <w:color w:val="000000"/>
                <w:sz w:val="21"/>
                <w:szCs w:val="21"/>
                <w:lang w:val="en-US" w:eastAsia="zh-CN"/>
              </w:rPr>
            </w:pPr>
          </w:p>
          <w:p>
            <w:pPr>
              <w:autoSpaceDN w:val="0"/>
              <w:spacing w:line="320" w:lineRule="exact"/>
              <w:jc w:val="left"/>
              <w:textAlignment w:val="center"/>
              <w:rPr>
                <w:rFonts w:hint="eastAsia" w:ascii="仿宋_GB2312" w:hAnsi="仿宋_GB2312" w:eastAsia="仿宋_GB2312" w:cs="仿宋_GB2312"/>
                <w:b w:val="0"/>
                <w:bCs w:val="0"/>
                <w:color w:val="000000"/>
                <w:sz w:val="21"/>
                <w:szCs w:val="21"/>
                <w:lang w:val="en-US" w:eastAsia="zh-CN"/>
              </w:rPr>
            </w:pPr>
          </w:p>
          <w:p>
            <w:pPr>
              <w:autoSpaceDN w:val="0"/>
              <w:spacing w:line="320" w:lineRule="exact"/>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（四）</w:t>
            </w:r>
            <w:r>
              <w:rPr>
                <w:rFonts w:hint="eastAsia" w:ascii="仿宋_GB2312" w:hAnsi="仿宋_GB2312" w:eastAsia="仿宋_GB2312" w:cs="仿宋_GB2312"/>
                <w:color w:val="000000"/>
                <w:sz w:val="21"/>
                <w:szCs w:val="21"/>
                <w:lang w:val="en-US" w:eastAsia="zh-CN"/>
              </w:rPr>
              <w:t>地质灾害隐患点持续保持“零死亡”，“最多跑一次”均落实到位，优化营商环境专项巡察整改，18项整改问题，销号17项，建议移交1项，整改率100%</w:t>
            </w:r>
          </w:p>
          <w:p>
            <w:pPr>
              <w:autoSpaceDN w:val="0"/>
              <w:spacing w:line="320" w:lineRule="exact"/>
              <w:jc w:val="both"/>
              <w:textAlignment w:val="center"/>
              <w:rPr>
                <w:rFonts w:hint="eastAsia" w:ascii="仿宋_GB2312" w:hAnsi="仿宋_GB2312" w:eastAsia="仿宋_GB2312" w:cs="仿宋_GB2312"/>
                <w:color w:val="000000"/>
                <w:sz w:val="21"/>
                <w:szCs w:val="21"/>
                <w:lang w:val="en-US" w:eastAsia="zh-CN"/>
              </w:rPr>
            </w:pPr>
          </w:p>
          <w:p>
            <w:pPr>
              <w:autoSpaceDN w:val="0"/>
              <w:spacing w:line="320" w:lineRule="exact"/>
              <w:jc w:val="both"/>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（五）</w:t>
            </w:r>
            <w:r>
              <w:rPr>
                <w:rFonts w:hint="eastAsia" w:ascii="仿宋_GB2312" w:hAnsi="仿宋_GB2312" w:eastAsia="仿宋_GB2312" w:cs="仿宋_GB2312"/>
                <w:b w:val="0"/>
                <w:bCs w:val="0"/>
                <w:color w:val="000000"/>
                <w:sz w:val="21"/>
                <w:szCs w:val="21"/>
                <w:lang w:val="en-US" w:eastAsia="zh-CN"/>
              </w:rPr>
              <w:t>违</w:t>
            </w:r>
            <w:r>
              <w:rPr>
                <w:rFonts w:hint="eastAsia" w:ascii="仿宋_GB2312" w:hAnsi="仿宋_GB2312" w:eastAsia="仿宋_GB2312" w:cs="仿宋_GB2312"/>
                <w:color w:val="000000"/>
                <w:sz w:val="21"/>
                <w:szCs w:val="21"/>
                <w:lang w:val="en-US" w:eastAsia="zh-CN"/>
              </w:rPr>
              <w:t>法行为查处整改率100%。</w:t>
            </w:r>
            <w:r>
              <w:rPr>
                <w:rFonts w:hint="eastAsia" w:ascii="仿宋_GB2312" w:hAnsi="仿宋_GB2312" w:eastAsia="仿宋_GB2312" w:cs="仿宋_GB2312"/>
                <w:b w:val="0"/>
                <w:bCs w:val="0"/>
                <w:color w:val="000000"/>
                <w:sz w:val="21"/>
                <w:szCs w:val="21"/>
                <w:lang w:val="en-US" w:eastAsia="zh-CN"/>
              </w:rPr>
              <w:t>，上级部门约谈和问责为0次，</w:t>
            </w:r>
            <w:r>
              <w:rPr>
                <w:rFonts w:hint="eastAsia" w:ascii="仿宋_GB2312" w:hAnsi="仿宋_GB2312" w:eastAsia="仿宋_GB2312" w:cs="仿宋_GB2312"/>
                <w:color w:val="000000"/>
                <w:sz w:val="21"/>
                <w:szCs w:val="21"/>
                <w:lang w:val="en-US" w:eastAsia="zh-CN"/>
              </w:rPr>
              <w:t>本年度未出现被自然资源部或省政府约谈或问责事项。</w:t>
            </w:r>
          </w:p>
          <w:p>
            <w:pPr>
              <w:autoSpaceDN w:val="0"/>
              <w:spacing w:line="320" w:lineRule="exact"/>
              <w:jc w:val="left"/>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b/>
                <w:bCs/>
                <w:color w:val="000000"/>
                <w:sz w:val="21"/>
                <w:szCs w:val="21"/>
                <w:lang w:val="en-US" w:eastAsia="zh-CN"/>
              </w:rPr>
              <w:t>（六）</w:t>
            </w:r>
            <w:r>
              <w:rPr>
                <w:rFonts w:hint="eastAsia" w:ascii="仿宋_GB2312" w:hAnsi="仿宋_GB2312" w:eastAsia="仿宋_GB2312" w:cs="仿宋_GB2312"/>
                <w:color w:val="000000"/>
                <w:sz w:val="21"/>
                <w:szCs w:val="21"/>
                <w:lang w:val="en-US" w:eastAsia="zh-CN"/>
              </w:rPr>
              <w:t>省市重点项目落地率100%，有效解决了项目“落地难、落地慢”的问题。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49" w:hRule="atLeast"/>
          <w:jc w:val="center"/>
        </w:trPr>
        <w:tc>
          <w:tcPr>
            <w:tcW w:w="541" w:type="dxa"/>
            <w:vMerge w:val="continue"/>
            <w:noWrap w:val="0"/>
            <w:vAlign w:val="center"/>
          </w:tcPr>
          <w:p>
            <w:pPr>
              <w:spacing w:line="320" w:lineRule="exact"/>
              <w:rPr>
                <w:rFonts w:hint="eastAsia" w:ascii="仿宋_GB2312" w:hAnsi="仿宋_GB2312" w:eastAsia="仿宋_GB2312" w:cs="仿宋_GB2312"/>
                <w:sz w:val="24"/>
              </w:rPr>
            </w:pPr>
          </w:p>
        </w:tc>
        <w:tc>
          <w:tcPr>
            <w:tcW w:w="317" w:type="dxa"/>
            <w:vMerge w:val="continue"/>
            <w:noWrap w:val="0"/>
            <w:vAlign w:val="center"/>
          </w:tcPr>
          <w:p>
            <w:pPr>
              <w:autoSpaceDN w:val="0"/>
              <w:spacing w:line="320" w:lineRule="exact"/>
              <w:rPr>
                <w:rFonts w:hint="eastAsia" w:ascii="仿宋_GB2312" w:hAnsi="仿宋_GB2312" w:eastAsia="仿宋_GB2312" w:cs="仿宋_GB2312"/>
                <w:sz w:val="21"/>
                <w:szCs w:val="21"/>
              </w:rPr>
            </w:pPr>
          </w:p>
        </w:tc>
        <w:tc>
          <w:tcPr>
            <w:tcW w:w="483" w:type="dxa"/>
            <w:gridSpan w:val="2"/>
            <w:noWrap w:val="0"/>
            <w:vAlign w:val="center"/>
          </w:tcPr>
          <w:p>
            <w:pPr>
              <w:autoSpaceDN w:val="0"/>
              <w:spacing w:line="320" w:lineRule="exact"/>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时效指标</w:t>
            </w:r>
          </w:p>
        </w:tc>
        <w:tc>
          <w:tcPr>
            <w:tcW w:w="3592" w:type="dxa"/>
            <w:gridSpan w:val="9"/>
            <w:noWrap w:val="0"/>
            <w:vAlign w:val="center"/>
          </w:tcPr>
          <w:p>
            <w:pPr>
              <w:autoSpaceDN w:val="0"/>
              <w:spacing w:line="320" w:lineRule="exact"/>
              <w:jc w:val="left"/>
              <w:textAlignment w:val="center"/>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（一）优化营商环境，审批日期缩短10个工作日。</w:t>
            </w:r>
            <w:r>
              <w:rPr>
                <w:rFonts w:hint="eastAsia" w:ascii="仿宋_GB2312" w:hAnsi="仿宋_GB2312" w:eastAsia="仿宋_GB2312" w:cs="仿宋_GB2312"/>
                <w:color w:val="000000"/>
                <w:sz w:val="21"/>
                <w:szCs w:val="21"/>
                <w:lang w:val="en-US" w:eastAsia="zh-CN"/>
              </w:rPr>
              <w:t>不动产登记60分钟出证。</w:t>
            </w:r>
          </w:p>
          <w:p>
            <w:pPr>
              <w:autoSpaceDN w:val="0"/>
              <w:spacing w:line="320" w:lineRule="exact"/>
              <w:jc w:val="left"/>
              <w:textAlignment w:val="center"/>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（二）所有来信来访及时答复</w:t>
            </w:r>
          </w:p>
          <w:p>
            <w:pPr>
              <w:autoSpaceDN w:val="0"/>
              <w:spacing w:line="320" w:lineRule="exact"/>
              <w:jc w:val="left"/>
              <w:textAlignment w:val="center"/>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（三）在规定时限内腾地、供地和完成整改、销号等任务</w:t>
            </w:r>
          </w:p>
        </w:tc>
        <w:tc>
          <w:tcPr>
            <w:tcW w:w="5041" w:type="dxa"/>
            <w:gridSpan w:val="13"/>
            <w:noWrap w:val="0"/>
            <w:vAlign w:val="center"/>
          </w:tcPr>
          <w:p>
            <w:pPr>
              <w:autoSpaceDN w:val="0"/>
              <w:spacing w:line="320" w:lineRule="exact"/>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b/>
                <w:bCs/>
                <w:color w:val="000000"/>
                <w:sz w:val="21"/>
                <w:szCs w:val="21"/>
                <w:lang w:val="en-US" w:eastAsia="zh-CN"/>
              </w:rPr>
              <w:t>（一）</w:t>
            </w:r>
            <w:r>
              <w:rPr>
                <w:rFonts w:hint="eastAsia" w:ascii="仿宋_GB2312" w:hAnsi="仿宋_GB2312" w:eastAsia="仿宋_GB2312" w:cs="仿宋_GB2312"/>
                <w:color w:val="000000"/>
                <w:sz w:val="21"/>
                <w:szCs w:val="21"/>
                <w:lang w:val="en-US" w:eastAsia="zh-CN"/>
              </w:rPr>
              <w:t>规划和用地审批从原来的40个工作日缩短至10个工作日，不动产登记并成功试点“交房即交证”“交地即交证”。</w:t>
            </w:r>
          </w:p>
          <w:p>
            <w:pPr>
              <w:autoSpaceDN w:val="0"/>
              <w:spacing w:line="320" w:lineRule="exact"/>
              <w:jc w:val="left"/>
              <w:textAlignment w:val="center"/>
              <w:rPr>
                <w:rFonts w:hint="eastAsia" w:ascii="仿宋_GB2312" w:hAnsi="仿宋_GB2312" w:eastAsia="仿宋_GB2312" w:cs="仿宋_GB2312"/>
                <w:color w:val="000000"/>
                <w:sz w:val="21"/>
                <w:szCs w:val="21"/>
                <w:lang w:val="en-US" w:eastAsia="zh-CN"/>
              </w:rPr>
            </w:pPr>
            <w:r>
              <w:rPr>
                <w:rFonts w:hint="eastAsia" w:ascii="仿宋_GB2312" w:hAnsi="仿宋_GB2312" w:eastAsia="仿宋_GB2312" w:cs="仿宋_GB2312"/>
                <w:b/>
                <w:bCs/>
                <w:color w:val="000000"/>
                <w:sz w:val="21"/>
                <w:szCs w:val="21"/>
                <w:lang w:val="en-US" w:eastAsia="zh-CN"/>
              </w:rPr>
              <w:t>（二）</w:t>
            </w:r>
            <w:r>
              <w:rPr>
                <w:rFonts w:hint="eastAsia" w:ascii="仿宋_GB2312" w:hAnsi="仿宋_GB2312" w:eastAsia="仿宋_GB2312" w:cs="仿宋_GB2312"/>
                <w:color w:val="000000"/>
                <w:sz w:val="21"/>
                <w:szCs w:val="21"/>
                <w:lang w:val="en-US" w:eastAsia="zh-CN"/>
              </w:rPr>
              <w:t>来信来访在规定期限内及时答复</w:t>
            </w:r>
          </w:p>
          <w:p>
            <w:pPr>
              <w:autoSpaceDN w:val="0"/>
              <w:spacing w:line="320" w:lineRule="exact"/>
              <w:jc w:val="left"/>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b/>
                <w:bCs/>
                <w:color w:val="000000"/>
                <w:sz w:val="21"/>
                <w:szCs w:val="21"/>
                <w:lang w:val="en-US" w:eastAsia="zh-CN"/>
              </w:rPr>
              <w:t>（三）</w:t>
            </w:r>
            <w:r>
              <w:rPr>
                <w:rFonts w:hint="eastAsia" w:ascii="仿宋_GB2312" w:hAnsi="仿宋_GB2312" w:eastAsia="仿宋_GB2312" w:cs="仿宋_GB2312"/>
                <w:color w:val="000000"/>
                <w:sz w:val="21"/>
                <w:szCs w:val="21"/>
                <w:lang w:val="en-US" w:eastAsia="zh-CN"/>
              </w:rPr>
              <w:t>各项任务在规定期限内完成。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91" w:hRule="atLeast"/>
          <w:jc w:val="center"/>
        </w:trPr>
        <w:tc>
          <w:tcPr>
            <w:tcW w:w="541" w:type="dxa"/>
            <w:vMerge w:val="continue"/>
            <w:noWrap w:val="0"/>
            <w:vAlign w:val="center"/>
          </w:tcPr>
          <w:p>
            <w:pPr>
              <w:spacing w:line="320" w:lineRule="exact"/>
              <w:rPr>
                <w:rFonts w:hint="eastAsia" w:ascii="仿宋_GB2312" w:hAnsi="仿宋_GB2312" w:eastAsia="仿宋_GB2312" w:cs="仿宋_GB2312"/>
                <w:sz w:val="24"/>
              </w:rPr>
            </w:pPr>
          </w:p>
        </w:tc>
        <w:tc>
          <w:tcPr>
            <w:tcW w:w="317" w:type="dxa"/>
            <w:vMerge w:val="continue"/>
            <w:noWrap w:val="0"/>
            <w:vAlign w:val="center"/>
          </w:tcPr>
          <w:p>
            <w:pPr>
              <w:autoSpaceDN w:val="0"/>
              <w:spacing w:line="320" w:lineRule="exact"/>
              <w:rPr>
                <w:rFonts w:hint="eastAsia" w:ascii="仿宋_GB2312" w:hAnsi="仿宋_GB2312" w:eastAsia="仿宋_GB2312" w:cs="仿宋_GB2312"/>
                <w:sz w:val="21"/>
                <w:szCs w:val="21"/>
              </w:rPr>
            </w:pPr>
          </w:p>
        </w:tc>
        <w:tc>
          <w:tcPr>
            <w:tcW w:w="483" w:type="dxa"/>
            <w:gridSpan w:val="2"/>
            <w:noWrap w:val="0"/>
            <w:vAlign w:val="center"/>
          </w:tcPr>
          <w:p>
            <w:pPr>
              <w:autoSpaceDN w:val="0"/>
              <w:spacing w:line="320" w:lineRule="exact"/>
              <w:jc w:val="both"/>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成本指标</w:t>
            </w:r>
          </w:p>
        </w:tc>
        <w:tc>
          <w:tcPr>
            <w:tcW w:w="3592" w:type="dxa"/>
            <w:gridSpan w:val="9"/>
            <w:noWrap w:val="0"/>
            <w:vAlign w:val="center"/>
          </w:tcPr>
          <w:p>
            <w:pPr>
              <w:autoSpaceDN w:val="0"/>
              <w:spacing w:line="320" w:lineRule="exact"/>
              <w:jc w:val="left"/>
              <w:textAlignment w:val="center"/>
              <w:rPr>
                <w:rFonts w:hint="default" w:ascii="仿宋_GB2312" w:hAnsi="仿宋_GB2312" w:eastAsia="仿宋_GB2312" w:cs="仿宋_GB2312"/>
                <w:b w:val="0"/>
                <w:bCs w:val="0"/>
                <w:color w:val="000000"/>
                <w:sz w:val="21"/>
                <w:szCs w:val="21"/>
                <w:lang w:val="en-US" w:eastAsia="zh-CN"/>
              </w:rPr>
            </w:pPr>
            <w:r>
              <w:rPr>
                <w:rFonts w:hint="eastAsia"/>
                <w:lang w:val="en-US" w:eastAsia="zh-CN"/>
              </w:rPr>
              <w:t>（</w:t>
            </w:r>
            <w:r>
              <w:rPr>
                <w:rFonts w:hint="eastAsia" w:ascii="仿宋_GB2312" w:hAnsi="仿宋_GB2312" w:eastAsia="仿宋_GB2312" w:cs="仿宋_GB2312"/>
                <w:b w:val="0"/>
                <w:bCs w:val="0"/>
                <w:color w:val="000000"/>
                <w:sz w:val="21"/>
                <w:szCs w:val="21"/>
                <w:lang w:val="en-US" w:eastAsia="zh-CN"/>
              </w:rPr>
              <w:t>一）全度预算资金控制额</w:t>
            </w:r>
          </w:p>
          <w:p>
            <w:pPr>
              <w:autoSpaceDN w:val="0"/>
              <w:spacing w:line="320" w:lineRule="exact"/>
              <w:jc w:val="left"/>
              <w:textAlignment w:val="center"/>
              <w:rPr>
                <w:rFonts w:hint="default"/>
                <w:lang w:val="en-US" w:eastAsia="zh-CN"/>
              </w:rPr>
            </w:pPr>
            <w:r>
              <w:rPr>
                <w:rFonts w:hint="eastAsia" w:ascii="仿宋_GB2312" w:hAnsi="仿宋_GB2312" w:eastAsia="仿宋_GB2312" w:cs="仿宋_GB2312"/>
                <w:b w:val="0"/>
                <w:bCs w:val="0"/>
                <w:color w:val="000000"/>
                <w:sz w:val="21"/>
                <w:szCs w:val="21"/>
                <w:lang w:val="en-US" w:eastAsia="zh-CN"/>
              </w:rPr>
              <w:t>（二）项目资金控制额</w:t>
            </w:r>
          </w:p>
        </w:tc>
        <w:tc>
          <w:tcPr>
            <w:tcW w:w="5041" w:type="dxa"/>
            <w:gridSpan w:val="13"/>
            <w:noWrap w:val="0"/>
            <w:vAlign w:val="center"/>
          </w:tcPr>
          <w:p>
            <w:pPr>
              <w:autoSpaceDN w:val="0"/>
              <w:spacing w:line="320" w:lineRule="exact"/>
              <w:jc w:val="left"/>
              <w:textAlignment w:val="center"/>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（一）基本支出控制在预算内</w:t>
            </w:r>
          </w:p>
          <w:p>
            <w:pPr>
              <w:autoSpaceDN w:val="0"/>
              <w:spacing w:line="320" w:lineRule="exact"/>
              <w:jc w:val="left"/>
              <w:textAlignment w:val="center"/>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（二）项目资金支出控制在合同价款内</w:t>
            </w:r>
          </w:p>
          <w:p>
            <w:pPr>
              <w:autoSpaceDN w:val="0"/>
              <w:spacing w:line="320" w:lineRule="exact"/>
              <w:jc w:val="left"/>
              <w:textAlignment w:val="center"/>
              <w:rPr>
                <w:rFonts w:hint="default" w:ascii="仿宋_GB2312" w:hAnsi="仿宋_GB2312" w:eastAsia="仿宋_GB2312" w:cs="仿宋_GB2312"/>
                <w:b w:val="0"/>
                <w:bCs w:val="0"/>
                <w:color w:val="00000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22" w:hRule="atLeast"/>
          <w:jc w:val="center"/>
        </w:trPr>
        <w:tc>
          <w:tcPr>
            <w:tcW w:w="541" w:type="dxa"/>
            <w:vMerge w:val="continue"/>
            <w:noWrap w:val="0"/>
            <w:vAlign w:val="center"/>
          </w:tcPr>
          <w:p>
            <w:pPr>
              <w:spacing w:line="320" w:lineRule="exact"/>
              <w:rPr>
                <w:rFonts w:hint="eastAsia" w:ascii="仿宋_GB2312" w:hAnsi="仿宋_GB2312" w:eastAsia="仿宋_GB2312" w:cs="仿宋_GB2312"/>
                <w:sz w:val="24"/>
              </w:rPr>
            </w:pPr>
          </w:p>
        </w:tc>
        <w:tc>
          <w:tcPr>
            <w:tcW w:w="317" w:type="dxa"/>
            <w:vMerge w:val="restart"/>
            <w:noWrap w:val="0"/>
            <w:vAlign w:val="center"/>
          </w:tcPr>
          <w:p>
            <w:pPr>
              <w:autoSpaceDN w:val="0"/>
              <w:spacing w:line="320" w:lineRule="exact"/>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效益目标</w:t>
            </w:r>
          </w:p>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rPr>
              <w:t>（预期实现的效益</w:t>
            </w:r>
            <w:r>
              <w:rPr>
                <w:rFonts w:hint="eastAsia" w:ascii="仿宋_GB2312" w:hAnsi="仿宋_GB2312" w:eastAsia="仿宋_GB2312" w:cs="仿宋_GB2312"/>
                <w:color w:val="000000"/>
                <w:sz w:val="21"/>
                <w:szCs w:val="21"/>
              </w:rPr>
              <w:t>）</w:t>
            </w:r>
          </w:p>
        </w:tc>
        <w:tc>
          <w:tcPr>
            <w:tcW w:w="483"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b/>
                <w:bCs/>
                <w:color w:val="000000"/>
                <w:sz w:val="21"/>
                <w:szCs w:val="21"/>
              </w:rPr>
              <w:t>社会效益</w:t>
            </w:r>
          </w:p>
        </w:tc>
        <w:tc>
          <w:tcPr>
            <w:tcW w:w="3592" w:type="dxa"/>
            <w:gridSpan w:val="9"/>
            <w:noWrap w:val="0"/>
            <w:vAlign w:val="center"/>
          </w:tcPr>
          <w:p>
            <w:pPr>
              <w:autoSpaceDN w:val="0"/>
              <w:spacing w:line="320" w:lineRule="exact"/>
              <w:jc w:val="left"/>
              <w:textAlignment w:val="center"/>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（一）规划编制成果助力推动了乡村振兴，为未来城市发展提供战略引领。</w:t>
            </w:r>
          </w:p>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highlight w:val="yellow"/>
                <w:lang w:val="en-US" w:eastAsia="zh-CN"/>
              </w:rPr>
            </w:pPr>
          </w:p>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highlight w:val="yellow"/>
                <w:lang w:val="en-US" w:eastAsia="zh-CN"/>
              </w:rPr>
            </w:pPr>
          </w:p>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highlight w:val="yellow"/>
                <w:lang w:val="en-US" w:eastAsia="zh-CN"/>
              </w:rPr>
            </w:pPr>
          </w:p>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highlight w:val="yellow"/>
                <w:lang w:val="en-US" w:eastAsia="zh-CN"/>
              </w:rPr>
            </w:pPr>
          </w:p>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highlight w:val="yellow"/>
                <w:lang w:val="en-US" w:eastAsia="zh-CN"/>
              </w:rPr>
            </w:pPr>
          </w:p>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highlight w:val="yellow"/>
                <w:lang w:val="en-US" w:eastAsia="zh-CN"/>
              </w:rPr>
            </w:pPr>
          </w:p>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highlight w:val="yellow"/>
                <w:lang w:val="en-US" w:eastAsia="zh-CN"/>
              </w:rPr>
            </w:pPr>
          </w:p>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highlight w:val="none"/>
                <w:lang w:val="en-US" w:eastAsia="zh-CN"/>
              </w:rPr>
              <w:t>（二）</w:t>
            </w:r>
            <w:r>
              <w:rPr>
                <w:rFonts w:hint="eastAsia" w:ascii="仿宋_GB2312" w:hAnsi="仿宋_GB2312" w:eastAsia="仿宋_GB2312" w:cs="仿宋_GB2312"/>
                <w:b w:val="0"/>
                <w:bCs w:val="0"/>
                <w:color w:val="000000"/>
                <w:sz w:val="21"/>
                <w:szCs w:val="21"/>
                <w:lang w:val="en-US" w:eastAsia="zh-CN"/>
              </w:rPr>
              <w:t>盘活存量土地，提高土地开发利用水平</w:t>
            </w:r>
          </w:p>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highlight w:val="yellow"/>
                <w:lang w:val="en-US" w:eastAsia="zh-CN"/>
              </w:rPr>
            </w:pPr>
          </w:p>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highlight w:val="yellow"/>
                <w:lang w:val="en-US" w:eastAsia="zh-CN"/>
              </w:rPr>
            </w:pPr>
          </w:p>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highlight w:val="yellow"/>
                <w:lang w:val="en-US" w:eastAsia="zh-CN"/>
              </w:rPr>
            </w:pPr>
          </w:p>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highlight w:val="yellow"/>
                <w:lang w:val="en-US" w:eastAsia="zh-CN"/>
              </w:rPr>
            </w:pPr>
          </w:p>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highlight w:val="yellow"/>
                <w:lang w:val="en-US" w:eastAsia="zh-CN"/>
              </w:rPr>
            </w:pPr>
          </w:p>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lang w:val="en-US" w:eastAsia="zh-CN"/>
              </w:rPr>
            </w:pPr>
          </w:p>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（三）保障购房群众合法权益。</w:t>
            </w:r>
          </w:p>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lang w:val="en-US" w:eastAsia="zh-CN"/>
              </w:rPr>
            </w:pPr>
          </w:p>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lang w:val="en-US" w:eastAsia="zh-CN"/>
              </w:rPr>
            </w:pPr>
          </w:p>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lang w:val="en-US" w:eastAsia="zh-CN"/>
              </w:rPr>
            </w:pPr>
          </w:p>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lang w:val="en-US" w:eastAsia="zh-CN"/>
              </w:rPr>
            </w:pPr>
          </w:p>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（四）为老百姓提供合法合规、便民利民的不动产登记服务。</w:t>
            </w:r>
          </w:p>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lang w:val="en-US" w:eastAsia="zh-CN"/>
              </w:rPr>
            </w:pPr>
          </w:p>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lang w:val="en-US" w:eastAsia="zh-CN"/>
              </w:rPr>
            </w:pPr>
          </w:p>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（五）切实维护和保障群众利益</w:t>
            </w:r>
          </w:p>
        </w:tc>
        <w:tc>
          <w:tcPr>
            <w:tcW w:w="5041" w:type="dxa"/>
            <w:gridSpan w:val="13"/>
            <w:noWrap w:val="0"/>
            <w:vAlign w:val="center"/>
          </w:tcPr>
          <w:p>
            <w:pPr>
              <w:autoSpaceDN w:val="0"/>
              <w:spacing w:line="320" w:lineRule="exact"/>
              <w:jc w:val="left"/>
              <w:textAlignment w:val="center"/>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一）全面完成全市“多规合一”实用性村庄规划编制，经批准的村庄规划，作为核发乡村建设规划许可证的法定依据。在编制规划过程中注重保留特色、传承文化、提高质量，统筹城乡发展，原则上实现城镇开发边界外村庄规划应编尽编，有力助推乡村振兴。合理确定城市新增建设用地规模，为未来发展提供战略引领。同时，还要认真科学的做好规划编制过渡时期中重大产业项目的合理调规工作。</w:t>
            </w:r>
          </w:p>
          <w:p>
            <w:pPr>
              <w:autoSpaceDN w:val="0"/>
              <w:spacing w:line="320" w:lineRule="exact"/>
              <w:jc w:val="left"/>
              <w:textAlignment w:val="center"/>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二）推进土地要素市场化配置和二级市场平台建设，建立完善政府引导、市场参与的城镇低效用地再开发政策体系，推进自然资源节约集约示范县创建，探索总结节约集约用地好做法、好经验。落实闲置土地“三清单三行动”管理，加大批而未供、闲置土地处置力度，积极盘活存量土地，提高土地开发利用水平。</w:t>
            </w:r>
          </w:p>
          <w:p>
            <w:pPr>
              <w:autoSpaceDN w:val="0"/>
              <w:spacing w:line="320" w:lineRule="exact"/>
              <w:jc w:val="left"/>
              <w:textAlignment w:val="center"/>
              <w:rPr>
                <w:rFonts w:hint="eastAsia" w:ascii="仿宋_GB2312" w:hAnsi="仿宋_GB2312" w:eastAsia="仿宋_GB2312" w:cs="仿宋_GB2312"/>
                <w:b w:val="0"/>
                <w:bCs w:val="0"/>
                <w:color w:val="000000"/>
                <w:sz w:val="21"/>
                <w:szCs w:val="21"/>
                <w:lang w:val="en-US" w:eastAsia="zh-CN"/>
              </w:rPr>
            </w:pPr>
          </w:p>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三）全市87个房地产办证信访突出问题化解82个，化解率94.25%，各县市区均出台了《新建商品房“交房即交证”改革工作方案》，并选取了开发项目进行改革试点，做到了“交房即交证”改革工作全覆盖，保障购房群众合法权益。</w:t>
            </w:r>
          </w:p>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（四）推进“互联网+不动产登记”，深化“一窗受理”“60分钟出证”，大力推广“交房即交证”改革，为老百姓提供合法合规、便民利民的不动产登记服务。</w:t>
            </w:r>
          </w:p>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lang w:val="en-US" w:eastAsia="zh-CN"/>
              </w:rPr>
            </w:pPr>
          </w:p>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五）一是强化地质灾害防治。加强地灾隐患点排查，强化地灾监测预警，严格落实动态管理和定期通报，坚持和完善群测群防、值班值守、巡查排查、预警预报等工作制度，全面提升全系统地质灾害预警预报能力，切实提高农村群众地质灾害自我防范意识。</w:t>
            </w:r>
          </w:p>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default" w:ascii="仿宋_GB2312" w:hAnsi="仿宋_GB2312" w:eastAsia="仿宋_GB2312" w:cs="仿宋_GB2312"/>
                <w:b w:val="0"/>
                <w:bCs w:val="0"/>
                <w:color w:val="000000"/>
                <w:sz w:val="21"/>
                <w:szCs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36" w:hRule="atLeast"/>
          <w:jc w:val="center"/>
        </w:trPr>
        <w:tc>
          <w:tcPr>
            <w:tcW w:w="541" w:type="dxa"/>
            <w:vMerge w:val="continue"/>
            <w:noWrap w:val="0"/>
            <w:vAlign w:val="center"/>
          </w:tcPr>
          <w:p>
            <w:pPr>
              <w:spacing w:line="320" w:lineRule="exact"/>
              <w:rPr>
                <w:rFonts w:hint="eastAsia" w:ascii="仿宋_GB2312" w:hAnsi="仿宋_GB2312" w:eastAsia="仿宋_GB2312" w:cs="仿宋_GB2312"/>
                <w:sz w:val="24"/>
              </w:rPr>
            </w:pPr>
          </w:p>
        </w:tc>
        <w:tc>
          <w:tcPr>
            <w:tcW w:w="317" w:type="dxa"/>
            <w:vMerge w:val="continue"/>
            <w:noWrap w:val="0"/>
            <w:vAlign w:val="center"/>
          </w:tcPr>
          <w:p>
            <w:pPr>
              <w:autoSpaceDN w:val="0"/>
              <w:spacing w:line="320" w:lineRule="exact"/>
              <w:rPr>
                <w:rFonts w:hint="eastAsia" w:ascii="仿宋_GB2312" w:hAnsi="仿宋_GB2312" w:eastAsia="仿宋_GB2312" w:cs="仿宋_GB2312"/>
                <w:sz w:val="24"/>
              </w:rPr>
            </w:pPr>
          </w:p>
        </w:tc>
        <w:tc>
          <w:tcPr>
            <w:tcW w:w="483" w:type="dxa"/>
            <w:gridSpan w:val="2"/>
            <w:noWrap w:val="0"/>
            <w:vAlign w:val="center"/>
          </w:tcPr>
          <w:p>
            <w:pPr>
              <w:autoSpaceDN w:val="0"/>
              <w:spacing w:line="320" w:lineRule="exact"/>
              <w:jc w:val="center"/>
              <w:textAlignment w:val="center"/>
              <w:rPr>
                <w:rFonts w:hint="eastAsia" w:ascii="仿宋_GB2312" w:hAnsi="仿宋_GB2312" w:eastAsia="仿宋_GB2312" w:cs="仿宋_GB2312"/>
                <w:b/>
                <w:bCs/>
                <w:color w:val="000000"/>
                <w:spacing w:val="-6"/>
                <w:sz w:val="21"/>
                <w:szCs w:val="21"/>
              </w:rPr>
            </w:pPr>
            <w:r>
              <w:rPr>
                <w:rFonts w:hint="eastAsia" w:ascii="仿宋_GB2312" w:hAnsi="仿宋_GB2312" w:eastAsia="仿宋_GB2312" w:cs="仿宋_GB2312"/>
                <w:b/>
                <w:bCs/>
                <w:color w:val="000000"/>
                <w:spacing w:val="-6"/>
                <w:sz w:val="21"/>
                <w:szCs w:val="21"/>
              </w:rPr>
              <w:t>经济效益</w:t>
            </w:r>
          </w:p>
        </w:tc>
        <w:tc>
          <w:tcPr>
            <w:tcW w:w="3592" w:type="dxa"/>
            <w:gridSpan w:val="9"/>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（一）土地收入支撑地方债务化解</w:t>
            </w:r>
          </w:p>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(二）追缴往年欠缴土地出让金</w:t>
            </w:r>
          </w:p>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（三）实现非税收入任务17155万元.</w:t>
            </w:r>
          </w:p>
        </w:tc>
        <w:tc>
          <w:tcPr>
            <w:tcW w:w="5041" w:type="dxa"/>
            <w:gridSpan w:val="13"/>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（一）全市实现土地价款282.62亿元，价款同比增长72.87%,支撑地方债务化解资金</w:t>
            </w:r>
          </w:p>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（二）追缴往年欠缴土地出让金12.32亿元</w:t>
            </w:r>
          </w:p>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（三）完成非税收入17155万元</w:t>
            </w:r>
            <w:r>
              <w:rPr>
                <w:rFonts w:hint="eastAsia" w:ascii="仿宋_GB2312" w:hAnsi="仿宋_GB2312" w:eastAsia="仿宋_GB2312" w:cs="仿宋_GB2312"/>
                <w:b w:val="0"/>
                <w:bCs w:val="0"/>
                <w:color w:val="000000"/>
                <w:sz w:val="21"/>
                <w:szCs w:val="21"/>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486" w:hRule="atLeast"/>
          <w:jc w:val="center"/>
        </w:trPr>
        <w:tc>
          <w:tcPr>
            <w:tcW w:w="541" w:type="dxa"/>
            <w:vMerge w:val="continue"/>
            <w:noWrap w:val="0"/>
            <w:vAlign w:val="center"/>
          </w:tcPr>
          <w:p>
            <w:pPr>
              <w:spacing w:line="320" w:lineRule="exact"/>
              <w:rPr>
                <w:rFonts w:hint="eastAsia" w:ascii="仿宋_GB2312" w:hAnsi="仿宋_GB2312" w:eastAsia="仿宋_GB2312" w:cs="仿宋_GB2312"/>
                <w:sz w:val="24"/>
              </w:rPr>
            </w:pPr>
          </w:p>
        </w:tc>
        <w:tc>
          <w:tcPr>
            <w:tcW w:w="317" w:type="dxa"/>
            <w:vMerge w:val="continue"/>
            <w:noWrap w:val="0"/>
            <w:vAlign w:val="center"/>
          </w:tcPr>
          <w:p>
            <w:pPr>
              <w:autoSpaceDN w:val="0"/>
              <w:spacing w:line="320" w:lineRule="exact"/>
              <w:rPr>
                <w:rFonts w:hint="eastAsia" w:ascii="仿宋_GB2312" w:hAnsi="仿宋_GB2312" w:eastAsia="仿宋_GB2312" w:cs="仿宋_GB2312"/>
                <w:sz w:val="24"/>
              </w:rPr>
            </w:pPr>
          </w:p>
        </w:tc>
        <w:tc>
          <w:tcPr>
            <w:tcW w:w="483" w:type="dxa"/>
            <w:gridSpan w:val="2"/>
            <w:noWrap w:val="0"/>
            <w:vAlign w:val="center"/>
          </w:tcPr>
          <w:p>
            <w:pPr>
              <w:autoSpaceDN w:val="0"/>
              <w:spacing w:line="320" w:lineRule="exact"/>
              <w:jc w:val="center"/>
              <w:textAlignment w:val="center"/>
              <w:rPr>
                <w:rFonts w:hint="eastAsia" w:ascii="仿宋_GB2312" w:hAnsi="仿宋_GB2312" w:eastAsia="仿宋_GB2312" w:cs="仿宋_GB2312"/>
                <w:b/>
                <w:bCs/>
                <w:color w:val="000000"/>
                <w:spacing w:val="-6"/>
                <w:sz w:val="21"/>
                <w:szCs w:val="21"/>
              </w:rPr>
            </w:pPr>
            <w:r>
              <w:rPr>
                <w:rFonts w:hint="eastAsia" w:ascii="仿宋_GB2312" w:hAnsi="仿宋_GB2312" w:eastAsia="仿宋_GB2312" w:cs="仿宋_GB2312"/>
                <w:b/>
                <w:bCs/>
                <w:color w:val="000000"/>
                <w:spacing w:val="-6"/>
                <w:sz w:val="21"/>
                <w:szCs w:val="21"/>
                <w:lang w:eastAsia="zh-CN"/>
              </w:rPr>
              <w:t>环境</w:t>
            </w:r>
            <w:r>
              <w:rPr>
                <w:rFonts w:hint="eastAsia" w:ascii="仿宋_GB2312" w:hAnsi="仿宋_GB2312" w:eastAsia="仿宋_GB2312" w:cs="仿宋_GB2312"/>
                <w:b/>
                <w:bCs/>
                <w:color w:val="000000"/>
                <w:spacing w:val="-6"/>
                <w:sz w:val="21"/>
                <w:szCs w:val="21"/>
              </w:rPr>
              <w:t>效益</w:t>
            </w:r>
          </w:p>
        </w:tc>
        <w:tc>
          <w:tcPr>
            <w:tcW w:w="3592" w:type="dxa"/>
            <w:gridSpan w:val="9"/>
            <w:noWrap w:val="0"/>
            <w:vAlign w:val="top"/>
          </w:tcPr>
          <w:p>
            <w:pPr>
              <w:keepNext w:val="0"/>
              <w:keepLines w:val="0"/>
              <w:pageBreakBefore w:val="0"/>
              <w:widowControl w:val="0"/>
              <w:kinsoku/>
              <w:wordWrap/>
              <w:overflowPunct/>
              <w:topLinePunct w:val="0"/>
              <w:autoSpaceDE/>
              <w:autoSpaceDN w:val="0"/>
              <w:bidi w:val="0"/>
              <w:adjustRightInd/>
              <w:snapToGrid/>
              <w:spacing w:line="280" w:lineRule="exact"/>
              <w:jc w:val="both"/>
              <w:textAlignment w:val="center"/>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（一）加快生态修复治理</w:t>
            </w:r>
          </w:p>
          <w:p>
            <w:pPr>
              <w:keepNext w:val="0"/>
              <w:keepLines w:val="0"/>
              <w:pageBreakBefore w:val="0"/>
              <w:widowControl w:val="0"/>
              <w:kinsoku/>
              <w:wordWrap/>
              <w:overflowPunct/>
              <w:topLinePunct w:val="0"/>
              <w:autoSpaceDE/>
              <w:autoSpaceDN w:val="0"/>
              <w:bidi w:val="0"/>
              <w:adjustRightInd/>
              <w:snapToGrid/>
              <w:spacing w:line="280" w:lineRule="exact"/>
              <w:jc w:val="both"/>
              <w:textAlignment w:val="center"/>
              <w:rPr>
                <w:rFonts w:hint="eastAsia" w:ascii="仿宋_GB2312" w:hAnsi="仿宋_GB2312" w:eastAsia="仿宋_GB2312" w:cs="仿宋_GB2312"/>
                <w:b w:val="0"/>
                <w:bCs w:val="0"/>
                <w:color w:val="000000"/>
                <w:sz w:val="21"/>
                <w:szCs w:val="21"/>
                <w:lang w:val="en-US" w:eastAsia="zh-CN"/>
              </w:rPr>
            </w:pPr>
          </w:p>
          <w:p>
            <w:pPr>
              <w:keepNext w:val="0"/>
              <w:keepLines w:val="0"/>
              <w:pageBreakBefore w:val="0"/>
              <w:widowControl w:val="0"/>
              <w:kinsoku/>
              <w:wordWrap/>
              <w:overflowPunct/>
              <w:topLinePunct w:val="0"/>
              <w:autoSpaceDE/>
              <w:autoSpaceDN w:val="0"/>
              <w:bidi w:val="0"/>
              <w:adjustRightInd/>
              <w:snapToGrid/>
              <w:spacing w:line="280" w:lineRule="exact"/>
              <w:jc w:val="both"/>
              <w:textAlignment w:val="center"/>
              <w:rPr>
                <w:rFonts w:hint="eastAsia" w:ascii="仿宋_GB2312" w:hAnsi="仿宋_GB2312" w:eastAsia="仿宋_GB2312" w:cs="仿宋_GB2312"/>
                <w:b w:val="0"/>
                <w:bCs w:val="0"/>
                <w:color w:val="000000"/>
                <w:sz w:val="21"/>
                <w:szCs w:val="21"/>
                <w:lang w:val="en-US" w:eastAsia="zh-CN"/>
              </w:rPr>
            </w:pPr>
          </w:p>
          <w:p>
            <w:pPr>
              <w:keepNext w:val="0"/>
              <w:keepLines w:val="0"/>
              <w:pageBreakBefore w:val="0"/>
              <w:widowControl w:val="0"/>
              <w:kinsoku/>
              <w:wordWrap/>
              <w:overflowPunct/>
              <w:topLinePunct w:val="0"/>
              <w:autoSpaceDE/>
              <w:autoSpaceDN w:val="0"/>
              <w:bidi w:val="0"/>
              <w:adjustRightInd/>
              <w:snapToGrid/>
              <w:spacing w:line="280" w:lineRule="exact"/>
              <w:jc w:val="both"/>
              <w:textAlignment w:val="center"/>
              <w:rPr>
                <w:rFonts w:hint="eastAsia"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（二）加快绿色矿山建设。</w:t>
            </w:r>
          </w:p>
          <w:p>
            <w:pPr>
              <w:keepNext w:val="0"/>
              <w:keepLines w:val="0"/>
              <w:pageBreakBefore w:val="0"/>
              <w:widowControl w:val="0"/>
              <w:kinsoku/>
              <w:wordWrap/>
              <w:overflowPunct/>
              <w:topLinePunct w:val="0"/>
              <w:autoSpaceDE/>
              <w:autoSpaceDN w:val="0"/>
              <w:bidi w:val="0"/>
              <w:adjustRightInd/>
              <w:snapToGrid/>
              <w:spacing w:line="280" w:lineRule="exact"/>
              <w:jc w:val="both"/>
              <w:textAlignment w:val="center"/>
              <w:rPr>
                <w:rFonts w:hint="eastAsia" w:ascii="仿宋_GB2312" w:hAnsi="仿宋_GB2312" w:eastAsia="仿宋_GB2312" w:cs="仿宋_GB2312"/>
                <w:b w:val="0"/>
                <w:bCs w:val="0"/>
                <w:color w:val="000000"/>
                <w:sz w:val="21"/>
                <w:szCs w:val="21"/>
                <w:lang w:val="en-US" w:eastAsia="zh-CN"/>
              </w:rPr>
            </w:pPr>
          </w:p>
          <w:p>
            <w:pPr>
              <w:keepNext w:val="0"/>
              <w:keepLines w:val="0"/>
              <w:pageBreakBefore w:val="0"/>
              <w:widowControl w:val="0"/>
              <w:kinsoku/>
              <w:wordWrap/>
              <w:overflowPunct/>
              <w:topLinePunct w:val="0"/>
              <w:autoSpaceDE/>
              <w:autoSpaceDN w:val="0"/>
              <w:bidi w:val="0"/>
              <w:adjustRightInd/>
              <w:snapToGrid/>
              <w:spacing w:line="280" w:lineRule="exact"/>
              <w:jc w:val="both"/>
              <w:textAlignment w:val="center"/>
              <w:rPr>
                <w:rFonts w:hint="eastAsia" w:ascii="仿宋_GB2312" w:hAnsi="仿宋_GB2312" w:eastAsia="仿宋_GB2312" w:cs="仿宋_GB2312"/>
                <w:b w:val="0"/>
                <w:bCs w:val="0"/>
                <w:color w:val="000000"/>
                <w:sz w:val="21"/>
                <w:szCs w:val="21"/>
                <w:lang w:val="en-US" w:eastAsia="zh-CN"/>
              </w:rPr>
            </w:pPr>
          </w:p>
          <w:p>
            <w:pPr>
              <w:keepNext w:val="0"/>
              <w:keepLines w:val="0"/>
              <w:pageBreakBefore w:val="0"/>
              <w:widowControl w:val="0"/>
              <w:kinsoku/>
              <w:wordWrap/>
              <w:overflowPunct/>
              <w:topLinePunct w:val="0"/>
              <w:autoSpaceDE/>
              <w:autoSpaceDN w:val="0"/>
              <w:bidi w:val="0"/>
              <w:adjustRightInd/>
              <w:snapToGrid/>
              <w:spacing w:line="280" w:lineRule="exact"/>
              <w:jc w:val="both"/>
              <w:textAlignment w:val="center"/>
              <w:rPr>
                <w:rFonts w:hint="eastAsia" w:ascii="仿宋_GB2312" w:hAnsi="仿宋_GB2312" w:eastAsia="仿宋_GB2312" w:cs="仿宋_GB2312"/>
                <w:b w:val="0"/>
                <w:bCs w:val="0"/>
                <w:color w:val="000000"/>
                <w:sz w:val="21"/>
                <w:szCs w:val="21"/>
                <w:lang w:val="en-US" w:eastAsia="zh-CN"/>
              </w:rPr>
            </w:pPr>
          </w:p>
          <w:p>
            <w:pPr>
              <w:keepNext w:val="0"/>
              <w:keepLines w:val="0"/>
              <w:pageBreakBefore w:val="0"/>
              <w:widowControl w:val="0"/>
              <w:kinsoku/>
              <w:wordWrap/>
              <w:overflowPunct/>
              <w:topLinePunct w:val="0"/>
              <w:autoSpaceDE/>
              <w:autoSpaceDN w:val="0"/>
              <w:bidi w:val="0"/>
              <w:adjustRightInd/>
              <w:snapToGrid/>
              <w:spacing w:line="280" w:lineRule="exact"/>
              <w:jc w:val="both"/>
              <w:textAlignment w:val="center"/>
              <w:rPr>
                <w:rFonts w:hint="eastAsia" w:ascii="仿宋_GB2312" w:hAnsi="仿宋_GB2312" w:eastAsia="仿宋_GB2312" w:cs="仿宋_GB2312"/>
                <w:b w:val="0"/>
                <w:bCs w:val="0"/>
                <w:color w:val="000000"/>
                <w:sz w:val="21"/>
                <w:szCs w:val="21"/>
                <w:lang w:val="en-US" w:eastAsia="zh-CN"/>
              </w:rPr>
            </w:pPr>
          </w:p>
          <w:p>
            <w:pPr>
              <w:keepNext w:val="0"/>
              <w:keepLines w:val="0"/>
              <w:pageBreakBefore w:val="0"/>
              <w:widowControl w:val="0"/>
              <w:kinsoku/>
              <w:wordWrap/>
              <w:overflowPunct/>
              <w:topLinePunct w:val="0"/>
              <w:autoSpaceDE/>
              <w:autoSpaceDN w:val="0"/>
              <w:bidi w:val="0"/>
              <w:adjustRightInd/>
              <w:snapToGrid/>
              <w:spacing w:line="280" w:lineRule="exact"/>
              <w:jc w:val="both"/>
              <w:textAlignment w:val="center"/>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（三）有效防止和减少水土流失，增强防洪抗灾能力。</w:t>
            </w:r>
          </w:p>
          <w:p>
            <w:pPr>
              <w:keepNext w:val="0"/>
              <w:keepLines w:val="0"/>
              <w:pageBreakBefore w:val="0"/>
              <w:widowControl w:val="0"/>
              <w:kinsoku/>
              <w:wordWrap/>
              <w:overflowPunct/>
              <w:topLinePunct w:val="0"/>
              <w:autoSpaceDE/>
              <w:autoSpaceDN w:val="0"/>
              <w:bidi w:val="0"/>
              <w:adjustRightInd/>
              <w:snapToGrid/>
              <w:spacing w:line="280" w:lineRule="exact"/>
              <w:jc w:val="both"/>
              <w:textAlignment w:val="center"/>
              <w:rPr>
                <w:rFonts w:hint="eastAsia" w:ascii="仿宋_GB2312" w:hAnsi="仿宋_GB2312" w:eastAsia="仿宋_GB2312" w:cs="仿宋_GB2312"/>
                <w:b w:val="0"/>
                <w:bCs w:val="0"/>
                <w:color w:val="000000"/>
                <w:sz w:val="21"/>
                <w:szCs w:val="21"/>
                <w:lang w:val="en-US" w:eastAsia="zh-CN"/>
              </w:rPr>
            </w:pPr>
          </w:p>
        </w:tc>
        <w:tc>
          <w:tcPr>
            <w:tcW w:w="5041" w:type="dxa"/>
            <w:gridSpan w:val="13"/>
            <w:noWrap w:val="0"/>
            <w:vAlign w:val="top"/>
          </w:tcPr>
          <w:p>
            <w:pPr>
              <w:keepNext w:val="0"/>
              <w:keepLines w:val="0"/>
              <w:pageBreakBefore w:val="0"/>
              <w:widowControl w:val="0"/>
              <w:kinsoku/>
              <w:wordWrap/>
              <w:overflowPunct/>
              <w:topLinePunct w:val="0"/>
              <w:autoSpaceDE/>
              <w:autoSpaceDN w:val="0"/>
              <w:bidi w:val="0"/>
              <w:adjustRightInd/>
              <w:snapToGrid/>
              <w:spacing w:line="280" w:lineRule="exact"/>
              <w:jc w:val="both"/>
              <w:textAlignment w:val="center"/>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（一）开展历史遗留矿山图斑核查，上报确认未修复历史遗留矿山683公顷，计划十四五期间修复约546公顷，拟实现修复率80%。通过生态修复治理、增加绿化面积。</w:t>
            </w:r>
          </w:p>
          <w:p>
            <w:pPr>
              <w:keepNext w:val="0"/>
              <w:keepLines w:val="0"/>
              <w:pageBreakBefore w:val="0"/>
              <w:widowControl w:val="0"/>
              <w:kinsoku/>
              <w:wordWrap/>
              <w:overflowPunct/>
              <w:topLinePunct w:val="0"/>
              <w:autoSpaceDE/>
              <w:autoSpaceDN w:val="0"/>
              <w:bidi w:val="0"/>
              <w:adjustRightInd/>
              <w:snapToGrid/>
              <w:spacing w:line="280" w:lineRule="exact"/>
              <w:jc w:val="both"/>
              <w:textAlignment w:val="center"/>
              <w:rPr>
                <w:rFonts w:hint="eastAsia" w:ascii="仿宋_GB2312" w:hAnsi="仿宋_GB2312" w:eastAsia="仿宋_GB2312" w:cs="仿宋_GB2312"/>
                <w:b w:val="0"/>
                <w:bCs w:val="0"/>
                <w:color w:val="000000"/>
                <w:sz w:val="21"/>
                <w:szCs w:val="21"/>
                <w:lang w:val="en-US" w:eastAsia="zh-CN"/>
              </w:rPr>
            </w:pPr>
            <w:r>
              <w:rPr>
                <w:rFonts w:hint="eastAsia" w:ascii="仿宋_GB2312" w:eastAsia="仿宋_GB2312"/>
                <w:sz w:val="28"/>
                <w:szCs w:val="28"/>
                <w:lang w:val="en-US" w:eastAsia="zh-CN"/>
              </w:rPr>
              <w:t>（</w:t>
            </w:r>
            <w:r>
              <w:rPr>
                <w:rFonts w:hint="eastAsia" w:ascii="仿宋_GB2312" w:hAnsi="仿宋_GB2312" w:eastAsia="仿宋_GB2312" w:cs="仿宋_GB2312"/>
                <w:b w:val="0"/>
                <w:bCs w:val="0"/>
                <w:color w:val="000000"/>
                <w:sz w:val="21"/>
                <w:szCs w:val="21"/>
                <w:lang w:val="en-US" w:eastAsia="zh-CN"/>
              </w:rPr>
              <w:t>二）推进砂石土矿专项整治，完成了砂石土采矿权关闭目标，全市砂石土采矿权规划数64个，现保有42个；绿色矿山建设卓有成效，</w:t>
            </w:r>
            <w:bookmarkStart w:id="0" w:name="_GoBack"/>
            <w:bookmarkEnd w:id="0"/>
            <w:r>
              <w:rPr>
                <w:rFonts w:hint="eastAsia" w:ascii="仿宋_GB2312" w:hAnsi="仿宋_GB2312" w:eastAsia="仿宋_GB2312" w:cs="仿宋_GB2312"/>
                <w:b w:val="0"/>
                <w:bCs w:val="0"/>
                <w:color w:val="000000"/>
                <w:sz w:val="21"/>
                <w:szCs w:val="21"/>
                <w:lang w:val="en-US" w:eastAsia="zh-CN"/>
              </w:rPr>
              <w:t>全市已建成14个绿色矿山，其中国家级4个，省级10个。</w:t>
            </w:r>
          </w:p>
          <w:p>
            <w:pPr>
              <w:keepNext w:val="0"/>
              <w:keepLines w:val="0"/>
              <w:pageBreakBefore w:val="0"/>
              <w:widowControl w:val="0"/>
              <w:kinsoku/>
              <w:wordWrap/>
              <w:overflowPunct/>
              <w:topLinePunct w:val="0"/>
              <w:autoSpaceDE/>
              <w:autoSpaceDN w:val="0"/>
              <w:bidi w:val="0"/>
              <w:adjustRightInd/>
              <w:snapToGrid/>
              <w:spacing w:line="280" w:lineRule="exact"/>
              <w:jc w:val="both"/>
              <w:textAlignment w:val="center"/>
              <w:rPr>
                <w:rFonts w:hint="eastAsia" w:ascii="仿宋_GB2312" w:hAnsi="仿宋_GB2312" w:eastAsia="仿宋_GB2312" w:cs="仿宋_GB2312"/>
                <w:b w:val="0"/>
                <w:bCs w:val="0"/>
                <w:color w:val="000000"/>
                <w:sz w:val="21"/>
                <w:szCs w:val="21"/>
                <w:lang w:val="en-US" w:eastAsia="zh-CN"/>
              </w:rPr>
            </w:pPr>
          </w:p>
          <w:p>
            <w:pPr>
              <w:keepNext w:val="0"/>
              <w:keepLines w:val="0"/>
              <w:pageBreakBefore w:val="0"/>
              <w:widowControl w:val="0"/>
              <w:kinsoku/>
              <w:wordWrap/>
              <w:overflowPunct/>
              <w:topLinePunct w:val="0"/>
              <w:autoSpaceDE/>
              <w:autoSpaceDN w:val="0"/>
              <w:bidi w:val="0"/>
              <w:adjustRightInd/>
              <w:snapToGrid/>
              <w:spacing w:line="280" w:lineRule="exact"/>
              <w:jc w:val="both"/>
              <w:textAlignment w:val="center"/>
              <w:rPr>
                <w:rFonts w:hint="default" w:ascii="仿宋_GB2312" w:hAnsi="仿宋_GB2312" w:eastAsia="仿宋_GB2312" w:cs="仿宋_GB2312"/>
                <w:b w:val="0"/>
                <w:bCs w:val="0"/>
                <w:color w:val="000000"/>
                <w:sz w:val="21"/>
                <w:szCs w:val="21"/>
                <w:lang w:val="en-US" w:eastAsia="zh-CN"/>
              </w:rPr>
            </w:pPr>
            <w:r>
              <w:rPr>
                <w:rFonts w:hint="eastAsia" w:ascii="仿宋_GB2312" w:hAnsi="仿宋_GB2312" w:eastAsia="仿宋_GB2312" w:cs="仿宋_GB2312"/>
                <w:b w:val="0"/>
                <w:bCs w:val="0"/>
                <w:color w:val="000000"/>
                <w:sz w:val="21"/>
                <w:szCs w:val="21"/>
                <w:lang w:val="en-US" w:eastAsia="zh-CN"/>
              </w:rPr>
              <w:t>（三）通过土地综合整治，改变预计项目区道路泥泞现状，疏通排水沟、改善排灌不畅，提高抵抗自然灾害能力，实现农村田园化生态景观。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06" w:hRule="atLeast"/>
          <w:jc w:val="center"/>
        </w:trPr>
        <w:tc>
          <w:tcPr>
            <w:tcW w:w="541" w:type="dxa"/>
            <w:vMerge w:val="continue"/>
            <w:noWrap w:val="0"/>
            <w:vAlign w:val="center"/>
          </w:tcPr>
          <w:p>
            <w:pPr>
              <w:spacing w:line="320" w:lineRule="exact"/>
              <w:rPr>
                <w:rFonts w:hint="eastAsia" w:ascii="仿宋_GB2312" w:hAnsi="仿宋_GB2312" w:eastAsia="仿宋_GB2312" w:cs="仿宋_GB2312"/>
                <w:sz w:val="24"/>
              </w:rPr>
            </w:pPr>
          </w:p>
        </w:tc>
        <w:tc>
          <w:tcPr>
            <w:tcW w:w="317" w:type="dxa"/>
            <w:vMerge w:val="continue"/>
            <w:noWrap w:val="0"/>
            <w:vAlign w:val="center"/>
          </w:tcPr>
          <w:p>
            <w:pPr>
              <w:autoSpaceDN w:val="0"/>
              <w:spacing w:line="320" w:lineRule="exact"/>
              <w:rPr>
                <w:rFonts w:hint="eastAsia" w:ascii="仿宋_GB2312" w:hAnsi="仿宋_GB2312" w:eastAsia="仿宋_GB2312" w:cs="仿宋_GB2312"/>
                <w:sz w:val="24"/>
              </w:rPr>
            </w:pPr>
          </w:p>
        </w:tc>
        <w:tc>
          <w:tcPr>
            <w:tcW w:w="483" w:type="dxa"/>
            <w:gridSpan w:val="2"/>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center"/>
              <w:textAlignment w:val="center"/>
              <w:rPr>
                <w:rFonts w:hint="eastAsia" w:ascii="仿宋_GB2312" w:hAnsi="仿宋_GB2312" w:eastAsia="仿宋_GB2312" w:cs="仿宋_GB2312"/>
                <w:color w:val="000000"/>
                <w:spacing w:val="-6"/>
                <w:sz w:val="20"/>
                <w:szCs w:val="20"/>
              </w:rPr>
            </w:pPr>
            <w:r>
              <w:rPr>
                <w:rFonts w:hint="eastAsia" w:ascii="仿宋_GB2312" w:hAnsi="仿宋_GB2312" w:eastAsia="仿宋_GB2312" w:cs="仿宋_GB2312"/>
                <w:b/>
                <w:bCs/>
                <w:color w:val="000000"/>
                <w:spacing w:val="-6"/>
                <w:sz w:val="20"/>
                <w:szCs w:val="20"/>
              </w:rPr>
              <w:t>社会公众或服务对象满意度</w:t>
            </w:r>
          </w:p>
        </w:tc>
        <w:tc>
          <w:tcPr>
            <w:tcW w:w="3592" w:type="dxa"/>
            <w:gridSpan w:val="9"/>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0"/>
                <w:szCs w:val="20"/>
                <w:lang w:val="en-US" w:eastAsia="zh-CN"/>
              </w:rPr>
            </w:pPr>
            <w:r>
              <w:rPr>
                <w:rFonts w:hint="eastAsia" w:ascii="宋体" w:hAnsi="宋体" w:cs="宋体"/>
                <w:b w:val="0"/>
                <w:bCs w:val="0"/>
                <w:color w:val="auto"/>
                <w:spacing w:val="-6"/>
                <w:sz w:val="16"/>
                <w:szCs w:val="16"/>
                <w:highlight w:val="none"/>
                <w:lang w:val="en-US" w:eastAsia="zh-CN"/>
              </w:rPr>
              <w:t>议</w:t>
            </w:r>
            <w:r>
              <w:rPr>
                <w:rFonts w:hint="eastAsia" w:ascii="仿宋_GB2312" w:hAnsi="仿宋_GB2312" w:eastAsia="仿宋_GB2312" w:cs="仿宋_GB2312"/>
                <w:b w:val="0"/>
                <w:bCs w:val="0"/>
                <w:color w:val="000000"/>
                <w:sz w:val="20"/>
                <w:szCs w:val="20"/>
                <w:lang w:val="en-US" w:eastAsia="zh-CN"/>
              </w:rPr>
              <w:t>案回复满意率95%以上</w:t>
            </w:r>
          </w:p>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宋体" w:hAnsi="宋体" w:eastAsia="宋体" w:cs="宋体"/>
                <w:b w:val="0"/>
                <w:bCs w:val="0"/>
                <w:color w:val="auto"/>
                <w:spacing w:val="-6"/>
                <w:sz w:val="16"/>
                <w:szCs w:val="16"/>
                <w:highlight w:val="none"/>
                <w:lang w:val="en-US" w:eastAsia="zh-CN"/>
              </w:rPr>
            </w:pPr>
            <w:r>
              <w:rPr>
                <w:rFonts w:hint="eastAsia" w:ascii="仿宋_GB2312" w:hAnsi="仿宋_GB2312" w:eastAsia="仿宋_GB2312" w:cs="仿宋_GB2312"/>
                <w:b w:val="0"/>
                <w:bCs w:val="0"/>
                <w:color w:val="000000"/>
                <w:sz w:val="20"/>
                <w:szCs w:val="20"/>
                <w:lang w:val="en-US" w:eastAsia="zh-CN"/>
              </w:rPr>
              <w:t>信访办结回复满意率90%以上</w:t>
            </w:r>
          </w:p>
        </w:tc>
        <w:tc>
          <w:tcPr>
            <w:tcW w:w="5041" w:type="dxa"/>
            <w:gridSpan w:val="13"/>
            <w:noWrap w:val="0"/>
            <w:vAlign w:val="center"/>
          </w:tcPr>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eastAsia" w:ascii="仿宋_GB2312" w:hAnsi="仿宋_GB2312" w:eastAsia="仿宋_GB2312" w:cs="仿宋_GB2312"/>
                <w:b w:val="0"/>
                <w:bCs w:val="0"/>
                <w:color w:val="000000"/>
                <w:sz w:val="20"/>
                <w:szCs w:val="20"/>
                <w:lang w:val="en-US" w:eastAsia="zh-CN"/>
              </w:rPr>
            </w:pPr>
            <w:r>
              <w:rPr>
                <w:rFonts w:hint="eastAsia" w:ascii="宋体" w:hAnsi="宋体" w:cs="宋体"/>
                <w:b w:val="0"/>
                <w:bCs w:val="0"/>
                <w:color w:val="auto"/>
                <w:spacing w:val="-6"/>
                <w:sz w:val="16"/>
                <w:szCs w:val="16"/>
                <w:highlight w:val="none"/>
                <w:lang w:val="en-US" w:eastAsia="zh-CN"/>
              </w:rPr>
              <w:t>议</w:t>
            </w:r>
            <w:r>
              <w:rPr>
                <w:rFonts w:hint="eastAsia" w:ascii="仿宋_GB2312" w:hAnsi="仿宋_GB2312" w:eastAsia="仿宋_GB2312" w:cs="仿宋_GB2312"/>
                <w:b w:val="0"/>
                <w:bCs w:val="0"/>
                <w:color w:val="000000"/>
                <w:sz w:val="20"/>
                <w:szCs w:val="20"/>
                <w:lang w:val="en-US" w:eastAsia="zh-CN"/>
              </w:rPr>
              <w:t>案回复满意率达95%以上</w:t>
            </w:r>
          </w:p>
          <w:p>
            <w:pPr>
              <w:keepNext w:val="0"/>
              <w:keepLines w:val="0"/>
              <w:pageBreakBefore w:val="0"/>
              <w:widowControl w:val="0"/>
              <w:kinsoku/>
              <w:wordWrap/>
              <w:overflowPunct/>
              <w:topLinePunct w:val="0"/>
              <w:autoSpaceDE/>
              <w:autoSpaceDN w:val="0"/>
              <w:bidi w:val="0"/>
              <w:adjustRightInd/>
              <w:snapToGrid/>
              <w:spacing w:line="280" w:lineRule="exact"/>
              <w:jc w:val="left"/>
              <w:textAlignment w:val="center"/>
              <w:rPr>
                <w:rFonts w:hint="default" w:ascii="宋体" w:hAnsi="宋体" w:eastAsia="宋体" w:cs="宋体"/>
                <w:b w:val="0"/>
                <w:bCs w:val="0"/>
                <w:color w:val="auto"/>
                <w:spacing w:val="-6"/>
                <w:sz w:val="16"/>
                <w:szCs w:val="16"/>
                <w:highlight w:val="none"/>
                <w:lang w:val="en-US" w:eastAsia="zh-CN"/>
              </w:rPr>
            </w:pPr>
            <w:r>
              <w:rPr>
                <w:rFonts w:hint="eastAsia" w:ascii="仿宋_GB2312" w:hAnsi="仿宋_GB2312" w:eastAsia="仿宋_GB2312" w:cs="仿宋_GB2312"/>
                <w:b w:val="0"/>
                <w:bCs w:val="0"/>
                <w:color w:val="000000"/>
                <w:sz w:val="20"/>
                <w:szCs w:val="20"/>
                <w:lang w:val="en-US" w:eastAsia="zh-CN"/>
              </w:rPr>
              <w:t>信访办结回复满意率达90%以上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1213" w:hRule="atLeast"/>
          <w:jc w:val="center"/>
        </w:trPr>
        <w:tc>
          <w:tcPr>
            <w:tcW w:w="541" w:type="dxa"/>
            <w:noWrap w:val="0"/>
            <w:vAlign w:val="center"/>
          </w:tcPr>
          <w:p>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绩效自评</w:t>
            </w:r>
          </w:p>
          <w:p>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综合得分</w:t>
            </w:r>
          </w:p>
        </w:tc>
        <w:tc>
          <w:tcPr>
            <w:tcW w:w="9256" w:type="dxa"/>
            <w:gridSpan w:val="24"/>
            <w:noWrap w:val="0"/>
            <w:vAlign w:val="center"/>
          </w:tcPr>
          <w:p>
            <w:pPr>
              <w:autoSpaceDN w:val="0"/>
              <w:spacing w:line="400" w:lineRule="exact"/>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highlight w:val="none"/>
                <w:lang w:val="en-US" w:eastAsia="zh-CN"/>
              </w:rPr>
              <w:t>94分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1211" w:hRule="atLeast"/>
          <w:jc w:val="center"/>
        </w:trPr>
        <w:tc>
          <w:tcPr>
            <w:tcW w:w="541" w:type="dxa"/>
            <w:noWrap w:val="0"/>
            <w:vAlign w:val="center"/>
          </w:tcPr>
          <w:p>
            <w:pPr>
              <w:autoSpaceDN w:val="0"/>
              <w:spacing w:line="320" w:lineRule="exact"/>
              <w:jc w:val="center"/>
              <w:textAlignment w:val="center"/>
              <w:rPr>
                <w:rFonts w:hint="eastAsia" w:ascii="仿宋_GB2312" w:hAnsi="仿宋_GB2312" w:eastAsia="仿宋_GB2312" w:cs="仿宋_GB2312"/>
                <w:b/>
                <w:bCs/>
                <w:color w:val="000000"/>
                <w:sz w:val="21"/>
                <w:szCs w:val="21"/>
              </w:rPr>
            </w:pPr>
            <w:r>
              <w:rPr>
                <w:rFonts w:hint="eastAsia" w:ascii="仿宋_GB2312" w:hAnsi="仿宋_GB2312" w:eastAsia="仿宋_GB2312" w:cs="仿宋_GB2312"/>
                <w:b/>
                <w:bCs/>
                <w:color w:val="000000"/>
                <w:sz w:val="21"/>
                <w:szCs w:val="21"/>
              </w:rPr>
              <w:t>评价等次</w:t>
            </w:r>
          </w:p>
        </w:tc>
        <w:tc>
          <w:tcPr>
            <w:tcW w:w="9256" w:type="dxa"/>
            <w:gridSpan w:val="24"/>
            <w:noWrap w:val="0"/>
            <w:vAlign w:val="center"/>
          </w:tcPr>
          <w:p>
            <w:pPr>
              <w:autoSpaceDN w:val="0"/>
              <w:spacing w:line="400" w:lineRule="exact"/>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highlight w:val="none"/>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643" w:hRule="atLeast"/>
          <w:jc w:val="center"/>
        </w:trPr>
        <w:tc>
          <w:tcPr>
            <w:tcW w:w="9797" w:type="dxa"/>
            <w:gridSpan w:val="2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w:t>
            </w:r>
            <w:r>
              <w:rPr>
                <w:rFonts w:hint="eastAsia" w:ascii="黑体" w:hAnsi="黑体" w:eastAsia="黑体" w:cs="黑体"/>
                <w:color w:val="000000"/>
                <w:sz w:val="28"/>
                <w:szCs w:val="28"/>
                <w:highlight w:val="none"/>
              </w:rPr>
              <w:t>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585" w:hRule="atLeast"/>
          <w:jc w:val="center"/>
        </w:trPr>
        <w:tc>
          <w:tcPr>
            <w:tcW w:w="541"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姓  名</w:t>
            </w:r>
          </w:p>
        </w:tc>
        <w:tc>
          <w:tcPr>
            <w:tcW w:w="8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职务/职称</w:t>
            </w:r>
          </w:p>
        </w:tc>
        <w:tc>
          <w:tcPr>
            <w:tcW w:w="6430" w:type="dxa"/>
            <w:gridSpan w:val="18"/>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单  位</w:t>
            </w:r>
          </w:p>
        </w:tc>
        <w:tc>
          <w:tcPr>
            <w:tcW w:w="2026"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707" w:hRule="atLeast"/>
          <w:jc w:val="center"/>
        </w:trPr>
        <w:tc>
          <w:tcPr>
            <w:tcW w:w="541" w:type="dxa"/>
            <w:noWrap w:val="0"/>
            <w:vAlign w:val="center"/>
          </w:tcPr>
          <w:p>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张煌</w:t>
            </w:r>
          </w:p>
        </w:tc>
        <w:tc>
          <w:tcPr>
            <w:tcW w:w="800"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副支队长</w:t>
            </w:r>
          </w:p>
        </w:tc>
        <w:tc>
          <w:tcPr>
            <w:tcW w:w="6430" w:type="dxa"/>
            <w:gridSpan w:val="18"/>
            <w:noWrap w:val="0"/>
            <w:vAlign w:val="center"/>
          </w:tcPr>
          <w:p>
            <w:pPr>
              <w:autoSpaceDN w:val="0"/>
              <w:spacing w:line="400" w:lineRule="exact"/>
              <w:jc w:val="center"/>
              <w:textAlignment w:val="center"/>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rPr>
              <w:t>岳阳市</w:t>
            </w:r>
            <w:r>
              <w:rPr>
                <w:rFonts w:hint="eastAsia" w:ascii="仿宋_GB2312" w:hAnsi="仿宋_GB2312" w:eastAsia="仿宋_GB2312" w:cs="仿宋_GB2312"/>
                <w:b w:val="0"/>
                <w:bCs w:val="0"/>
                <w:color w:val="auto"/>
                <w:sz w:val="21"/>
                <w:szCs w:val="21"/>
                <w:lang w:val="en-US" w:eastAsia="zh-CN"/>
              </w:rPr>
              <w:t>自然资源和规划</w:t>
            </w:r>
            <w:r>
              <w:rPr>
                <w:rFonts w:hint="eastAsia" w:ascii="仿宋_GB2312" w:hAnsi="仿宋_GB2312" w:eastAsia="仿宋_GB2312" w:cs="仿宋_GB2312"/>
                <w:b w:val="0"/>
                <w:bCs w:val="0"/>
                <w:color w:val="auto"/>
                <w:sz w:val="21"/>
                <w:szCs w:val="21"/>
              </w:rPr>
              <w:t>局</w:t>
            </w:r>
            <w:r>
              <w:rPr>
                <w:rFonts w:hint="eastAsia" w:ascii="仿宋_GB2312" w:hAnsi="仿宋_GB2312" w:eastAsia="仿宋_GB2312" w:cs="仿宋_GB2312"/>
                <w:b w:val="0"/>
                <w:bCs w:val="0"/>
                <w:color w:val="auto"/>
                <w:sz w:val="21"/>
                <w:szCs w:val="21"/>
                <w:lang w:val="en-US" w:eastAsia="zh-CN"/>
              </w:rPr>
              <w:t>执法支队</w:t>
            </w:r>
          </w:p>
        </w:tc>
        <w:tc>
          <w:tcPr>
            <w:tcW w:w="2026" w:type="dxa"/>
            <w:gridSpan w:val="3"/>
            <w:noWrap w:val="0"/>
            <w:vAlign w:val="center"/>
          </w:tcPr>
          <w:p>
            <w:pPr>
              <w:autoSpaceDN w:val="0"/>
              <w:spacing w:line="320" w:lineRule="exact"/>
              <w:jc w:val="center"/>
              <w:textAlignment w:val="center"/>
              <w:rPr>
                <w:rFonts w:hint="eastAsia" w:ascii="仿宋_GB2312" w:hAnsi="仿宋_GB2312" w:eastAsia="仿宋_GB2312" w:cs="仿宋_GB2312"/>
                <w:b w:val="0"/>
                <w:bCs w:val="0"/>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689" w:hRule="atLeast"/>
          <w:jc w:val="center"/>
        </w:trPr>
        <w:tc>
          <w:tcPr>
            <w:tcW w:w="541" w:type="dxa"/>
            <w:noWrap w:val="0"/>
            <w:vAlign w:val="center"/>
          </w:tcPr>
          <w:p>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黄利平</w:t>
            </w:r>
          </w:p>
        </w:tc>
        <w:tc>
          <w:tcPr>
            <w:tcW w:w="800"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副科长</w:t>
            </w:r>
          </w:p>
        </w:tc>
        <w:tc>
          <w:tcPr>
            <w:tcW w:w="6430" w:type="dxa"/>
            <w:gridSpan w:val="18"/>
            <w:noWrap w:val="0"/>
            <w:vAlign w:val="center"/>
          </w:tcPr>
          <w:p>
            <w:pPr>
              <w:autoSpaceDN w:val="0"/>
              <w:spacing w:line="400" w:lineRule="exact"/>
              <w:jc w:val="center"/>
              <w:textAlignment w:val="center"/>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rPr>
              <w:t>岳阳市</w:t>
            </w:r>
            <w:r>
              <w:rPr>
                <w:rFonts w:hint="eastAsia" w:ascii="仿宋_GB2312" w:hAnsi="仿宋_GB2312" w:eastAsia="仿宋_GB2312" w:cs="仿宋_GB2312"/>
                <w:b w:val="0"/>
                <w:bCs w:val="0"/>
                <w:color w:val="auto"/>
                <w:sz w:val="21"/>
                <w:szCs w:val="21"/>
                <w:lang w:val="en-US" w:eastAsia="zh-CN"/>
              </w:rPr>
              <w:t>自然资源和规划</w:t>
            </w:r>
            <w:r>
              <w:rPr>
                <w:rFonts w:hint="eastAsia" w:ascii="仿宋_GB2312" w:hAnsi="仿宋_GB2312" w:eastAsia="仿宋_GB2312" w:cs="仿宋_GB2312"/>
                <w:b w:val="0"/>
                <w:bCs w:val="0"/>
                <w:color w:val="auto"/>
                <w:sz w:val="21"/>
                <w:szCs w:val="21"/>
              </w:rPr>
              <w:t>局</w:t>
            </w:r>
            <w:r>
              <w:rPr>
                <w:rFonts w:hint="eastAsia" w:ascii="仿宋_GB2312" w:hAnsi="仿宋_GB2312" w:eastAsia="仿宋_GB2312" w:cs="仿宋_GB2312"/>
                <w:b w:val="0"/>
                <w:bCs w:val="0"/>
                <w:color w:val="auto"/>
                <w:sz w:val="21"/>
                <w:szCs w:val="21"/>
                <w:lang w:val="en-US" w:eastAsia="zh-CN"/>
              </w:rPr>
              <w:t>耕保科</w:t>
            </w:r>
          </w:p>
        </w:tc>
        <w:tc>
          <w:tcPr>
            <w:tcW w:w="2026" w:type="dxa"/>
            <w:gridSpan w:val="3"/>
            <w:noWrap w:val="0"/>
            <w:vAlign w:val="center"/>
          </w:tcPr>
          <w:p>
            <w:pPr>
              <w:autoSpaceDN w:val="0"/>
              <w:spacing w:line="320" w:lineRule="exact"/>
              <w:jc w:val="center"/>
              <w:textAlignment w:val="center"/>
              <w:rPr>
                <w:rFonts w:hint="eastAsia" w:ascii="仿宋_GB2312" w:hAnsi="仿宋_GB2312" w:eastAsia="仿宋_GB2312" w:cs="仿宋_GB2312"/>
                <w:b w:val="0"/>
                <w:bCs w:val="0"/>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788" w:hRule="atLeast"/>
          <w:jc w:val="center"/>
        </w:trPr>
        <w:tc>
          <w:tcPr>
            <w:tcW w:w="541" w:type="dxa"/>
            <w:noWrap w:val="0"/>
            <w:vAlign w:val="center"/>
          </w:tcPr>
          <w:p>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刘理珩</w:t>
            </w:r>
          </w:p>
        </w:tc>
        <w:tc>
          <w:tcPr>
            <w:tcW w:w="800"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lang w:val="en-US" w:eastAsia="zh-CN"/>
              </w:rPr>
              <w:t>副科长</w:t>
            </w:r>
          </w:p>
        </w:tc>
        <w:tc>
          <w:tcPr>
            <w:tcW w:w="6430" w:type="dxa"/>
            <w:gridSpan w:val="18"/>
            <w:noWrap w:val="0"/>
            <w:vAlign w:val="center"/>
          </w:tcPr>
          <w:p>
            <w:pPr>
              <w:autoSpaceDN w:val="0"/>
              <w:spacing w:line="400" w:lineRule="exact"/>
              <w:jc w:val="center"/>
              <w:textAlignment w:val="center"/>
              <w:rPr>
                <w:rFonts w:hint="default"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岳阳市</w:t>
            </w:r>
            <w:r>
              <w:rPr>
                <w:rFonts w:hint="eastAsia" w:ascii="仿宋_GB2312" w:hAnsi="仿宋_GB2312" w:eastAsia="仿宋_GB2312" w:cs="仿宋_GB2312"/>
                <w:b w:val="0"/>
                <w:bCs w:val="0"/>
                <w:color w:val="auto"/>
                <w:sz w:val="21"/>
                <w:szCs w:val="21"/>
                <w:lang w:val="en-US" w:eastAsia="zh-CN"/>
              </w:rPr>
              <w:t>自然资源和规划</w:t>
            </w:r>
            <w:r>
              <w:rPr>
                <w:rFonts w:hint="eastAsia" w:ascii="仿宋_GB2312" w:hAnsi="仿宋_GB2312" w:eastAsia="仿宋_GB2312" w:cs="仿宋_GB2312"/>
                <w:b w:val="0"/>
                <w:bCs w:val="0"/>
                <w:color w:val="auto"/>
                <w:sz w:val="21"/>
                <w:szCs w:val="21"/>
              </w:rPr>
              <w:t>局</w:t>
            </w:r>
            <w:r>
              <w:rPr>
                <w:rFonts w:hint="eastAsia" w:ascii="仿宋_GB2312" w:hAnsi="仿宋_GB2312" w:eastAsia="仿宋_GB2312" w:cs="仿宋_GB2312"/>
                <w:b w:val="0"/>
                <w:bCs w:val="0"/>
                <w:color w:val="auto"/>
                <w:sz w:val="21"/>
                <w:szCs w:val="21"/>
                <w:lang w:val="en-US" w:eastAsia="zh-CN"/>
              </w:rPr>
              <w:t>用途管制科</w:t>
            </w:r>
          </w:p>
        </w:tc>
        <w:tc>
          <w:tcPr>
            <w:tcW w:w="2026" w:type="dxa"/>
            <w:gridSpan w:val="3"/>
            <w:noWrap w:val="0"/>
            <w:vAlign w:val="center"/>
          </w:tcPr>
          <w:p>
            <w:pPr>
              <w:autoSpaceDN w:val="0"/>
              <w:spacing w:line="320" w:lineRule="exact"/>
              <w:jc w:val="center"/>
              <w:textAlignment w:val="center"/>
              <w:rPr>
                <w:rFonts w:hint="eastAsia" w:ascii="仿宋_GB2312" w:hAnsi="仿宋_GB2312" w:eastAsia="仿宋_GB2312" w:cs="仿宋_GB2312"/>
                <w:b w:val="0"/>
                <w:bCs w:val="0"/>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573" w:hRule="atLeast"/>
          <w:jc w:val="center"/>
        </w:trPr>
        <w:tc>
          <w:tcPr>
            <w:tcW w:w="541" w:type="dxa"/>
            <w:noWrap w:val="0"/>
            <w:vAlign w:val="center"/>
          </w:tcPr>
          <w:p>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蒋超</w:t>
            </w:r>
          </w:p>
        </w:tc>
        <w:tc>
          <w:tcPr>
            <w:tcW w:w="800"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lang w:val="en-US" w:eastAsia="zh-CN"/>
              </w:rPr>
              <w:t>副科长</w:t>
            </w:r>
          </w:p>
        </w:tc>
        <w:tc>
          <w:tcPr>
            <w:tcW w:w="6430" w:type="dxa"/>
            <w:gridSpan w:val="18"/>
            <w:noWrap w:val="0"/>
            <w:vAlign w:val="center"/>
          </w:tcPr>
          <w:p>
            <w:pPr>
              <w:autoSpaceDN w:val="0"/>
              <w:spacing w:line="400" w:lineRule="exact"/>
              <w:jc w:val="center"/>
              <w:textAlignment w:val="center"/>
              <w:rPr>
                <w:rFonts w:hint="default"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岳阳市</w:t>
            </w:r>
            <w:r>
              <w:rPr>
                <w:rFonts w:hint="eastAsia" w:ascii="仿宋_GB2312" w:hAnsi="仿宋_GB2312" w:eastAsia="仿宋_GB2312" w:cs="仿宋_GB2312"/>
                <w:b w:val="0"/>
                <w:bCs w:val="0"/>
                <w:color w:val="auto"/>
                <w:sz w:val="21"/>
                <w:szCs w:val="21"/>
                <w:lang w:val="en-US" w:eastAsia="zh-CN"/>
              </w:rPr>
              <w:t>自然资源和规划</w:t>
            </w:r>
            <w:r>
              <w:rPr>
                <w:rFonts w:hint="eastAsia" w:ascii="仿宋_GB2312" w:hAnsi="仿宋_GB2312" w:eastAsia="仿宋_GB2312" w:cs="仿宋_GB2312"/>
                <w:b w:val="0"/>
                <w:bCs w:val="0"/>
                <w:color w:val="auto"/>
                <w:sz w:val="21"/>
                <w:szCs w:val="21"/>
              </w:rPr>
              <w:t>局</w:t>
            </w:r>
            <w:r>
              <w:rPr>
                <w:rFonts w:hint="eastAsia" w:ascii="仿宋_GB2312" w:hAnsi="仿宋_GB2312" w:eastAsia="仿宋_GB2312" w:cs="仿宋_GB2312"/>
                <w:b w:val="0"/>
                <w:bCs w:val="0"/>
                <w:color w:val="auto"/>
                <w:sz w:val="21"/>
                <w:szCs w:val="21"/>
                <w:lang w:val="en-US" w:eastAsia="zh-CN"/>
              </w:rPr>
              <w:t>规划一科</w:t>
            </w:r>
          </w:p>
        </w:tc>
        <w:tc>
          <w:tcPr>
            <w:tcW w:w="2026" w:type="dxa"/>
            <w:gridSpan w:val="3"/>
            <w:noWrap w:val="0"/>
            <w:vAlign w:val="center"/>
          </w:tcPr>
          <w:p>
            <w:pPr>
              <w:autoSpaceDN w:val="0"/>
              <w:spacing w:line="320" w:lineRule="exact"/>
              <w:jc w:val="center"/>
              <w:textAlignment w:val="center"/>
              <w:rPr>
                <w:rFonts w:hint="eastAsia" w:ascii="仿宋_GB2312" w:hAnsi="仿宋_GB2312" w:eastAsia="仿宋_GB2312" w:cs="仿宋_GB2312"/>
                <w:b w:val="0"/>
                <w:bCs w:val="0"/>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622" w:hRule="atLeast"/>
          <w:jc w:val="center"/>
        </w:trPr>
        <w:tc>
          <w:tcPr>
            <w:tcW w:w="541" w:type="dxa"/>
            <w:noWrap w:val="0"/>
            <w:vAlign w:val="center"/>
          </w:tcPr>
          <w:p>
            <w:pPr>
              <w:autoSpaceDN w:val="0"/>
              <w:spacing w:line="400" w:lineRule="exact"/>
              <w:jc w:val="center"/>
              <w:textAlignment w:val="center"/>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lang w:val="en-US" w:eastAsia="zh-CN"/>
              </w:rPr>
              <w:t>康笑</w:t>
            </w:r>
          </w:p>
        </w:tc>
        <w:tc>
          <w:tcPr>
            <w:tcW w:w="800" w:type="dxa"/>
            <w:gridSpan w:val="3"/>
            <w:noWrap w:val="0"/>
            <w:vAlign w:val="center"/>
          </w:tcPr>
          <w:p>
            <w:pPr>
              <w:autoSpaceDN w:val="0"/>
              <w:spacing w:line="400" w:lineRule="exact"/>
              <w:jc w:val="center"/>
              <w:textAlignment w:val="center"/>
              <w:rPr>
                <w:rFonts w:hint="eastAsia" w:ascii="仿宋_GB2312" w:hAnsi="仿宋_GB2312" w:eastAsia="仿宋_GB2312" w:cs="仿宋_GB2312"/>
                <w:b w:val="0"/>
                <w:bCs w:val="0"/>
                <w:color w:val="auto"/>
                <w:sz w:val="21"/>
                <w:szCs w:val="21"/>
              </w:rPr>
            </w:pPr>
            <w:r>
              <w:rPr>
                <w:rFonts w:hint="eastAsia" w:ascii="仿宋_GB2312" w:hAnsi="仿宋_GB2312" w:eastAsia="仿宋_GB2312" w:cs="仿宋_GB2312"/>
                <w:b w:val="0"/>
                <w:bCs w:val="0"/>
                <w:color w:val="auto"/>
                <w:sz w:val="21"/>
                <w:szCs w:val="21"/>
                <w:lang w:val="en-US" w:eastAsia="zh-CN"/>
              </w:rPr>
              <w:t>副科长</w:t>
            </w:r>
          </w:p>
        </w:tc>
        <w:tc>
          <w:tcPr>
            <w:tcW w:w="6430" w:type="dxa"/>
            <w:gridSpan w:val="18"/>
            <w:noWrap w:val="0"/>
            <w:vAlign w:val="center"/>
          </w:tcPr>
          <w:p>
            <w:pPr>
              <w:autoSpaceDN w:val="0"/>
              <w:spacing w:line="400" w:lineRule="exact"/>
              <w:jc w:val="center"/>
              <w:textAlignment w:val="center"/>
              <w:rPr>
                <w:rFonts w:hint="default" w:ascii="仿宋_GB2312" w:hAnsi="仿宋_GB2312" w:eastAsia="仿宋_GB2312" w:cs="仿宋_GB2312"/>
                <w:b w:val="0"/>
                <w:bCs w:val="0"/>
                <w:color w:val="auto"/>
                <w:kern w:val="2"/>
                <w:sz w:val="21"/>
                <w:szCs w:val="21"/>
                <w:lang w:val="en-US" w:eastAsia="zh-CN" w:bidi="ar-SA"/>
              </w:rPr>
            </w:pPr>
            <w:r>
              <w:rPr>
                <w:rFonts w:hint="eastAsia" w:ascii="仿宋_GB2312" w:hAnsi="仿宋_GB2312" w:eastAsia="仿宋_GB2312" w:cs="仿宋_GB2312"/>
                <w:b w:val="0"/>
                <w:bCs w:val="0"/>
                <w:color w:val="auto"/>
                <w:sz w:val="21"/>
                <w:szCs w:val="21"/>
              </w:rPr>
              <w:t>岳阳市</w:t>
            </w:r>
            <w:r>
              <w:rPr>
                <w:rFonts w:hint="eastAsia" w:ascii="仿宋_GB2312" w:hAnsi="仿宋_GB2312" w:eastAsia="仿宋_GB2312" w:cs="仿宋_GB2312"/>
                <w:b w:val="0"/>
                <w:bCs w:val="0"/>
                <w:color w:val="auto"/>
                <w:sz w:val="21"/>
                <w:szCs w:val="21"/>
                <w:lang w:val="en-US" w:eastAsia="zh-CN"/>
              </w:rPr>
              <w:t>自然资源和规划</w:t>
            </w:r>
            <w:r>
              <w:rPr>
                <w:rFonts w:hint="eastAsia" w:ascii="仿宋_GB2312" w:hAnsi="仿宋_GB2312" w:eastAsia="仿宋_GB2312" w:cs="仿宋_GB2312"/>
                <w:b w:val="0"/>
                <w:bCs w:val="0"/>
                <w:color w:val="auto"/>
                <w:sz w:val="21"/>
                <w:szCs w:val="21"/>
              </w:rPr>
              <w:t>局</w:t>
            </w:r>
            <w:r>
              <w:rPr>
                <w:rFonts w:hint="eastAsia" w:ascii="仿宋_GB2312" w:hAnsi="仿宋_GB2312" w:eastAsia="仿宋_GB2312" w:cs="仿宋_GB2312"/>
                <w:b w:val="0"/>
                <w:bCs w:val="0"/>
                <w:color w:val="auto"/>
                <w:sz w:val="21"/>
                <w:szCs w:val="21"/>
                <w:lang w:val="en-US" w:eastAsia="zh-CN"/>
              </w:rPr>
              <w:t>地环科</w:t>
            </w:r>
          </w:p>
        </w:tc>
        <w:tc>
          <w:tcPr>
            <w:tcW w:w="2026" w:type="dxa"/>
            <w:gridSpan w:val="3"/>
            <w:noWrap w:val="0"/>
            <w:vAlign w:val="center"/>
          </w:tcPr>
          <w:p>
            <w:pPr>
              <w:autoSpaceDN w:val="0"/>
              <w:spacing w:line="320" w:lineRule="exact"/>
              <w:jc w:val="center"/>
              <w:textAlignment w:val="center"/>
              <w:rPr>
                <w:rFonts w:hint="eastAsia" w:ascii="仿宋_GB2312" w:hAnsi="仿宋_GB2312" w:eastAsia="仿宋_GB2312" w:cs="仿宋_GB2312"/>
                <w:b w:val="0"/>
                <w:bCs w:val="0"/>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757" w:hRule="atLeast"/>
          <w:jc w:val="center"/>
        </w:trPr>
        <w:tc>
          <w:tcPr>
            <w:tcW w:w="541" w:type="dxa"/>
            <w:noWrap w:val="0"/>
            <w:vAlign w:val="center"/>
          </w:tcPr>
          <w:p>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default"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宋建世</w:t>
            </w:r>
          </w:p>
        </w:tc>
        <w:tc>
          <w:tcPr>
            <w:tcW w:w="800" w:type="dxa"/>
            <w:gridSpan w:val="3"/>
            <w:noWrap w:val="0"/>
            <w:vAlign w:val="center"/>
          </w:tcPr>
          <w:p>
            <w:pPr>
              <w:keepNext w:val="0"/>
              <w:keepLines w:val="0"/>
              <w:pageBreakBefore w:val="0"/>
              <w:widowControl w:val="0"/>
              <w:kinsoku/>
              <w:wordWrap/>
              <w:overflowPunct/>
              <w:topLinePunct w:val="0"/>
              <w:autoSpaceDE/>
              <w:autoSpaceDN w:val="0"/>
              <w:bidi w:val="0"/>
              <w:adjustRightInd/>
              <w:snapToGrid/>
              <w:spacing w:line="200" w:lineRule="exact"/>
              <w:jc w:val="center"/>
              <w:textAlignment w:val="center"/>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1"/>
                <w:szCs w:val="21"/>
                <w:lang w:val="en-US" w:eastAsia="zh-CN"/>
              </w:rPr>
              <w:t>副科长</w:t>
            </w:r>
          </w:p>
        </w:tc>
        <w:tc>
          <w:tcPr>
            <w:tcW w:w="6430" w:type="dxa"/>
            <w:gridSpan w:val="18"/>
            <w:noWrap w:val="0"/>
            <w:vAlign w:val="center"/>
          </w:tcPr>
          <w:p>
            <w:pPr>
              <w:autoSpaceDN w:val="0"/>
              <w:spacing w:line="400" w:lineRule="exact"/>
              <w:jc w:val="center"/>
              <w:textAlignment w:val="center"/>
              <w:rPr>
                <w:rFonts w:hint="default"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1"/>
                <w:szCs w:val="21"/>
              </w:rPr>
              <w:t>岳阳市</w:t>
            </w:r>
            <w:r>
              <w:rPr>
                <w:rFonts w:hint="eastAsia" w:ascii="仿宋_GB2312" w:hAnsi="仿宋_GB2312" w:eastAsia="仿宋_GB2312" w:cs="仿宋_GB2312"/>
                <w:b w:val="0"/>
                <w:bCs w:val="0"/>
                <w:color w:val="auto"/>
                <w:sz w:val="21"/>
                <w:szCs w:val="21"/>
                <w:lang w:val="en-US" w:eastAsia="zh-CN"/>
              </w:rPr>
              <w:t>自然资源和规划</w:t>
            </w:r>
            <w:r>
              <w:rPr>
                <w:rFonts w:hint="eastAsia" w:ascii="仿宋_GB2312" w:hAnsi="仿宋_GB2312" w:eastAsia="仿宋_GB2312" w:cs="仿宋_GB2312"/>
                <w:b w:val="0"/>
                <w:bCs w:val="0"/>
                <w:color w:val="auto"/>
                <w:sz w:val="21"/>
                <w:szCs w:val="21"/>
              </w:rPr>
              <w:t>局</w:t>
            </w:r>
            <w:r>
              <w:rPr>
                <w:rFonts w:hint="eastAsia" w:ascii="仿宋_GB2312" w:hAnsi="仿宋_GB2312" w:eastAsia="仿宋_GB2312" w:cs="仿宋_GB2312"/>
                <w:b w:val="0"/>
                <w:bCs w:val="0"/>
                <w:color w:val="auto"/>
                <w:sz w:val="21"/>
                <w:szCs w:val="21"/>
                <w:lang w:val="en-US" w:eastAsia="zh-CN"/>
              </w:rPr>
              <w:t>矿管科</w:t>
            </w:r>
          </w:p>
        </w:tc>
        <w:tc>
          <w:tcPr>
            <w:tcW w:w="2026" w:type="dxa"/>
            <w:gridSpan w:val="3"/>
            <w:noWrap w:val="0"/>
            <w:vAlign w:val="center"/>
          </w:tcPr>
          <w:p>
            <w:pPr>
              <w:autoSpaceDN w:val="0"/>
              <w:spacing w:line="320" w:lineRule="exact"/>
              <w:jc w:val="center"/>
              <w:textAlignment w:val="center"/>
              <w:rPr>
                <w:rFonts w:hint="eastAsia" w:ascii="仿宋_GB2312" w:hAnsi="仿宋_GB2312" w:eastAsia="仿宋_GB2312" w:cs="仿宋_GB2312"/>
                <w:b w:val="0"/>
                <w:bCs w:val="0"/>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615" w:hRule="atLeast"/>
          <w:jc w:val="center"/>
        </w:trPr>
        <w:tc>
          <w:tcPr>
            <w:tcW w:w="541" w:type="dxa"/>
            <w:noWrap w:val="0"/>
            <w:vAlign w:val="center"/>
          </w:tcPr>
          <w:p>
            <w:pPr>
              <w:autoSpaceDN w:val="0"/>
              <w:spacing w:line="400" w:lineRule="exact"/>
              <w:jc w:val="center"/>
              <w:textAlignment w:val="center"/>
              <w:rPr>
                <w:rFonts w:hint="default"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廖伟</w:t>
            </w:r>
          </w:p>
        </w:tc>
        <w:tc>
          <w:tcPr>
            <w:tcW w:w="800" w:type="dxa"/>
            <w:gridSpan w:val="3"/>
            <w:noWrap w:val="0"/>
            <w:vAlign w:val="center"/>
          </w:tcPr>
          <w:p>
            <w:pPr>
              <w:autoSpaceDN w:val="0"/>
              <w:spacing w:line="400" w:lineRule="exact"/>
              <w:jc w:val="center"/>
              <w:textAlignment w:val="center"/>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1"/>
                <w:szCs w:val="21"/>
                <w:lang w:val="en-US" w:eastAsia="zh-CN"/>
              </w:rPr>
              <w:t>副科长</w:t>
            </w:r>
          </w:p>
        </w:tc>
        <w:tc>
          <w:tcPr>
            <w:tcW w:w="6430" w:type="dxa"/>
            <w:gridSpan w:val="18"/>
            <w:noWrap w:val="0"/>
            <w:vAlign w:val="center"/>
          </w:tcPr>
          <w:p>
            <w:pPr>
              <w:autoSpaceDN w:val="0"/>
              <w:spacing w:line="400" w:lineRule="exact"/>
              <w:jc w:val="center"/>
              <w:textAlignment w:val="center"/>
              <w:rPr>
                <w:rFonts w:hint="default"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1"/>
                <w:szCs w:val="21"/>
              </w:rPr>
              <w:t>岳阳市</w:t>
            </w:r>
            <w:r>
              <w:rPr>
                <w:rFonts w:hint="eastAsia" w:ascii="仿宋_GB2312" w:hAnsi="仿宋_GB2312" w:eastAsia="仿宋_GB2312" w:cs="仿宋_GB2312"/>
                <w:b w:val="0"/>
                <w:bCs w:val="0"/>
                <w:color w:val="auto"/>
                <w:sz w:val="21"/>
                <w:szCs w:val="21"/>
                <w:lang w:val="en-US" w:eastAsia="zh-CN"/>
              </w:rPr>
              <w:t>自然资源和规划</w:t>
            </w:r>
            <w:r>
              <w:rPr>
                <w:rFonts w:hint="eastAsia" w:ascii="仿宋_GB2312" w:hAnsi="仿宋_GB2312" w:eastAsia="仿宋_GB2312" w:cs="仿宋_GB2312"/>
                <w:b w:val="0"/>
                <w:bCs w:val="0"/>
                <w:color w:val="auto"/>
                <w:sz w:val="21"/>
                <w:szCs w:val="21"/>
              </w:rPr>
              <w:t>局</w:t>
            </w:r>
            <w:r>
              <w:rPr>
                <w:rFonts w:hint="eastAsia" w:ascii="仿宋_GB2312" w:hAnsi="仿宋_GB2312" w:eastAsia="仿宋_GB2312" w:cs="仿宋_GB2312"/>
                <w:b w:val="0"/>
                <w:bCs w:val="0"/>
                <w:color w:val="auto"/>
                <w:sz w:val="21"/>
                <w:szCs w:val="21"/>
                <w:lang w:val="en-US" w:eastAsia="zh-CN"/>
              </w:rPr>
              <w:t>测绘科</w:t>
            </w:r>
          </w:p>
        </w:tc>
        <w:tc>
          <w:tcPr>
            <w:tcW w:w="2026" w:type="dxa"/>
            <w:gridSpan w:val="3"/>
            <w:noWrap w:val="0"/>
            <w:vAlign w:val="center"/>
          </w:tcPr>
          <w:p>
            <w:pPr>
              <w:autoSpaceDN w:val="0"/>
              <w:spacing w:line="320" w:lineRule="exact"/>
              <w:jc w:val="center"/>
              <w:textAlignment w:val="center"/>
              <w:rPr>
                <w:rFonts w:hint="eastAsia" w:ascii="仿宋_GB2312" w:hAnsi="仿宋_GB2312" w:eastAsia="仿宋_GB2312" w:cs="仿宋_GB2312"/>
                <w:b w:val="0"/>
                <w:bCs w:val="0"/>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640" w:hRule="atLeast"/>
          <w:jc w:val="center"/>
        </w:trPr>
        <w:tc>
          <w:tcPr>
            <w:tcW w:w="541" w:type="dxa"/>
            <w:noWrap w:val="0"/>
            <w:vAlign w:val="center"/>
          </w:tcPr>
          <w:p>
            <w:pPr>
              <w:autoSpaceDN w:val="0"/>
              <w:spacing w:line="400" w:lineRule="exact"/>
              <w:jc w:val="center"/>
              <w:textAlignment w:val="center"/>
              <w:rPr>
                <w:rFonts w:hint="default"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李拓</w:t>
            </w:r>
          </w:p>
        </w:tc>
        <w:tc>
          <w:tcPr>
            <w:tcW w:w="800" w:type="dxa"/>
            <w:gridSpan w:val="3"/>
            <w:noWrap w:val="0"/>
            <w:vAlign w:val="center"/>
          </w:tcPr>
          <w:p>
            <w:pPr>
              <w:autoSpaceDN w:val="0"/>
              <w:spacing w:line="400" w:lineRule="exact"/>
              <w:jc w:val="center"/>
              <w:textAlignment w:val="center"/>
              <w:rPr>
                <w:rFonts w:hint="eastAsia" w:ascii="仿宋_GB2312" w:hAnsi="仿宋_GB2312" w:eastAsia="仿宋_GB2312" w:cs="仿宋_GB2312"/>
                <w:b w:val="0"/>
                <w:bCs w:val="0"/>
                <w:color w:val="auto"/>
                <w:sz w:val="22"/>
                <w:szCs w:val="22"/>
                <w:lang w:val="en-US" w:eastAsia="zh-CN"/>
              </w:rPr>
            </w:pPr>
          </w:p>
        </w:tc>
        <w:tc>
          <w:tcPr>
            <w:tcW w:w="6430" w:type="dxa"/>
            <w:gridSpan w:val="18"/>
            <w:noWrap w:val="0"/>
            <w:vAlign w:val="center"/>
          </w:tcPr>
          <w:p>
            <w:pPr>
              <w:autoSpaceDN w:val="0"/>
              <w:spacing w:line="400" w:lineRule="exact"/>
              <w:jc w:val="center"/>
              <w:textAlignment w:val="center"/>
              <w:rPr>
                <w:rFonts w:hint="default"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1"/>
                <w:szCs w:val="21"/>
              </w:rPr>
              <w:t>岳阳市</w:t>
            </w:r>
            <w:r>
              <w:rPr>
                <w:rFonts w:hint="eastAsia" w:ascii="仿宋_GB2312" w:hAnsi="仿宋_GB2312" w:eastAsia="仿宋_GB2312" w:cs="仿宋_GB2312"/>
                <w:b w:val="0"/>
                <w:bCs w:val="0"/>
                <w:color w:val="auto"/>
                <w:sz w:val="21"/>
                <w:szCs w:val="21"/>
                <w:lang w:val="en-US" w:eastAsia="zh-CN"/>
              </w:rPr>
              <w:t>自然资源和规划</w:t>
            </w:r>
            <w:r>
              <w:rPr>
                <w:rFonts w:hint="eastAsia" w:ascii="仿宋_GB2312" w:hAnsi="仿宋_GB2312" w:eastAsia="仿宋_GB2312" w:cs="仿宋_GB2312"/>
                <w:b w:val="0"/>
                <w:bCs w:val="0"/>
                <w:color w:val="auto"/>
                <w:sz w:val="21"/>
                <w:szCs w:val="21"/>
              </w:rPr>
              <w:t>局</w:t>
            </w:r>
            <w:r>
              <w:rPr>
                <w:rFonts w:hint="eastAsia" w:ascii="仿宋_GB2312" w:hAnsi="仿宋_GB2312" w:eastAsia="仿宋_GB2312" w:cs="仿宋_GB2312"/>
                <w:b w:val="0"/>
                <w:bCs w:val="0"/>
                <w:color w:val="auto"/>
                <w:sz w:val="21"/>
                <w:szCs w:val="21"/>
                <w:lang w:val="en-US" w:eastAsia="zh-CN"/>
              </w:rPr>
              <w:t>人事科</w:t>
            </w:r>
          </w:p>
        </w:tc>
        <w:tc>
          <w:tcPr>
            <w:tcW w:w="2026" w:type="dxa"/>
            <w:gridSpan w:val="3"/>
            <w:noWrap w:val="0"/>
            <w:vAlign w:val="center"/>
          </w:tcPr>
          <w:p>
            <w:pPr>
              <w:autoSpaceDN w:val="0"/>
              <w:spacing w:line="320" w:lineRule="exact"/>
              <w:jc w:val="center"/>
              <w:textAlignment w:val="center"/>
              <w:rPr>
                <w:rFonts w:hint="eastAsia" w:ascii="仿宋_GB2312" w:hAnsi="仿宋_GB2312" w:eastAsia="仿宋_GB2312" w:cs="仿宋_GB2312"/>
                <w:b w:val="0"/>
                <w:bCs w:val="0"/>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648" w:hRule="atLeast"/>
          <w:jc w:val="center"/>
        </w:trPr>
        <w:tc>
          <w:tcPr>
            <w:tcW w:w="541" w:type="dxa"/>
            <w:noWrap w:val="0"/>
            <w:vAlign w:val="center"/>
          </w:tcPr>
          <w:p>
            <w:pPr>
              <w:autoSpaceDN w:val="0"/>
              <w:spacing w:line="400" w:lineRule="exact"/>
              <w:jc w:val="center"/>
              <w:textAlignment w:val="center"/>
              <w:rPr>
                <w:rFonts w:hint="default"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葛韬</w:t>
            </w:r>
          </w:p>
        </w:tc>
        <w:tc>
          <w:tcPr>
            <w:tcW w:w="800" w:type="dxa"/>
            <w:gridSpan w:val="3"/>
            <w:noWrap w:val="0"/>
            <w:vAlign w:val="center"/>
          </w:tcPr>
          <w:p>
            <w:pPr>
              <w:autoSpaceDN w:val="0"/>
              <w:spacing w:line="400" w:lineRule="exact"/>
              <w:jc w:val="center"/>
              <w:textAlignment w:val="center"/>
              <w:rPr>
                <w:rFonts w:hint="eastAsia" w:ascii="仿宋_GB2312" w:hAnsi="仿宋_GB2312" w:eastAsia="仿宋_GB2312" w:cs="仿宋_GB2312"/>
                <w:b w:val="0"/>
                <w:bCs w:val="0"/>
                <w:color w:val="auto"/>
                <w:sz w:val="22"/>
                <w:szCs w:val="22"/>
                <w:lang w:val="en-US" w:eastAsia="zh-CN"/>
              </w:rPr>
            </w:pPr>
          </w:p>
        </w:tc>
        <w:tc>
          <w:tcPr>
            <w:tcW w:w="6430" w:type="dxa"/>
            <w:gridSpan w:val="18"/>
            <w:noWrap w:val="0"/>
            <w:vAlign w:val="center"/>
          </w:tcPr>
          <w:p>
            <w:pPr>
              <w:autoSpaceDN w:val="0"/>
              <w:spacing w:line="400" w:lineRule="exact"/>
              <w:jc w:val="center"/>
              <w:textAlignment w:val="center"/>
              <w:rPr>
                <w:rFonts w:hint="default"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1"/>
                <w:szCs w:val="21"/>
              </w:rPr>
              <w:t>岳阳市</w:t>
            </w:r>
            <w:r>
              <w:rPr>
                <w:rFonts w:hint="eastAsia" w:ascii="仿宋_GB2312" w:hAnsi="仿宋_GB2312" w:eastAsia="仿宋_GB2312" w:cs="仿宋_GB2312"/>
                <w:b w:val="0"/>
                <w:bCs w:val="0"/>
                <w:color w:val="auto"/>
                <w:sz w:val="21"/>
                <w:szCs w:val="21"/>
                <w:lang w:val="en-US" w:eastAsia="zh-CN"/>
              </w:rPr>
              <w:t>自然资源和规划</w:t>
            </w:r>
            <w:r>
              <w:rPr>
                <w:rFonts w:hint="eastAsia" w:ascii="仿宋_GB2312" w:hAnsi="仿宋_GB2312" w:eastAsia="仿宋_GB2312" w:cs="仿宋_GB2312"/>
                <w:b w:val="0"/>
                <w:bCs w:val="0"/>
                <w:color w:val="auto"/>
                <w:sz w:val="21"/>
                <w:szCs w:val="21"/>
              </w:rPr>
              <w:t>局</w:t>
            </w:r>
            <w:r>
              <w:rPr>
                <w:rFonts w:hint="eastAsia" w:ascii="仿宋_GB2312" w:hAnsi="仿宋_GB2312" w:eastAsia="仿宋_GB2312" w:cs="仿宋_GB2312"/>
                <w:b w:val="0"/>
                <w:bCs w:val="0"/>
                <w:color w:val="auto"/>
                <w:sz w:val="21"/>
                <w:szCs w:val="21"/>
                <w:lang w:val="en-US" w:eastAsia="zh-CN"/>
              </w:rPr>
              <w:t>监察室</w:t>
            </w:r>
          </w:p>
        </w:tc>
        <w:tc>
          <w:tcPr>
            <w:tcW w:w="2026" w:type="dxa"/>
            <w:gridSpan w:val="3"/>
            <w:noWrap w:val="0"/>
            <w:vAlign w:val="center"/>
          </w:tcPr>
          <w:p>
            <w:pPr>
              <w:autoSpaceDN w:val="0"/>
              <w:spacing w:line="320" w:lineRule="exact"/>
              <w:jc w:val="center"/>
              <w:textAlignment w:val="center"/>
              <w:rPr>
                <w:rFonts w:hint="eastAsia" w:ascii="仿宋_GB2312" w:hAnsi="仿宋_GB2312" w:eastAsia="仿宋_GB2312" w:cs="仿宋_GB2312"/>
                <w:b w:val="0"/>
                <w:bCs w:val="0"/>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344" w:hRule="atLeast"/>
          <w:jc w:val="center"/>
        </w:trPr>
        <w:tc>
          <w:tcPr>
            <w:tcW w:w="541"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熊勇华</w:t>
            </w:r>
          </w:p>
        </w:tc>
        <w:tc>
          <w:tcPr>
            <w:tcW w:w="800" w:type="dxa"/>
            <w:gridSpan w:val="3"/>
            <w:noWrap w:val="0"/>
            <w:vAlign w:val="center"/>
          </w:tcPr>
          <w:p>
            <w:pPr>
              <w:autoSpaceDN w:val="0"/>
              <w:spacing w:line="400" w:lineRule="exact"/>
              <w:jc w:val="center"/>
              <w:textAlignment w:val="center"/>
              <w:rPr>
                <w:rFonts w:hint="default"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副主任</w:t>
            </w:r>
          </w:p>
        </w:tc>
        <w:tc>
          <w:tcPr>
            <w:tcW w:w="6430" w:type="dxa"/>
            <w:gridSpan w:val="18"/>
            <w:noWrap w:val="0"/>
            <w:vAlign w:val="center"/>
          </w:tcPr>
          <w:p>
            <w:pPr>
              <w:autoSpaceDN w:val="0"/>
              <w:spacing w:line="400" w:lineRule="exact"/>
              <w:jc w:val="center"/>
              <w:textAlignment w:val="center"/>
              <w:rPr>
                <w:rFonts w:hint="default"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1"/>
                <w:szCs w:val="21"/>
              </w:rPr>
              <w:t>岳阳市</w:t>
            </w:r>
            <w:r>
              <w:rPr>
                <w:rFonts w:hint="eastAsia" w:ascii="仿宋_GB2312" w:hAnsi="仿宋_GB2312" w:eastAsia="仿宋_GB2312" w:cs="仿宋_GB2312"/>
                <w:b w:val="0"/>
                <w:bCs w:val="0"/>
                <w:color w:val="auto"/>
                <w:sz w:val="21"/>
                <w:szCs w:val="21"/>
                <w:lang w:val="en-US" w:eastAsia="zh-CN"/>
              </w:rPr>
              <w:t>自然资源和规划</w:t>
            </w:r>
            <w:r>
              <w:rPr>
                <w:rFonts w:hint="eastAsia" w:ascii="仿宋_GB2312" w:hAnsi="仿宋_GB2312" w:eastAsia="仿宋_GB2312" w:cs="仿宋_GB2312"/>
                <w:b w:val="0"/>
                <w:bCs w:val="0"/>
                <w:color w:val="auto"/>
                <w:sz w:val="21"/>
                <w:szCs w:val="21"/>
              </w:rPr>
              <w:t>局</w:t>
            </w:r>
            <w:r>
              <w:rPr>
                <w:rFonts w:hint="eastAsia" w:ascii="仿宋_GB2312" w:hAnsi="仿宋_GB2312" w:eastAsia="仿宋_GB2312" w:cs="仿宋_GB2312"/>
                <w:b w:val="0"/>
                <w:bCs w:val="0"/>
                <w:color w:val="auto"/>
                <w:sz w:val="21"/>
                <w:szCs w:val="21"/>
                <w:lang w:val="en-US" w:eastAsia="zh-CN"/>
              </w:rPr>
              <w:t>信息中心</w:t>
            </w:r>
          </w:p>
        </w:tc>
        <w:tc>
          <w:tcPr>
            <w:tcW w:w="2026" w:type="dxa"/>
            <w:gridSpan w:val="3"/>
            <w:noWrap w:val="0"/>
            <w:vAlign w:val="center"/>
          </w:tcPr>
          <w:p>
            <w:pPr>
              <w:autoSpaceDN w:val="0"/>
              <w:spacing w:line="320" w:lineRule="exact"/>
              <w:jc w:val="center"/>
              <w:textAlignment w:val="center"/>
              <w:rPr>
                <w:rFonts w:hint="eastAsia" w:ascii="仿宋_GB2312" w:hAnsi="仿宋_GB2312" w:eastAsia="仿宋_GB2312" w:cs="仿宋_GB2312"/>
                <w:b w:val="0"/>
                <w:bCs w:val="0"/>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772" w:hRule="atLeast"/>
          <w:jc w:val="center"/>
        </w:trPr>
        <w:tc>
          <w:tcPr>
            <w:tcW w:w="541"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姜帅平</w:t>
            </w:r>
          </w:p>
        </w:tc>
        <w:tc>
          <w:tcPr>
            <w:tcW w:w="800" w:type="dxa"/>
            <w:gridSpan w:val="3"/>
            <w:noWrap w:val="0"/>
            <w:vAlign w:val="center"/>
          </w:tcPr>
          <w:p>
            <w:pPr>
              <w:autoSpaceDN w:val="0"/>
              <w:spacing w:line="400" w:lineRule="exact"/>
              <w:jc w:val="center"/>
              <w:textAlignment w:val="center"/>
              <w:rPr>
                <w:rFonts w:hint="eastAsia" w:ascii="仿宋_GB2312" w:hAnsi="仿宋_GB2312" w:eastAsia="仿宋_GB2312" w:cs="仿宋_GB2312"/>
                <w:b w:val="0"/>
                <w:bCs w:val="0"/>
                <w:color w:val="auto"/>
                <w:sz w:val="22"/>
                <w:szCs w:val="22"/>
                <w:lang w:val="en-US" w:eastAsia="zh-CN"/>
              </w:rPr>
            </w:pPr>
          </w:p>
        </w:tc>
        <w:tc>
          <w:tcPr>
            <w:tcW w:w="6430" w:type="dxa"/>
            <w:gridSpan w:val="18"/>
            <w:noWrap w:val="0"/>
            <w:vAlign w:val="center"/>
          </w:tcPr>
          <w:p>
            <w:pPr>
              <w:autoSpaceDN w:val="0"/>
              <w:spacing w:line="400" w:lineRule="exact"/>
              <w:jc w:val="center"/>
              <w:textAlignment w:val="center"/>
              <w:rPr>
                <w:rFonts w:hint="default"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1"/>
                <w:szCs w:val="21"/>
              </w:rPr>
              <w:t>岳阳市</w:t>
            </w:r>
            <w:r>
              <w:rPr>
                <w:rFonts w:hint="eastAsia" w:ascii="仿宋_GB2312" w:hAnsi="仿宋_GB2312" w:eastAsia="仿宋_GB2312" w:cs="仿宋_GB2312"/>
                <w:b w:val="0"/>
                <w:bCs w:val="0"/>
                <w:color w:val="auto"/>
                <w:sz w:val="21"/>
                <w:szCs w:val="21"/>
                <w:lang w:val="en-US" w:eastAsia="zh-CN"/>
              </w:rPr>
              <w:t>自然资源和规划</w:t>
            </w:r>
            <w:r>
              <w:rPr>
                <w:rFonts w:hint="eastAsia" w:ascii="仿宋_GB2312" w:hAnsi="仿宋_GB2312" w:eastAsia="仿宋_GB2312" w:cs="仿宋_GB2312"/>
                <w:b w:val="0"/>
                <w:bCs w:val="0"/>
                <w:color w:val="auto"/>
                <w:sz w:val="21"/>
                <w:szCs w:val="21"/>
              </w:rPr>
              <w:t>局</w:t>
            </w:r>
            <w:r>
              <w:rPr>
                <w:rFonts w:hint="eastAsia" w:ascii="仿宋_GB2312" w:hAnsi="仿宋_GB2312" w:eastAsia="仿宋_GB2312" w:cs="仿宋_GB2312"/>
                <w:b w:val="0"/>
                <w:bCs w:val="0"/>
                <w:color w:val="auto"/>
                <w:sz w:val="21"/>
                <w:szCs w:val="21"/>
                <w:lang w:val="en-US" w:eastAsia="zh-CN"/>
              </w:rPr>
              <w:t>办公室</w:t>
            </w:r>
          </w:p>
        </w:tc>
        <w:tc>
          <w:tcPr>
            <w:tcW w:w="2026" w:type="dxa"/>
            <w:gridSpan w:val="3"/>
            <w:noWrap w:val="0"/>
            <w:vAlign w:val="center"/>
          </w:tcPr>
          <w:p>
            <w:pPr>
              <w:autoSpaceDN w:val="0"/>
              <w:spacing w:line="320" w:lineRule="exact"/>
              <w:jc w:val="center"/>
              <w:textAlignment w:val="center"/>
              <w:rPr>
                <w:rFonts w:hint="eastAsia" w:ascii="仿宋_GB2312" w:hAnsi="仿宋_GB2312" w:eastAsia="仿宋_GB2312" w:cs="仿宋_GB2312"/>
                <w:b w:val="0"/>
                <w:bCs w:val="0"/>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457" w:hRule="atLeast"/>
          <w:jc w:val="center"/>
        </w:trPr>
        <w:tc>
          <w:tcPr>
            <w:tcW w:w="541"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张立明</w:t>
            </w:r>
          </w:p>
        </w:tc>
        <w:tc>
          <w:tcPr>
            <w:tcW w:w="800" w:type="dxa"/>
            <w:gridSpan w:val="3"/>
            <w:noWrap w:val="0"/>
            <w:vAlign w:val="center"/>
          </w:tcPr>
          <w:p>
            <w:pPr>
              <w:autoSpaceDN w:val="0"/>
              <w:spacing w:line="400" w:lineRule="exact"/>
              <w:jc w:val="center"/>
              <w:textAlignment w:val="center"/>
              <w:rPr>
                <w:rFonts w:hint="default"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副科长</w:t>
            </w:r>
          </w:p>
        </w:tc>
        <w:tc>
          <w:tcPr>
            <w:tcW w:w="6430" w:type="dxa"/>
            <w:gridSpan w:val="18"/>
            <w:noWrap w:val="0"/>
            <w:vAlign w:val="center"/>
          </w:tcPr>
          <w:p>
            <w:pPr>
              <w:autoSpaceDN w:val="0"/>
              <w:spacing w:line="400" w:lineRule="exact"/>
              <w:jc w:val="center"/>
              <w:textAlignment w:val="center"/>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rPr>
              <w:t>岳阳市</w:t>
            </w:r>
            <w:r>
              <w:rPr>
                <w:rFonts w:hint="eastAsia" w:ascii="仿宋_GB2312" w:hAnsi="仿宋_GB2312" w:eastAsia="仿宋_GB2312" w:cs="仿宋_GB2312"/>
                <w:b w:val="0"/>
                <w:bCs w:val="0"/>
                <w:color w:val="auto"/>
                <w:sz w:val="21"/>
                <w:szCs w:val="21"/>
                <w:lang w:val="en-US" w:eastAsia="zh-CN"/>
              </w:rPr>
              <w:t>自然资源和规划</w:t>
            </w:r>
            <w:r>
              <w:rPr>
                <w:rFonts w:hint="eastAsia" w:ascii="仿宋_GB2312" w:hAnsi="仿宋_GB2312" w:eastAsia="仿宋_GB2312" w:cs="仿宋_GB2312"/>
                <w:b w:val="0"/>
                <w:bCs w:val="0"/>
                <w:color w:val="auto"/>
                <w:sz w:val="21"/>
                <w:szCs w:val="21"/>
              </w:rPr>
              <w:t>局</w:t>
            </w:r>
            <w:r>
              <w:rPr>
                <w:rFonts w:hint="eastAsia" w:ascii="仿宋_GB2312" w:hAnsi="仿宋_GB2312" w:eastAsia="仿宋_GB2312" w:cs="仿宋_GB2312"/>
                <w:b w:val="0"/>
                <w:bCs w:val="0"/>
                <w:color w:val="auto"/>
                <w:sz w:val="21"/>
                <w:szCs w:val="21"/>
                <w:lang w:val="en-US" w:eastAsia="zh-CN"/>
              </w:rPr>
              <w:t>确权登记科</w:t>
            </w:r>
          </w:p>
        </w:tc>
        <w:tc>
          <w:tcPr>
            <w:tcW w:w="2026" w:type="dxa"/>
            <w:gridSpan w:val="3"/>
            <w:noWrap w:val="0"/>
            <w:vAlign w:val="center"/>
          </w:tcPr>
          <w:p>
            <w:pPr>
              <w:autoSpaceDN w:val="0"/>
              <w:spacing w:line="320" w:lineRule="exact"/>
              <w:jc w:val="center"/>
              <w:textAlignment w:val="center"/>
              <w:rPr>
                <w:rFonts w:hint="eastAsia" w:ascii="仿宋_GB2312" w:hAnsi="仿宋_GB2312" w:eastAsia="仿宋_GB2312" w:cs="仿宋_GB2312"/>
                <w:b w:val="0"/>
                <w:bCs w:val="0"/>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1279" w:hRule="atLeast"/>
          <w:jc w:val="center"/>
        </w:trPr>
        <w:tc>
          <w:tcPr>
            <w:tcW w:w="541" w:type="dxa"/>
            <w:noWrap w:val="0"/>
            <w:vAlign w:val="center"/>
          </w:tcPr>
          <w:p>
            <w:pPr>
              <w:keepNext w:val="0"/>
              <w:keepLines w:val="0"/>
              <w:pageBreakBefore w:val="0"/>
              <w:widowControl w:val="0"/>
              <w:kinsoku/>
              <w:wordWrap/>
              <w:overflowPunct/>
              <w:topLinePunct w:val="0"/>
              <w:autoSpaceDE/>
              <w:autoSpaceDN w:val="0"/>
              <w:bidi w:val="0"/>
              <w:adjustRightInd/>
              <w:snapToGrid/>
              <w:spacing w:line="320" w:lineRule="exact"/>
              <w:jc w:val="center"/>
              <w:textAlignment w:val="center"/>
              <w:rPr>
                <w:rFonts w:hint="default"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周红霞</w:t>
            </w:r>
          </w:p>
        </w:tc>
        <w:tc>
          <w:tcPr>
            <w:tcW w:w="800" w:type="dxa"/>
            <w:gridSpan w:val="3"/>
            <w:noWrap w:val="0"/>
            <w:vAlign w:val="center"/>
          </w:tcPr>
          <w:p>
            <w:pPr>
              <w:autoSpaceDN w:val="0"/>
              <w:spacing w:line="400" w:lineRule="exact"/>
              <w:jc w:val="center"/>
              <w:textAlignment w:val="center"/>
              <w:rPr>
                <w:rFonts w:hint="eastAsia" w:ascii="仿宋_GB2312" w:hAnsi="仿宋_GB2312" w:eastAsia="仿宋_GB2312" w:cs="仿宋_GB2312"/>
                <w:b w:val="0"/>
                <w:bCs w:val="0"/>
                <w:color w:val="auto"/>
                <w:sz w:val="22"/>
                <w:szCs w:val="22"/>
                <w:lang w:val="en-US" w:eastAsia="zh-CN"/>
              </w:rPr>
            </w:pPr>
            <w:r>
              <w:rPr>
                <w:rFonts w:hint="eastAsia" w:ascii="仿宋_GB2312" w:hAnsi="仿宋_GB2312" w:eastAsia="仿宋_GB2312" w:cs="仿宋_GB2312"/>
                <w:b w:val="0"/>
                <w:bCs w:val="0"/>
                <w:color w:val="auto"/>
                <w:sz w:val="22"/>
                <w:szCs w:val="22"/>
                <w:lang w:val="en-US" w:eastAsia="zh-CN"/>
              </w:rPr>
              <w:t>副科长</w:t>
            </w:r>
          </w:p>
        </w:tc>
        <w:tc>
          <w:tcPr>
            <w:tcW w:w="6430" w:type="dxa"/>
            <w:gridSpan w:val="18"/>
            <w:noWrap w:val="0"/>
            <w:vAlign w:val="center"/>
          </w:tcPr>
          <w:p>
            <w:pPr>
              <w:autoSpaceDN w:val="0"/>
              <w:spacing w:line="400" w:lineRule="exact"/>
              <w:jc w:val="center"/>
              <w:textAlignment w:val="center"/>
              <w:rPr>
                <w:rFonts w:hint="default" w:ascii="仿宋_GB2312" w:hAnsi="仿宋_GB2312" w:eastAsia="仿宋_GB2312" w:cs="仿宋_GB2312"/>
                <w:b w:val="0"/>
                <w:bCs w:val="0"/>
                <w:color w:val="auto"/>
                <w:sz w:val="21"/>
                <w:szCs w:val="21"/>
                <w:lang w:val="en-US" w:eastAsia="zh-CN"/>
              </w:rPr>
            </w:pPr>
            <w:r>
              <w:rPr>
                <w:rFonts w:hint="eastAsia" w:ascii="仿宋_GB2312" w:hAnsi="仿宋_GB2312" w:eastAsia="仿宋_GB2312" w:cs="仿宋_GB2312"/>
                <w:b w:val="0"/>
                <w:bCs w:val="0"/>
                <w:color w:val="auto"/>
                <w:sz w:val="21"/>
                <w:szCs w:val="21"/>
              </w:rPr>
              <w:t>岳阳市</w:t>
            </w:r>
            <w:r>
              <w:rPr>
                <w:rFonts w:hint="eastAsia" w:ascii="仿宋_GB2312" w:hAnsi="仿宋_GB2312" w:eastAsia="仿宋_GB2312" w:cs="仿宋_GB2312"/>
                <w:b w:val="0"/>
                <w:bCs w:val="0"/>
                <w:color w:val="auto"/>
                <w:sz w:val="21"/>
                <w:szCs w:val="21"/>
                <w:lang w:val="en-US" w:eastAsia="zh-CN"/>
              </w:rPr>
              <w:t>自然资源和规划</w:t>
            </w:r>
            <w:r>
              <w:rPr>
                <w:rFonts w:hint="eastAsia" w:ascii="仿宋_GB2312" w:hAnsi="仿宋_GB2312" w:eastAsia="仿宋_GB2312" w:cs="仿宋_GB2312"/>
                <w:b w:val="0"/>
                <w:bCs w:val="0"/>
                <w:color w:val="auto"/>
                <w:sz w:val="21"/>
                <w:szCs w:val="21"/>
              </w:rPr>
              <w:t>局</w:t>
            </w:r>
            <w:r>
              <w:rPr>
                <w:rFonts w:hint="eastAsia" w:ascii="仿宋_GB2312" w:hAnsi="仿宋_GB2312" w:eastAsia="仿宋_GB2312" w:cs="仿宋_GB2312"/>
                <w:b w:val="0"/>
                <w:bCs w:val="0"/>
                <w:color w:val="auto"/>
                <w:sz w:val="21"/>
                <w:szCs w:val="21"/>
                <w:lang w:val="en-US" w:eastAsia="zh-CN"/>
              </w:rPr>
              <w:t>财务科</w:t>
            </w:r>
          </w:p>
        </w:tc>
        <w:tc>
          <w:tcPr>
            <w:tcW w:w="2026" w:type="dxa"/>
            <w:gridSpan w:val="3"/>
            <w:noWrap w:val="0"/>
            <w:vAlign w:val="center"/>
          </w:tcPr>
          <w:p>
            <w:pPr>
              <w:autoSpaceDN w:val="0"/>
              <w:spacing w:line="320" w:lineRule="exact"/>
              <w:jc w:val="center"/>
              <w:textAlignment w:val="center"/>
              <w:rPr>
                <w:rFonts w:hint="eastAsia" w:ascii="仿宋_GB2312" w:hAnsi="仿宋_GB2312" w:eastAsia="仿宋_GB2312" w:cs="仿宋_GB2312"/>
                <w:b w:val="0"/>
                <w:bCs w:val="0"/>
                <w:color w:val="auto"/>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2830" w:hRule="atLeast"/>
          <w:jc w:val="center"/>
        </w:trPr>
        <w:tc>
          <w:tcPr>
            <w:tcW w:w="9797" w:type="dxa"/>
            <w:gridSpan w:val="2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3595" w:hRule="atLeast"/>
          <w:jc w:val="center"/>
        </w:trPr>
        <w:tc>
          <w:tcPr>
            <w:tcW w:w="9797" w:type="dxa"/>
            <w:gridSpan w:val="2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320" w:lineRule="exact"/>
              <w:ind w:firstLine="5040" w:firstLineChars="21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320" w:lineRule="exact"/>
              <w:ind w:firstLine="6000" w:firstLineChars="25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gridAfter w:val="1"/>
          <w:wAfter w:w="177" w:type="dxa"/>
          <w:trHeight w:val="6136" w:hRule="atLeast"/>
          <w:jc w:val="center"/>
        </w:trPr>
        <w:tc>
          <w:tcPr>
            <w:tcW w:w="9797" w:type="dxa"/>
            <w:gridSpan w:val="25"/>
            <w:noWrap w:val="0"/>
            <w:vAlign w:val="center"/>
          </w:tcPr>
          <w:p>
            <w:pPr>
              <w:spacing w:line="320" w:lineRule="exact"/>
              <w:jc w:val="lef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w:t>
            </w:r>
          </w:p>
          <w:p>
            <w:pPr>
              <w:spacing w:line="320" w:lineRule="exact"/>
              <w:ind w:firstLine="5040" w:firstLineChars="2100"/>
              <w:rPr>
                <w:rFonts w:hint="eastAsia" w:eastAsia="仿宋_GB2312"/>
                <w:sz w:val="24"/>
              </w:rPr>
            </w:pPr>
            <w:r>
              <w:rPr>
                <w:rFonts w:hint="eastAsia" w:eastAsia="仿宋_GB2312"/>
                <w:sz w:val="24"/>
              </w:rPr>
              <w:t>财政部门归口业务科室负责人（签章）：</w:t>
            </w:r>
          </w:p>
          <w:p>
            <w:pPr>
              <w:pStyle w:val="2"/>
              <w:rPr>
                <w:rFonts w:hint="eastAsia"/>
              </w:rPr>
            </w:pPr>
          </w:p>
          <w:p>
            <w:pPr>
              <w:autoSpaceDN w:val="0"/>
              <w:spacing w:line="320" w:lineRule="exact"/>
              <w:jc w:val="left"/>
              <w:textAlignment w:val="center"/>
              <w:rPr>
                <w:rFonts w:hint="eastAsia" w:eastAsia="仿宋_GB2312"/>
                <w:sz w:val="24"/>
              </w:rPr>
            </w:pPr>
            <w:r>
              <w:rPr>
                <w:rFonts w:hint="eastAsia" w:eastAsia="仿宋_GB2312"/>
                <w:sz w:val="24"/>
              </w:rPr>
              <w:t xml:space="preserve">                                                </w:t>
            </w:r>
          </w:p>
          <w:p>
            <w:pPr>
              <w:autoSpaceDN w:val="0"/>
              <w:spacing w:line="320" w:lineRule="exact"/>
              <w:ind w:firstLine="6000" w:firstLineChars="2500"/>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firstLine="0" w:firstLineChars="0"/>
        <w:jc w:val="center"/>
        <w:textAlignment w:val="auto"/>
        <w:rPr>
          <w:rFonts w:hint="eastAsia" w:ascii="宋体" w:hAnsi="宋体" w:eastAsia="宋体" w:cs="宋体"/>
          <w:b/>
          <w:bCs w:val="0"/>
          <w:sz w:val="36"/>
          <w:szCs w:val="36"/>
          <w:lang w:val="en-US" w:eastAsia="zh-CN"/>
        </w:rPr>
        <w:sectPr>
          <w:footerReference r:id="rId3" w:type="default"/>
          <w:pgSz w:w="11906" w:h="16838"/>
          <w:pgMar w:top="1440" w:right="1800" w:bottom="1440" w:left="1800" w:header="851" w:footer="992" w:gutter="0"/>
          <w:cols w:space="425" w:num="1"/>
          <w:docGrid w:type="lines" w:linePitch="312" w:charSpace="0"/>
        </w:sectPr>
      </w:pPr>
      <w:r>
        <w:rPr>
          <w:rFonts w:hint="eastAsia" w:eastAsia="仿宋_GB2312" w:cs="仿宋_GB2312"/>
          <w:bCs/>
          <w:sz w:val="28"/>
          <w:szCs w:val="28"/>
        </w:rPr>
        <w:t xml:space="preserve">填报人（签名）： </w:t>
      </w:r>
      <w:r>
        <w:rPr>
          <w:rFonts w:hint="eastAsia" w:eastAsia="仿宋_GB2312" w:cs="仿宋_GB2312"/>
          <w:bCs/>
          <w:sz w:val="28"/>
          <w:szCs w:val="28"/>
          <w:lang w:val="en-US" w:eastAsia="zh-CN"/>
        </w:rPr>
        <w:t>李梦滢</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0730-8691983</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firstLine="0" w:firstLineChars="0"/>
        <w:jc w:val="center"/>
        <w:textAlignment w:val="auto"/>
        <w:rPr>
          <w:rFonts w:hint="eastAsia" w:ascii="宋体" w:hAnsi="宋体" w:eastAsia="宋体" w:cs="宋体"/>
          <w:b/>
          <w:bCs w:val="0"/>
          <w:sz w:val="36"/>
          <w:szCs w:val="36"/>
          <w:lang w:val="en-US" w:eastAsia="zh-CN"/>
        </w:rPr>
      </w:pPr>
      <w:r>
        <w:rPr>
          <w:rFonts w:hint="eastAsia" w:ascii="宋体" w:hAnsi="宋体" w:eastAsia="宋体" w:cs="宋体"/>
          <w:b/>
          <w:bCs w:val="0"/>
          <w:sz w:val="36"/>
          <w:szCs w:val="36"/>
          <w:lang w:val="en-US" w:eastAsia="zh-CN"/>
        </w:rPr>
        <w:t>202</w:t>
      </w:r>
      <w:r>
        <w:rPr>
          <w:rFonts w:hint="eastAsia" w:ascii="宋体" w:hAnsi="宋体" w:cs="宋体"/>
          <w:b/>
          <w:bCs w:val="0"/>
          <w:sz w:val="36"/>
          <w:szCs w:val="36"/>
          <w:lang w:val="en-US" w:eastAsia="zh-CN"/>
        </w:rPr>
        <w:t>1</w:t>
      </w:r>
      <w:r>
        <w:rPr>
          <w:rFonts w:hint="eastAsia" w:ascii="宋体" w:hAnsi="宋体" w:eastAsia="宋体" w:cs="宋体"/>
          <w:b/>
          <w:bCs w:val="0"/>
          <w:sz w:val="36"/>
          <w:szCs w:val="36"/>
          <w:lang w:val="en-US" w:eastAsia="zh-CN"/>
        </w:rPr>
        <w:t>年度</w:t>
      </w:r>
      <w:r>
        <w:rPr>
          <w:rFonts w:hint="eastAsia" w:ascii="宋体" w:hAnsi="宋体" w:cs="宋体"/>
          <w:b/>
          <w:bCs w:val="0"/>
          <w:sz w:val="36"/>
          <w:szCs w:val="36"/>
          <w:lang w:val="en-US" w:eastAsia="zh-CN"/>
        </w:rPr>
        <w:t>岳阳市</w:t>
      </w:r>
      <w:r>
        <w:rPr>
          <w:rFonts w:hint="eastAsia" w:ascii="宋体" w:hAnsi="宋体" w:eastAsia="宋体" w:cs="宋体"/>
          <w:b/>
          <w:bCs w:val="0"/>
          <w:sz w:val="36"/>
          <w:szCs w:val="36"/>
          <w:lang w:val="en-US" w:eastAsia="zh-CN"/>
        </w:rPr>
        <w:t>自然资源和规划局整体支出</w:t>
      </w:r>
    </w:p>
    <w:p>
      <w:pPr>
        <w:keepNext w:val="0"/>
        <w:keepLines w:val="0"/>
        <w:pageBreakBefore w:val="0"/>
        <w:widowControl w:val="0"/>
        <w:kinsoku/>
        <w:wordWrap/>
        <w:overflowPunct/>
        <w:topLinePunct w:val="0"/>
        <w:autoSpaceDE/>
        <w:autoSpaceDN/>
        <w:bidi w:val="0"/>
        <w:adjustRightInd/>
        <w:snapToGrid/>
        <w:spacing w:before="313" w:beforeLines="100" w:after="313" w:afterLines="100" w:line="560" w:lineRule="exact"/>
        <w:ind w:left="0" w:leftChars="0" w:firstLine="0" w:firstLineChars="0"/>
        <w:jc w:val="center"/>
        <w:textAlignment w:val="auto"/>
        <w:rPr>
          <w:rFonts w:hint="eastAsia" w:ascii="黑体" w:hAnsi="黑体" w:eastAsia="黑体" w:cs="黑体"/>
          <w:b/>
          <w:bCs w:val="0"/>
          <w:sz w:val="28"/>
          <w:szCs w:val="28"/>
          <w:lang w:val="en-US" w:eastAsia="zh-CN"/>
        </w:rPr>
      </w:pPr>
      <w:r>
        <w:rPr>
          <w:rFonts w:hint="eastAsia" w:ascii="宋体" w:hAnsi="宋体" w:eastAsia="宋体" w:cs="宋体"/>
          <w:b/>
          <w:bCs w:val="0"/>
          <w:sz w:val="48"/>
          <w:szCs w:val="48"/>
          <w:lang w:val="en-US" w:eastAsia="zh-CN"/>
        </w:rPr>
        <w:t>绩效评价自评报告</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
          <w:bCs w:val="0"/>
          <w:sz w:val="28"/>
          <w:szCs w:val="28"/>
          <w:lang w:val="en-US" w:eastAsia="zh-CN"/>
        </w:rPr>
      </w:pPr>
      <w:r>
        <w:rPr>
          <w:rFonts w:hint="eastAsia" w:asciiTheme="minorEastAsia" w:hAnsiTheme="minorEastAsia" w:eastAsiaTheme="minorEastAsia" w:cstheme="minorEastAsia"/>
          <w:b w:val="0"/>
          <w:bCs/>
          <w:sz w:val="28"/>
          <w:szCs w:val="28"/>
          <w:lang w:val="en-US" w:eastAsia="zh-CN"/>
        </w:rPr>
        <w:t>根据绩效管理要求，岳阳市自然资源和规划局成立了绩效自评小组，组织对2021年度岳阳市自然资源和规划局局机关（以下简称：局机关）整体支出情况进行了自评。现将自评情况报告如下。</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lang w:val="en-US" w:eastAsia="zh-CN"/>
        </w:rPr>
      </w:pPr>
      <w:r>
        <w:rPr>
          <w:rFonts w:hint="eastAsia" w:asciiTheme="minorEastAsia" w:hAnsiTheme="minorEastAsia" w:eastAsiaTheme="minorEastAsia" w:cstheme="minorEastAsia"/>
          <w:b/>
          <w:bCs w:val="0"/>
          <w:sz w:val="28"/>
          <w:szCs w:val="28"/>
          <w:lang w:val="en-US" w:eastAsia="zh-CN"/>
        </w:rPr>
        <w:t>一、基本情况</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lang w:val="en-US" w:eastAsia="zh-CN"/>
        </w:rPr>
      </w:pPr>
      <w:r>
        <w:rPr>
          <w:rFonts w:hint="eastAsia" w:asciiTheme="minorEastAsia" w:hAnsiTheme="minorEastAsia" w:eastAsiaTheme="minorEastAsia" w:cstheme="minorEastAsia"/>
          <w:b/>
          <w:bCs w:val="0"/>
          <w:sz w:val="28"/>
          <w:szCs w:val="28"/>
          <w:lang w:val="en-US" w:eastAsia="zh-CN"/>
        </w:rPr>
        <w:t>（一）</w:t>
      </w:r>
      <w:r>
        <w:rPr>
          <w:rFonts w:hint="eastAsia" w:asciiTheme="minorEastAsia" w:hAnsiTheme="minorEastAsia" w:eastAsiaTheme="minorEastAsia" w:cstheme="minorEastAsia"/>
          <w:b/>
          <w:bCs w:val="0"/>
          <w:sz w:val="28"/>
          <w:szCs w:val="28"/>
          <w:highlight w:val="none"/>
          <w:lang w:val="en-US" w:eastAsia="zh-CN"/>
        </w:rPr>
        <w:t>基本情况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lang w:val="en-US" w:eastAsia="zh-CN"/>
        </w:rPr>
        <w:t>岳阳市自然资源和规划局（以下简称“市自然资源和规划局”）于2019年3月4日挂牌成立，属全额预算拨款的正处级行政单位。</w:t>
      </w:r>
      <w:r>
        <w:rPr>
          <w:rFonts w:hint="eastAsia" w:asciiTheme="minorEastAsia" w:hAnsiTheme="minorEastAsia" w:eastAsiaTheme="minorEastAsia" w:cstheme="minorEastAsia"/>
          <w:bCs/>
          <w:sz w:val="28"/>
          <w:szCs w:val="28"/>
          <w:highlight w:val="none"/>
          <w:lang w:val="en-US" w:eastAsia="zh-CN"/>
        </w:rPr>
        <w:t>局下设办公室、自然资源调查监测科、国土空间生态修复科等21个职能科室和执法监察支队、规划监察支队等14个事业单位以及经济技术开发区分局、南湖新区分局等直属分局6个,其中自然资源和规划分局、不动产登记中心、不动产产权交易中心、不动产登记信息中心、国土资源执法监察支队和土地整理综合整治中心属财政一级预算单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lang w:val="en-US" w:eastAsia="zh-CN"/>
        </w:rPr>
        <w:t>根据“</w:t>
      </w:r>
      <w:r>
        <w:rPr>
          <w:rFonts w:hint="eastAsia" w:asciiTheme="minorEastAsia" w:hAnsiTheme="minorEastAsia" w:eastAsiaTheme="minorEastAsia" w:cstheme="minorEastAsia"/>
          <w:bCs/>
          <w:sz w:val="28"/>
          <w:szCs w:val="28"/>
          <w:highlight w:val="none"/>
          <w:lang w:val="en-US" w:eastAsia="zh-CN"/>
        </w:rPr>
        <w:t>三定方案”，</w:t>
      </w:r>
      <w:r>
        <w:rPr>
          <w:rFonts w:hint="eastAsia" w:asciiTheme="minorEastAsia" w:hAnsiTheme="minorEastAsia" w:eastAsiaTheme="minorEastAsia" w:cstheme="minorEastAsia"/>
          <w:bCs/>
          <w:sz w:val="28"/>
          <w:szCs w:val="28"/>
          <w:lang w:val="en-US" w:eastAsia="zh-CN"/>
        </w:rPr>
        <w:t>市自然资源和规划局局机关（以下简称“局机关”）</w:t>
      </w:r>
      <w:r>
        <w:rPr>
          <w:rFonts w:hint="eastAsia" w:asciiTheme="minorEastAsia" w:hAnsiTheme="minorEastAsia" w:eastAsiaTheme="minorEastAsia" w:cstheme="minorEastAsia"/>
          <w:bCs/>
          <w:sz w:val="28"/>
          <w:szCs w:val="28"/>
          <w:highlight w:val="none"/>
          <w:lang w:val="en-US" w:eastAsia="zh-CN"/>
        </w:rPr>
        <w:t>人员编制数99人（局机关行政编制59人、事业编制40人）,2021年实有在岗人员133人(含从分局和二级机构借调人员)。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color w:val="auto"/>
          <w:sz w:val="28"/>
          <w:szCs w:val="28"/>
          <w:highlight w:val="none"/>
          <w:lang w:val="en-US" w:eastAsia="zh-CN"/>
        </w:rPr>
      </w:pPr>
      <w:r>
        <w:rPr>
          <w:rFonts w:hint="eastAsia" w:asciiTheme="minorEastAsia" w:hAnsiTheme="minorEastAsia" w:eastAsiaTheme="minorEastAsia" w:cstheme="minorEastAsia"/>
          <w:bCs/>
          <w:color w:val="auto"/>
          <w:sz w:val="28"/>
          <w:szCs w:val="28"/>
          <w:highlight w:val="none"/>
          <w:lang w:val="en-US" w:eastAsia="zh-CN"/>
        </w:rPr>
        <w:t>岳阳市自然资源和规划局及其分局、二级机构等全部分开独立核算。按市委考评工作规定,由主管单位对其实施绩效考评,所以本次重点对局机关部门整体支出预算绩效进行自评。</w:t>
      </w:r>
    </w:p>
    <w:p>
      <w:pPr>
        <w:pStyle w:val="2"/>
        <w:pageBreakBefore w:val="0"/>
        <w:widowControl w:val="0"/>
        <w:kinsoku/>
        <w:wordWrap/>
        <w:overflowPunct/>
        <w:topLinePunct w:val="0"/>
        <w:autoSpaceDE/>
        <w:bidi w:val="0"/>
        <w:adjustRightInd/>
        <w:snapToGrid/>
        <w:spacing w:line="520" w:lineRule="exact"/>
        <w:rPr>
          <w:rFonts w:hint="eastAsia" w:asciiTheme="minorEastAsia" w:hAnsiTheme="minorEastAsia" w:eastAsiaTheme="minorEastAsia" w:cstheme="minorEastAsia"/>
          <w:sz w:val="28"/>
          <w:szCs w:val="28"/>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left="630" w:leftChars="0" w:firstLine="0" w:firstLineChars="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主要职能职责</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1、 依法履行全民所有土地、矿产、森林、草原、湿地、水等自然资源资产所有者职责和国土空间用途管制职责。</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2、 负责自然资源调查监测评价。</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3、 负责自然资源统一确权登记工作。</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4、 负责自然资源资产有偿使用工作。</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5、 负责自然资源的合理开发利用。</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6、 负责建立国土空间规划体系并监督实施。</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7、 负责制定国土空间规划编制计划和近期建设规划，制定土地利用及储备供应、矿产资源保护利用、基础测绘、新增建设用地等年度计划，并组织实施；参与城市发展年度建设计划及实施工作。</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8、 负责统筹国土空间生态修复。牵头组织编制国土空间生态修复规划并实施有关生态修复重大工程。牵头建立和实施生态保护补偿制度，并提出市级重大备选项目。</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9、 负责组织实施最严格的耕地保护制度。牵头实施耕地保护政策，负责耕地数量和生态保护，做好耕地质量保护有关工作。</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10、负责管理地质勘查行业和全市地质工作。</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11、负责地质灾害预防和治理。</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12、负责矿产资源管理工作。</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13、推动自然资源领域科技发展。</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14、负责测绘地理信息管理工作。</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15、根据授权，对市以下各级政府及相关部门落实市委、市政府关于自然资源、国土空间规划重大政策、决策部署及法规规章执行情况进行督察。依法查处自然资源开发利用、国土空间规划及测绘领域违法案件。负责涉及自然资源和规划管理事项的信访处理、行政复议、行政诉讼等工作。</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16、统一领导和管理市林业局。</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17、完成市委、市政府交办的其他事项。</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18、职能转变。</w:t>
      </w:r>
    </w:p>
    <w:p>
      <w:pPr>
        <w:pageBreakBefore w:val="0"/>
        <w:widowControl w:val="0"/>
        <w:kinsoku/>
        <w:wordWrap/>
        <w:overflowPunct/>
        <w:topLinePunct w:val="0"/>
        <w:autoSpaceDE/>
        <w:bidi w:val="0"/>
        <w:adjustRightInd/>
        <w:snapToGrid/>
        <w:spacing w:line="520" w:lineRule="exact"/>
        <w:rPr>
          <w:rFonts w:hint="eastAsia" w:asciiTheme="minorEastAsia" w:hAnsiTheme="minorEastAsia" w:eastAsiaTheme="minorEastAsia" w:cstheme="minorEastAsia"/>
          <w:sz w:val="28"/>
          <w:szCs w:val="28"/>
          <w:lang w:val="en-US" w:eastAsia="zh-CN"/>
        </w:rPr>
      </w:pPr>
    </w:p>
    <w:p>
      <w:pPr>
        <w:pStyle w:val="2"/>
        <w:keepNext w:val="0"/>
        <w:keepLines w:val="0"/>
        <w:pageBreakBefore w:val="0"/>
        <w:widowControl w:val="0"/>
        <w:numPr>
          <w:ilvl w:val="0"/>
          <w:numId w:val="1"/>
        </w:numPr>
        <w:kinsoku/>
        <w:wordWrap/>
        <w:overflowPunct/>
        <w:topLinePunct w:val="0"/>
        <w:autoSpaceDE/>
        <w:autoSpaceDN/>
        <w:bidi w:val="0"/>
        <w:adjustRightInd/>
        <w:snapToGrid/>
        <w:spacing w:line="520" w:lineRule="exact"/>
        <w:ind w:left="630" w:leftChars="0" w:firstLine="0" w:firstLineChars="0"/>
        <w:textAlignment w:val="auto"/>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b/>
          <w:bCs/>
          <w:sz w:val="28"/>
          <w:szCs w:val="28"/>
          <w:lang w:val="en-US" w:eastAsia="zh-CN"/>
        </w:rPr>
        <w:t>重点工作计划</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根据市自然资源和规划局党组书记、局长《2021年全市自然资源和规划工作报告》，2021年重点工作安排如下：</w:t>
      </w:r>
    </w:p>
    <w:p>
      <w:pPr>
        <w:keepNext w:val="0"/>
        <w:keepLines w:val="0"/>
        <w:pageBreakBefore w:val="0"/>
        <w:widowControl w:val="0"/>
        <w:numPr>
          <w:ilvl w:val="0"/>
          <w:numId w:val="2"/>
        </w:numPr>
        <w:kinsoku/>
        <w:wordWrap/>
        <w:overflowPunct/>
        <w:topLinePunct w:val="0"/>
        <w:autoSpaceDE/>
        <w:autoSpaceDN w:val="0"/>
        <w:bidi w:val="0"/>
        <w:adjustRightInd/>
        <w:snapToGrid/>
        <w:spacing w:line="520" w:lineRule="exact"/>
        <w:ind w:firstLine="420" w:firstLineChars="150"/>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全力编制好规划，推进城市建设与品质提升。一是全面推进国土空间规划编制；二是大力推进村庄规划编制工作；三是建立完善规划管控体系。</w:t>
      </w:r>
    </w:p>
    <w:p>
      <w:pPr>
        <w:keepNext w:val="0"/>
        <w:keepLines w:val="0"/>
        <w:pageBreakBefore w:val="0"/>
        <w:widowControl w:val="0"/>
        <w:kinsoku/>
        <w:wordWrap/>
        <w:overflowPunct/>
        <w:topLinePunct w:val="0"/>
        <w:autoSpaceDE/>
        <w:autoSpaceDN w:val="0"/>
        <w:bidi w:val="0"/>
        <w:adjustRightInd/>
        <w:snapToGrid/>
        <w:spacing w:line="520" w:lineRule="exact"/>
        <w:ind w:firstLine="420" w:firstLineChars="150"/>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2、竭力做好要素保障，服务项目落地与产业发展。一是持续优化用地审批服务；二是加快完善土地供应机制；三是加强节约集约用地；四是深化“最多跑一次”改革、优化营商环境。</w:t>
      </w:r>
    </w:p>
    <w:p>
      <w:pPr>
        <w:keepNext w:val="0"/>
        <w:keepLines w:val="0"/>
        <w:pageBreakBefore w:val="0"/>
        <w:widowControl w:val="0"/>
        <w:kinsoku/>
        <w:wordWrap/>
        <w:overflowPunct/>
        <w:topLinePunct w:val="0"/>
        <w:autoSpaceDE/>
        <w:autoSpaceDN w:val="0"/>
        <w:bidi w:val="0"/>
        <w:adjustRightInd/>
        <w:snapToGrid/>
        <w:spacing w:line="520" w:lineRule="exact"/>
        <w:ind w:firstLine="420" w:firstLineChars="150"/>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3、努力加强资源管控，严守绿色发展底线。一是强化耕地保护；二是加强自然资源执法保障体系建设；三是强化“三调”成果运用；四是稳妥推进农村乱占耕地建房问题整治。</w:t>
      </w:r>
    </w:p>
    <w:p>
      <w:pPr>
        <w:keepNext w:val="0"/>
        <w:keepLines w:val="0"/>
        <w:pageBreakBefore w:val="0"/>
        <w:widowControl w:val="0"/>
        <w:kinsoku/>
        <w:wordWrap/>
        <w:overflowPunct/>
        <w:topLinePunct w:val="0"/>
        <w:autoSpaceDE/>
        <w:autoSpaceDN w:val="0"/>
        <w:bidi w:val="0"/>
        <w:adjustRightInd/>
        <w:snapToGrid/>
        <w:spacing w:line="520" w:lineRule="exact"/>
        <w:ind w:firstLine="420" w:firstLineChars="150"/>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4.尽力强化民生保障，增进惠民利民益民。一是强化地质灾害防治；二是推进矿业转型发展；三是加强生态保护修复；四是巩固脱贫攻坚成果，助推乡村振兴；五是抓好中心城区违法建设集中整治行动。</w:t>
      </w:r>
    </w:p>
    <w:p>
      <w:pPr>
        <w:keepNext w:val="0"/>
        <w:keepLines w:val="0"/>
        <w:pageBreakBefore w:val="0"/>
        <w:widowControl w:val="0"/>
        <w:kinsoku/>
        <w:wordWrap/>
        <w:overflowPunct/>
        <w:topLinePunct w:val="0"/>
        <w:autoSpaceDE/>
        <w:autoSpaceDN w:val="0"/>
        <w:bidi w:val="0"/>
        <w:adjustRightInd/>
        <w:snapToGrid/>
        <w:spacing w:line="520" w:lineRule="exact"/>
        <w:ind w:firstLine="420" w:firstLineChars="150"/>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5.着力提升基础效能，筑牢事业发展根基。一是切实加强信息化建设；二是切实加强法治建设；三是切实加强信访工作；四是切实加强基础工作。</w:t>
      </w:r>
    </w:p>
    <w:p>
      <w:pPr>
        <w:keepNext w:val="0"/>
        <w:keepLines w:val="0"/>
        <w:pageBreakBefore w:val="0"/>
        <w:widowControl w:val="0"/>
        <w:kinsoku/>
        <w:wordWrap/>
        <w:overflowPunct/>
        <w:topLinePunct w:val="0"/>
        <w:autoSpaceDE/>
        <w:autoSpaceDN w:val="0"/>
        <w:bidi w:val="0"/>
        <w:adjustRightInd/>
        <w:snapToGrid/>
        <w:spacing w:line="520" w:lineRule="exact"/>
        <w:ind w:firstLine="420" w:firstLineChars="150"/>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6.致力突出政治引领，提升党建工作实效。一是坚定正确政治方向；二是持续深化作风建设；三是抓牢抓实廉政建设。</w:t>
      </w:r>
    </w:p>
    <w:p>
      <w:pPr>
        <w:pStyle w:val="6"/>
        <w:pageBreakBefore w:val="0"/>
        <w:widowControl w:val="0"/>
        <w:kinsoku/>
        <w:wordWrap/>
        <w:overflowPunct/>
        <w:topLinePunct w:val="0"/>
        <w:autoSpaceDE/>
        <w:bidi w:val="0"/>
        <w:adjustRightInd/>
        <w:snapToGrid/>
        <w:spacing w:line="520" w:lineRule="exact"/>
        <w:rPr>
          <w:rFonts w:hint="eastAsia" w:asciiTheme="minorEastAsia" w:hAnsiTheme="minorEastAsia" w:eastAsiaTheme="minorEastAsia" w:cstheme="minorEastAsia"/>
          <w:sz w:val="28"/>
          <w:szCs w:val="28"/>
          <w:lang w:val="en-US" w:eastAsia="zh-CN"/>
        </w:rPr>
      </w:pPr>
    </w:p>
    <w:p>
      <w:pPr>
        <w:pStyle w:val="3"/>
        <w:keepNext w:val="0"/>
        <w:keepLines w:val="0"/>
        <w:pageBreakBefore w:val="0"/>
        <w:widowControl w:val="0"/>
        <w:kinsoku/>
        <w:wordWrap/>
        <w:overflowPunct/>
        <w:topLinePunct w:val="0"/>
        <w:autoSpaceDE/>
        <w:autoSpaceDN/>
        <w:bidi w:val="0"/>
        <w:adjustRightInd/>
        <w:snapToGrid/>
        <w:spacing w:line="520" w:lineRule="exact"/>
        <w:ind w:left="0" w:leftChars="0" w:firstLine="562" w:firstLineChars="200"/>
        <w:textAlignment w:val="auto"/>
        <w:rPr>
          <w:rFonts w:hint="eastAsia" w:asciiTheme="minorEastAsia" w:hAnsiTheme="minorEastAsia" w:eastAsiaTheme="minorEastAsia" w:cstheme="minorEastAsia"/>
          <w:b/>
          <w:bCs w:val="0"/>
          <w:color w:val="auto"/>
          <w:kern w:val="2"/>
          <w:sz w:val="28"/>
          <w:szCs w:val="28"/>
          <w:highlight w:val="none"/>
          <w:lang w:val="en-US" w:eastAsia="zh-CN" w:bidi="ar-SA"/>
        </w:rPr>
      </w:pPr>
      <w:r>
        <w:rPr>
          <w:rFonts w:hint="eastAsia" w:asciiTheme="minorEastAsia" w:hAnsiTheme="minorEastAsia" w:eastAsiaTheme="minorEastAsia" w:cstheme="minorEastAsia"/>
          <w:b/>
          <w:bCs w:val="0"/>
          <w:color w:val="auto"/>
          <w:kern w:val="2"/>
          <w:sz w:val="28"/>
          <w:szCs w:val="28"/>
          <w:highlight w:val="none"/>
          <w:lang w:val="en-US" w:eastAsia="zh-CN" w:bidi="ar-SA"/>
        </w:rPr>
        <w:t>二、年度绩效目标及完成情况</w:t>
      </w:r>
    </w:p>
    <w:p>
      <w:pPr>
        <w:keepNext w:val="0"/>
        <w:keepLines w:val="0"/>
        <w:pageBreakBefore w:val="0"/>
        <w:widowControl w:val="0"/>
        <w:kinsoku/>
        <w:wordWrap/>
        <w:overflowPunct/>
        <w:topLinePunct w:val="0"/>
        <w:autoSpaceDE/>
        <w:autoSpaceDN/>
        <w:bidi w:val="0"/>
        <w:adjustRightInd/>
        <w:snapToGrid/>
        <w:spacing w:line="520" w:lineRule="exact"/>
        <w:ind w:firstLine="281" w:firstLineChars="100"/>
        <w:textAlignment w:val="auto"/>
        <w:rPr>
          <w:rFonts w:hint="eastAsia" w:asciiTheme="minorEastAsia" w:hAnsiTheme="minorEastAsia" w:eastAsiaTheme="minorEastAsia" w:cstheme="minorEastAsia"/>
          <w:b/>
          <w:bCs w:val="0"/>
          <w:color w:val="auto"/>
          <w:kern w:val="2"/>
          <w:sz w:val="28"/>
          <w:szCs w:val="28"/>
          <w:highlight w:val="none"/>
          <w:lang w:val="en-US" w:eastAsia="zh-CN" w:bidi="ar-SA"/>
        </w:rPr>
      </w:pPr>
      <w:r>
        <w:rPr>
          <w:rFonts w:hint="eastAsia" w:asciiTheme="minorEastAsia" w:hAnsiTheme="minorEastAsia" w:eastAsiaTheme="minorEastAsia" w:cstheme="minorEastAsia"/>
          <w:b/>
          <w:bCs w:val="0"/>
          <w:color w:val="auto"/>
          <w:kern w:val="2"/>
          <w:sz w:val="28"/>
          <w:szCs w:val="28"/>
          <w:highlight w:val="none"/>
          <w:lang w:val="en-US" w:eastAsia="zh-CN" w:bidi="ar-SA"/>
        </w:rPr>
        <w:t>（一）年度绩效目标</w:t>
      </w:r>
    </w:p>
    <w:p>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color w:val="auto"/>
          <w:kern w:val="2"/>
          <w:sz w:val="28"/>
          <w:szCs w:val="28"/>
          <w:highlight w:val="none"/>
          <w:lang w:val="en-US" w:eastAsia="zh-CN" w:bidi="ar-SA"/>
        </w:rPr>
      </w:pPr>
      <w:r>
        <w:rPr>
          <w:rFonts w:hint="eastAsia" w:asciiTheme="minorEastAsia" w:hAnsiTheme="minorEastAsia" w:eastAsiaTheme="minorEastAsia" w:cstheme="minorEastAsia"/>
          <w:b/>
          <w:bCs w:val="0"/>
          <w:color w:val="auto"/>
          <w:kern w:val="2"/>
          <w:sz w:val="28"/>
          <w:szCs w:val="28"/>
          <w:highlight w:val="none"/>
          <w:lang w:val="en-US" w:eastAsia="zh-CN" w:bidi="ar-SA"/>
        </w:rPr>
        <w:t>1、产出数量 （定量、定性指标）</w:t>
      </w:r>
    </w:p>
    <w:p>
      <w:pPr>
        <w:keepNext w:val="0"/>
        <w:keepLines w:val="0"/>
        <w:pageBreakBefore w:val="0"/>
        <w:widowControl w:val="0"/>
        <w:kinsoku/>
        <w:wordWrap/>
        <w:overflowPunct/>
        <w:topLinePunct w:val="0"/>
        <w:autoSpaceDE/>
        <w:autoSpaceDN w:val="0"/>
        <w:bidi w:val="0"/>
        <w:adjustRightInd/>
        <w:snapToGrid/>
        <w:spacing w:line="520" w:lineRule="exact"/>
        <w:ind w:firstLine="422" w:firstLineChars="150"/>
        <w:textAlignment w:val="center"/>
        <w:rPr>
          <w:rFonts w:hint="eastAsia" w:asciiTheme="minorEastAsia" w:hAnsiTheme="minorEastAsia" w:eastAsiaTheme="minorEastAsia" w:cstheme="minorEastAsia"/>
          <w:b/>
          <w:bCs w:val="0"/>
          <w:color w:val="auto"/>
          <w:kern w:val="2"/>
          <w:sz w:val="28"/>
          <w:szCs w:val="28"/>
          <w:highlight w:val="none"/>
          <w:lang w:val="en-US" w:eastAsia="zh-CN" w:bidi="ar-SA"/>
        </w:rPr>
      </w:pPr>
      <w:r>
        <w:rPr>
          <w:rFonts w:hint="eastAsia" w:asciiTheme="minorEastAsia" w:hAnsiTheme="minorEastAsia" w:eastAsiaTheme="minorEastAsia" w:cstheme="minorEastAsia"/>
          <w:b/>
          <w:bCs w:val="0"/>
          <w:color w:val="auto"/>
          <w:kern w:val="2"/>
          <w:sz w:val="28"/>
          <w:szCs w:val="28"/>
          <w:highlight w:val="none"/>
          <w:lang w:val="en-US" w:eastAsia="zh-CN" w:bidi="ar-SA"/>
        </w:rPr>
        <w:t>（1）规划编制与完善方面</w:t>
      </w:r>
    </w:p>
    <w:p>
      <w:pPr>
        <w:keepNext w:val="0"/>
        <w:keepLines w:val="0"/>
        <w:pageBreakBefore w:val="0"/>
        <w:widowControl w:val="0"/>
        <w:kinsoku/>
        <w:wordWrap/>
        <w:overflowPunct/>
        <w:topLinePunct w:val="0"/>
        <w:autoSpaceDE/>
        <w:autoSpaceDN w:val="0"/>
        <w:bidi w:val="0"/>
        <w:adjustRightInd/>
        <w:snapToGrid/>
        <w:spacing w:line="520" w:lineRule="exact"/>
        <w:ind w:firstLine="420" w:firstLineChars="150"/>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一是国土空间规划编制。统筹划定“三条控制线”，编制城市设计、村庄规划编制。</w:t>
      </w:r>
    </w:p>
    <w:p>
      <w:pPr>
        <w:keepNext w:val="0"/>
        <w:keepLines w:val="0"/>
        <w:pageBreakBefore w:val="0"/>
        <w:widowControl w:val="0"/>
        <w:kinsoku/>
        <w:wordWrap/>
        <w:overflowPunct/>
        <w:topLinePunct w:val="0"/>
        <w:autoSpaceDE/>
        <w:autoSpaceDN w:val="0"/>
        <w:bidi w:val="0"/>
        <w:adjustRightInd/>
        <w:snapToGrid/>
        <w:spacing w:line="520" w:lineRule="exact"/>
        <w:ind w:firstLine="420" w:firstLineChars="150"/>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二是生态修复治理。做好修复工程项目申报及历史遗留矿山图斑核查，上报确认未修复历史遗留矿山683公顷，计划十四五期间修复约546公顷，拟实现修复率80%。</w:t>
      </w:r>
    </w:p>
    <w:p>
      <w:pPr>
        <w:keepNext w:val="0"/>
        <w:keepLines w:val="0"/>
        <w:pageBreakBefore w:val="0"/>
        <w:widowControl w:val="0"/>
        <w:kinsoku/>
        <w:wordWrap/>
        <w:overflowPunct/>
        <w:topLinePunct w:val="0"/>
        <w:autoSpaceDE/>
        <w:autoSpaceDN w:val="0"/>
        <w:bidi w:val="0"/>
        <w:adjustRightInd/>
        <w:snapToGrid/>
        <w:spacing w:line="520" w:lineRule="exact"/>
        <w:ind w:firstLine="420" w:firstLineChars="150"/>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三是绿色矿山建设。编制专项规划，推进砂石土矿专项整治，完成砂石土采矿权关闭目标。</w:t>
      </w:r>
    </w:p>
    <w:p>
      <w:pPr>
        <w:keepNext w:val="0"/>
        <w:keepLines w:val="0"/>
        <w:pageBreakBefore w:val="0"/>
        <w:widowControl w:val="0"/>
        <w:kinsoku/>
        <w:wordWrap/>
        <w:overflowPunct/>
        <w:topLinePunct w:val="0"/>
        <w:autoSpaceDE/>
        <w:autoSpaceDN w:val="0"/>
        <w:bidi w:val="0"/>
        <w:adjustRightInd/>
        <w:snapToGrid/>
        <w:spacing w:line="520" w:lineRule="exact"/>
        <w:ind w:firstLine="562" w:firstLineChars="200"/>
        <w:jc w:val="left"/>
        <w:textAlignment w:val="center"/>
        <w:rPr>
          <w:rFonts w:hint="eastAsia" w:asciiTheme="minorEastAsia" w:hAnsiTheme="minorEastAsia" w:eastAsiaTheme="minorEastAsia" w:cstheme="minorEastAsia"/>
          <w:b/>
          <w:bCs w:val="0"/>
          <w:color w:val="auto"/>
          <w:kern w:val="2"/>
          <w:sz w:val="28"/>
          <w:szCs w:val="28"/>
          <w:highlight w:val="none"/>
          <w:lang w:val="en-US" w:eastAsia="zh-CN" w:bidi="ar-SA"/>
        </w:rPr>
      </w:pPr>
      <w:r>
        <w:rPr>
          <w:rFonts w:hint="eastAsia" w:asciiTheme="minorEastAsia" w:hAnsiTheme="minorEastAsia" w:eastAsiaTheme="minorEastAsia" w:cstheme="minorEastAsia"/>
          <w:b/>
          <w:bCs w:val="0"/>
          <w:color w:val="auto"/>
          <w:kern w:val="2"/>
          <w:sz w:val="28"/>
          <w:szCs w:val="28"/>
          <w:highlight w:val="none"/>
          <w:lang w:val="en-US" w:eastAsia="zh-CN" w:bidi="ar-SA"/>
        </w:rPr>
        <w:t>（2）耕地保护、执法体系建设、“三调”成果、农村乱占耕地建房问题整治方面</w:t>
      </w:r>
    </w:p>
    <w:p>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一是强化耕地保护。配合省整治局核实验收项目30个，确认增减挂钩项目4批次，做到占优补优、占水田补水田。</w:t>
      </w:r>
    </w:p>
    <w:p>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二是督查执法。抓实问题“回头看”，全市乱占耕地建房问题整改率达到100%。</w:t>
      </w:r>
    </w:p>
    <w:p>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三是资源调查工作。完成用地专项调查、农村空心房专项调查、年度国土变更调查等工作，成果上报省厅并通过省级核查。</w:t>
      </w:r>
    </w:p>
    <w:p>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firstLine="562" w:firstLineChars="200"/>
        <w:jc w:val="left"/>
        <w:textAlignment w:val="center"/>
        <w:rPr>
          <w:rFonts w:hint="eastAsia" w:asciiTheme="minorEastAsia" w:hAnsiTheme="minorEastAsia" w:eastAsiaTheme="minorEastAsia" w:cstheme="minorEastAsia"/>
          <w:b/>
          <w:bCs w:val="0"/>
          <w:color w:val="auto"/>
          <w:kern w:val="2"/>
          <w:sz w:val="28"/>
          <w:szCs w:val="28"/>
          <w:highlight w:val="none"/>
          <w:lang w:val="en-US" w:eastAsia="zh-CN" w:bidi="ar-SA"/>
        </w:rPr>
      </w:pPr>
      <w:r>
        <w:rPr>
          <w:rFonts w:hint="eastAsia" w:asciiTheme="minorEastAsia" w:hAnsiTheme="minorEastAsia" w:eastAsiaTheme="minorEastAsia" w:cstheme="minorEastAsia"/>
          <w:b/>
          <w:bCs w:val="0"/>
          <w:color w:val="auto"/>
          <w:kern w:val="2"/>
          <w:sz w:val="28"/>
          <w:szCs w:val="28"/>
          <w:highlight w:val="none"/>
          <w:lang w:val="en-US" w:eastAsia="zh-CN" w:bidi="ar-SA"/>
        </w:rPr>
        <w:t>（3）土地要素、优化营商环境、节约用地方面</w:t>
      </w:r>
    </w:p>
    <w:p>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一是土地要素保障。重大项目顺利落地，全市清零验收121个土地依法征收项目，完成建设用地供应1099宗2811.02公顷，追缴往年欠缴土地出让金12.32亿元。</w:t>
      </w:r>
    </w:p>
    <w:p>
      <w:pPr>
        <w:pStyle w:val="6"/>
        <w:keepNext w:val="0"/>
        <w:keepLines w:val="0"/>
        <w:pageBreakBefore w:val="0"/>
        <w:widowControl w:val="0"/>
        <w:kinsoku/>
        <w:wordWrap/>
        <w:overflowPunct/>
        <w:topLinePunct w:val="0"/>
        <w:autoSpaceDE/>
        <w:bidi w:val="0"/>
        <w:adjustRightInd/>
        <w:snapToGrid/>
        <w:spacing w:line="520" w:lineRule="exact"/>
        <w:ind w:left="0" w:leftChars="0" w:firstLine="560" w:firstLineChars="200"/>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二是优化营商环境。核发建设用地规划许可36项，建设工程规划许可75项，“多测合一”改革实现全流程、全覆盖。2个试点项目顺利实施“拿地即开工”。</w:t>
      </w:r>
    </w:p>
    <w:p>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三是集约用地。完成省厅下达处置批而未供土地1357.57公顷，处置闲置土地781.95公顷任务；“摘帽”行动处置43宗，“净地”攻坚行动处置59宗“执法”行动34宗、处置率100%。</w:t>
      </w:r>
    </w:p>
    <w:p>
      <w:pPr>
        <w:keepNext w:val="0"/>
        <w:keepLines w:val="0"/>
        <w:pageBreakBefore w:val="0"/>
        <w:widowControl w:val="0"/>
        <w:kinsoku/>
        <w:wordWrap/>
        <w:overflowPunct/>
        <w:topLinePunct w:val="0"/>
        <w:autoSpaceDE/>
        <w:autoSpaceDN w:val="0"/>
        <w:bidi w:val="0"/>
        <w:adjustRightInd/>
        <w:snapToGrid/>
        <w:spacing w:line="520" w:lineRule="exact"/>
        <w:ind w:firstLine="562" w:firstLineChars="200"/>
        <w:jc w:val="left"/>
        <w:textAlignment w:val="center"/>
        <w:rPr>
          <w:rFonts w:hint="eastAsia" w:asciiTheme="minorEastAsia" w:hAnsiTheme="minorEastAsia" w:eastAsiaTheme="minorEastAsia" w:cstheme="minorEastAsia"/>
          <w:b/>
          <w:bCs w:val="0"/>
          <w:color w:val="auto"/>
          <w:kern w:val="2"/>
          <w:sz w:val="28"/>
          <w:szCs w:val="28"/>
          <w:highlight w:val="none"/>
          <w:lang w:val="en-US" w:eastAsia="zh-CN" w:bidi="ar-SA"/>
        </w:rPr>
      </w:pPr>
      <w:r>
        <w:rPr>
          <w:rFonts w:hint="eastAsia" w:asciiTheme="minorEastAsia" w:hAnsiTheme="minorEastAsia" w:eastAsiaTheme="minorEastAsia" w:cstheme="minorEastAsia"/>
          <w:b/>
          <w:bCs w:val="0"/>
          <w:color w:val="auto"/>
          <w:kern w:val="2"/>
          <w:sz w:val="28"/>
          <w:szCs w:val="28"/>
          <w:highlight w:val="none"/>
          <w:lang w:val="en-US" w:eastAsia="zh-CN" w:bidi="ar-SA"/>
        </w:rPr>
        <w:t>（4）地灾防治、不动产登记服务、信访问题化解及禁拆治违方面</w:t>
      </w:r>
    </w:p>
    <w:p>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一是地灾防治。全市共举办应急避险演练40次；持续保持地灾隐患点“零死亡”。</w:t>
      </w:r>
    </w:p>
    <w:p>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二是提升不动产登记服务。建设不动产交易登记审核效率提升，最快“60分钟”出证；将不动登记“一窗办事”平台延伸；推行各类业务“网上办、掌上办、自助办”，实现了“数据多跑路，群众少跑腿”。</w:t>
      </w:r>
    </w:p>
    <w:p>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三是购房群众合法权益保护。全市87个房地产办证信访突出问题化解90%，做到了“交房即交证”改革工作全覆盖。</w:t>
      </w:r>
    </w:p>
    <w:p>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四是完成禁拆治违整治行动。全市拆违200万㎡以上。</w:t>
      </w:r>
    </w:p>
    <w:p>
      <w:pPr>
        <w:keepNext w:val="0"/>
        <w:keepLines w:val="0"/>
        <w:pageBreakBefore w:val="0"/>
        <w:widowControl w:val="0"/>
        <w:kinsoku/>
        <w:wordWrap/>
        <w:overflowPunct/>
        <w:topLinePunct w:val="0"/>
        <w:autoSpaceDE/>
        <w:autoSpaceDN w:val="0"/>
        <w:bidi w:val="0"/>
        <w:adjustRightInd/>
        <w:snapToGrid/>
        <w:spacing w:line="520" w:lineRule="exact"/>
        <w:ind w:firstLine="562" w:firstLineChars="200"/>
        <w:jc w:val="left"/>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
          <w:bCs w:val="0"/>
          <w:color w:val="auto"/>
          <w:kern w:val="2"/>
          <w:sz w:val="28"/>
          <w:szCs w:val="28"/>
          <w:highlight w:val="none"/>
          <w:lang w:val="en-US" w:eastAsia="zh-CN" w:bidi="ar-SA"/>
        </w:rPr>
        <w:t>（5）深化机构改革、人才培养、信息化建设、信访维稳方面</w:t>
      </w:r>
    </w:p>
    <w:p>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一是深化机构改革。搞好部分单位职权下放、市规划设计院改制方面</w:t>
      </w:r>
    </w:p>
    <w:p>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二是人才培养。搞好选拔任用干部、岗位交流干部，完成调训、培训任务</w:t>
      </w:r>
    </w:p>
    <w:p>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三是信息化建设。完成局政务平台综合办公及审批系统业务流程改造和国产化适配。</w:t>
      </w:r>
    </w:p>
    <w:p>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四是信访维稳。完成市级信访积案，接待群众来信来访，办理交办转办件，处置网络舆情事件件，办理建议提案。</w:t>
      </w:r>
    </w:p>
    <w:p>
      <w:pPr>
        <w:keepNext w:val="0"/>
        <w:keepLines w:val="0"/>
        <w:pageBreakBefore w:val="0"/>
        <w:widowControl w:val="0"/>
        <w:kinsoku/>
        <w:wordWrap/>
        <w:overflowPunct/>
        <w:topLinePunct w:val="0"/>
        <w:autoSpaceDE/>
        <w:autoSpaceDN w:val="0"/>
        <w:bidi w:val="0"/>
        <w:adjustRightInd/>
        <w:snapToGrid/>
        <w:spacing w:line="520" w:lineRule="exact"/>
        <w:ind w:firstLine="562" w:firstLineChars="200"/>
        <w:jc w:val="left"/>
        <w:textAlignment w:val="center"/>
        <w:rPr>
          <w:rFonts w:hint="eastAsia" w:asciiTheme="minorEastAsia" w:hAnsiTheme="minorEastAsia" w:eastAsiaTheme="minorEastAsia" w:cstheme="minorEastAsia"/>
          <w:b/>
          <w:bCs w:val="0"/>
          <w:color w:val="auto"/>
          <w:kern w:val="2"/>
          <w:sz w:val="28"/>
          <w:szCs w:val="28"/>
          <w:highlight w:val="none"/>
          <w:lang w:val="en-US" w:eastAsia="zh-CN" w:bidi="ar-SA"/>
        </w:rPr>
      </w:pPr>
      <w:r>
        <w:rPr>
          <w:rFonts w:hint="eastAsia" w:asciiTheme="minorEastAsia" w:hAnsiTheme="minorEastAsia" w:eastAsiaTheme="minorEastAsia" w:cstheme="minorEastAsia"/>
          <w:b/>
          <w:bCs w:val="0"/>
          <w:color w:val="auto"/>
          <w:kern w:val="2"/>
          <w:sz w:val="28"/>
          <w:szCs w:val="28"/>
          <w:highlight w:val="none"/>
          <w:lang w:val="en-US" w:eastAsia="zh-CN" w:bidi="ar-SA"/>
        </w:rPr>
        <w:t>（6）党建及廉政建设方面</w:t>
      </w:r>
    </w:p>
    <w:p>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一是政治立场稳定。组织党组中心组学习18次、市委巡察反馈问题整改率100%。</w:t>
      </w:r>
    </w:p>
    <w:p>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二是巩固基层党建。开展“主题党日”活动，扎实推进“我为群众办实事”实践活动。组织开展宣讲比赛活动，评选表彰“一先两优”。</w:t>
      </w:r>
    </w:p>
    <w:p>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三是意识形态。完善《岳阳市自然资源和规划局落实意识形态工作责任制》。加强了网络舆论管控，及时清理解散“僵尸”QQ工作群，推动“学习强国”平台深化应用。</w:t>
      </w:r>
    </w:p>
    <w:p>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四是廉政建设。切实履行党风廉政建设主体责任和“一岗双责”，制定《2021年落实党风廉政建设责任制工作任务和分工意见》《2021年党风廉政建设和反腐败工作要点》，开展廉政谈话，观看廉政电视教育片2次，严格执纪问责。</w:t>
      </w:r>
    </w:p>
    <w:p>
      <w:pPr>
        <w:keepNext w:val="0"/>
        <w:keepLines w:val="0"/>
        <w:pageBreakBefore w:val="0"/>
        <w:widowControl w:val="0"/>
        <w:kinsoku/>
        <w:wordWrap/>
        <w:overflowPunct/>
        <w:topLinePunct w:val="0"/>
        <w:autoSpaceDE/>
        <w:autoSpaceDN w:val="0"/>
        <w:bidi w:val="0"/>
        <w:adjustRightInd/>
        <w:snapToGrid/>
        <w:spacing w:line="520" w:lineRule="exact"/>
        <w:ind w:firstLine="280" w:firstLineChars="100"/>
        <w:jc w:val="left"/>
        <w:textAlignment w:val="center"/>
        <w:rPr>
          <w:rFonts w:hint="eastAsia" w:asciiTheme="minorEastAsia" w:hAnsiTheme="minorEastAsia" w:eastAsiaTheme="minorEastAsia" w:cstheme="minorEastAsia"/>
          <w:b/>
          <w:bCs/>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 xml:space="preserve"> </w:t>
      </w:r>
      <w:r>
        <w:rPr>
          <w:rFonts w:hint="eastAsia" w:asciiTheme="minorEastAsia" w:hAnsiTheme="minorEastAsia" w:eastAsiaTheme="minorEastAsia" w:cstheme="minorEastAsia"/>
          <w:b/>
          <w:bCs/>
          <w:color w:val="000000"/>
          <w:sz w:val="28"/>
          <w:szCs w:val="28"/>
          <w:lang w:val="en-US" w:eastAsia="zh-CN"/>
        </w:rPr>
        <w:t xml:space="preserve"> 2、质量目标</w:t>
      </w:r>
    </w:p>
    <w:p>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（1）编制国土空间规划成果通过上级部门及专家审查通过。</w:t>
      </w:r>
    </w:p>
    <w:p>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（2）耕地保有量达到省标准。</w:t>
      </w:r>
    </w:p>
    <w:p>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（3）完成督查整改问题100%，违建别墅问题无新增。</w:t>
      </w:r>
    </w:p>
    <w:p>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（4）持续保持地质灾害隐患点“零死亡”“最多跑一次”改革落实到位，优化营商环境专项巡察整改率100%。</w:t>
      </w:r>
    </w:p>
    <w:p>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（5）违法行为查处整改率合格，上级部门约谈和问责为0次</w:t>
      </w:r>
    </w:p>
    <w:p>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（6）重点项目跟踪服务落地率100%。</w:t>
      </w:r>
    </w:p>
    <w:p>
      <w:pPr>
        <w:pStyle w:val="2"/>
        <w:pageBreakBefore w:val="0"/>
        <w:widowControl w:val="0"/>
        <w:kinsoku/>
        <w:wordWrap/>
        <w:overflowPunct/>
        <w:topLinePunct w:val="0"/>
        <w:autoSpaceDE/>
        <w:bidi w:val="0"/>
        <w:adjustRightInd/>
        <w:snapToGrid/>
        <w:spacing w:line="520" w:lineRule="exact"/>
        <w:rPr>
          <w:rFonts w:hint="eastAsia" w:asciiTheme="minorEastAsia" w:hAnsiTheme="minorEastAsia" w:eastAsiaTheme="minorEastAsia" w:cstheme="minorEastAsia"/>
          <w:b/>
          <w:bCs/>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 xml:space="preserve">   </w:t>
      </w:r>
      <w:r>
        <w:rPr>
          <w:rFonts w:hint="eastAsia" w:asciiTheme="minorEastAsia" w:hAnsiTheme="minorEastAsia" w:eastAsiaTheme="minorEastAsia" w:cstheme="minorEastAsia"/>
          <w:b/>
          <w:bCs/>
          <w:color w:val="000000"/>
          <w:sz w:val="28"/>
          <w:szCs w:val="28"/>
          <w:lang w:val="en-US" w:eastAsia="zh-CN"/>
        </w:rPr>
        <w:t xml:space="preserve"> 3、时效目标</w:t>
      </w:r>
    </w:p>
    <w:p>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（1）优化营商环境，审批日期缩短10个工作日。</w:t>
      </w:r>
    </w:p>
    <w:p>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（2）所有来信来访及时答复</w:t>
      </w:r>
    </w:p>
    <w:p>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color w:val="000000"/>
          <w:sz w:val="28"/>
          <w:szCs w:val="28"/>
          <w:lang w:val="en-US" w:eastAsia="zh-CN"/>
        </w:rPr>
      </w:pPr>
      <w:r>
        <w:rPr>
          <w:rFonts w:hint="eastAsia" w:asciiTheme="minorEastAsia" w:hAnsiTheme="minorEastAsia" w:eastAsiaTheme="minorEastAsia" w:cstheme="minorEastAsia"/>
          <w:color w:val="000000"/>
          <w:sz w:val="28"/>
          <w:szCs w:val="28"/>
          <w:lang w:val="en-US" w:eastAsia="zh-CN"/>
        </w:rPr>
        <w:t>（3）在规定时限内腾地、供地和完成整改、销号等任务</w:t>
      </w:r>
    </w:p>
    <w:p>
      <w:pPr>
        <w:pStyle w:val="2"/>
        <w:pageBreakBefore w:val="0"/>
        <w:widowControl w:val="0"/>
        <w:kinsoku/>
        <w:wordWrap/>
        <w:overflowPunct/>
        <w:topLinePunct w:val="0"/>
        <w:autoSpaceDE/>
        <w:bidi w:val="0"/>
        <w:adjustRightInd/>
        <w:snapToGrid/>
        <w:spacing w:line="520" w:lineRule="exact"/>
        <w:rPr>
          <w:rFonts w:hint="eastAsia" w:asciiTheme="minorEastAsia" w:hAnsiTheme="minorEastAsia" w:eastAsiaTheme="minorEastAsia" w:cstheme="minorEastAsia"/>
          <w:b/>
          <w:bCs/>
          <w:sz w:val="28"/>
          <w:szCs w:val="28"/>
          <w:lang w:val="en-US" w:eastAsia="zh-CN"/>
        </w:rPr>
      </w:pPr>
      <w:r>
        <w:rPr>
          <w:rFonts w:hint="eastAsia" w:asciiTheme="minorEastAsia" w:hAnsiTheme="minorEastAsia" w:eastAsiaTheme="minorEastAsia" w:cstheme="minorEastAsia"/>
          <w:color w:val="000000"/>
          <w:sz w:val="28"/>
          <w:szCs w:val="28"/>
          <w:lang w:val="en-US" w:eastAsia="zh-CN"/>
        </w:rPr>
        <w:t xml:space="preserve">  </w:t>
      </w:r>
      <w:r>
        <w:rPr>
          <w:rFonts w:hint="eastAsia" w:asciiTheme="minorEastAsia" w:hAnsiTheme="minorEastAsia" w:eastAsiaTheme="minorEastAsia" w:cstheme="minorEastAsia"/>
          <w:b/>
          <w:bCs/>
          <w:color w:val="000000"/>
          <w:sz w:val="28"/>
          <w:szCs w:val="28"/>
          <w:lang w:val="en-US" w:eastAsia="zh-CN"/>
        </w:rPr>
        <w:t xml:space="preserve">  4、成本控制</w:t>
      </w:r>
    </w:p>
    <w:p>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（1）全年预算资金支出控制在总额内</w:t>
      </w:r>
    </w:p>
    <w:p>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（2）项目资金支出控制在预算额内</w:t>
      </w:r>
    </w:p>
    <w:p>
      <w:pPr>
        <w:keepNext w:val="0"/>
        <w:keepLines w:val="0"/>
        <w:pageBreakBefore w:val="0"/>
        <w:widowControl w:val="0"/>
        <w:kinsoku/>
        <w:wordWrap/>
        <w:overflowPunct/>
        <w:topLinePunct w:val="0"/>
        <w:autoSpaceDE/>
        <w:autoSpaceDN w:val="0"/>
        <w:bidi w:val="0"/>
        <w:adjustRightInd/>
        <w:snapToGrid/>
        <w:spacing w:line="520" w:lineRule="exact"/>
        <w:ind w:firstLine="562" w:firstLineChars="200"/>
        <w:jc w:val="left"/>
        <w:textAlignment w:val="center"/>
        <w:rPr>
          <w:rFonts w:hint="eastAsia" w:asciiTheme="minorEastAsia" w:hAnsiTheme="minorEastAsia" w:eastAsiaTheme="minorEastAsia" w:cstheme="minorEastAsia"/>
          <w:b/>
          <w:bCs/>
          <w:color w:val="000000"/>
          <w:sz w:val="28"/>
          <w:szCs w:val="28"/>
          <w:lang w:val="en-US" w:eastAsia="zh-CN"/>
        </w:rPr>
      </w:pPr>
      <w:r>
        <w:rPr>
          <w:rFonts w:hint="eastAsia" w:asciiTheme="minorEastAsia" w:hAnsiTheme="minorEastAsia" w:eastAsiaTheme="minorEastAsia" w:cstheme="minorEastAsia"/>
          <w:b/>
          <w:bCs/>
          <w:color w:val="000000"/>
          <w:sz w:val="28"/>
          <w:szCs w:val="28"/>
          <w:lang w:val="en-US" w:eastAsia="zh-CN"/>
        </w:rPr>
        <w:t>5、效益、社会公众及服好务对象满意度</w:t>
      </w:r>
    </w:p>
    <w:p>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（1）社会效益：</w:t>
      </w:r>
    </w:p>
    <w:p>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color w:val="000000"/>
          <w:sz w:val="28"/>
          <w:szCs w:val="28"/>
          <w:highlight w:val="yellow"/>
          <w:lang w:val="en-US" w:eastAsia="zh-CN"/>
        </w:rPr>
      </w:pPr>
      <w:r>
        <w:rPr>
          <w:rFonts w:hint="eastAsia" w:asciiTheme="minorEastAsia" w:hAnsiTheme="minorEastAsia" w:eastAsiaTheme="minorEastAsia" w:cstheme="minorEastAsia"/>
          <w:b w:val="0"/>
          <w:bCs w:val="0"/>
          <w:color w:val="000000"/>
          <w:sz w:val="28"/>
          <w:szCs w:val="28"/>
          <w:lang w:val="en-US" w:eastAsia="zh-CN"/>
        </w:rPr>
        <w:t>一是规划编制成果助力推动了乡村振兴，为未来城市发展提供战略引领。</w:t>
      </w:r>
    </w:p>
    <w:p>
      <w:pPr>
        <w:keepNext w:val="0"/>
        <w:keepLines w:val="0"/>
        <w:pageBreakBefore w:val="0"/>
        <w:widowControl w:val="0"/>
        <w:numPr>
          <w:ilvl w:val="0"/>
          <w:numId w:val="0"/>
        </w:numPr>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二是盘活存量土地，提高土地开发利用水平</w:t>
      </w:r>
    </w:p>
    <w:p>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三是保障购房群众合法权益。</w:t>
      </w:r>
    </w:p>
    <w:p>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四是为老百姓提供合法合规、便民利民的不动产登记服务。</w:t>
      </w:r>
    </w:p>
    <w:p>
      <w:pPr>
        <w:pStyle w:val="6"/>
        <w:keepNext w:val="0"/>
        <w:keepLines w:val="0"/>
        <w:pageBreakBefore w:val="0"/>
        <w:widowControl w:val="0"/>
        <w:numPr>
          <w:ilvl w:val="0"/>
          <w:numId w:val="0"/>
        </w:numPr>
        <w:kinsoku/>
        <w:wordWrap/>
        <w:overflowPunct/>
        <w:topLinePunct w:val="0"/>
        <w:autoSpaceDE/>
        <w:bidi w:val="0"/>
        <w:adjustRightInd/>
        <w:snapToGrid/>
        <w:spacing w:line="520" w:lineRule="exact"/>
        <w:ind w:firstLine="560" w:firstLineChars="200"/>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五是切实维护和保障群众利益</w:t>
      </w:r>
    </w:p>
    <w:p>
      <w:pPr>
        <w:keepNext w:val="0"/>
        <w:keepLines w:val="0"/>
        <w:pageBreakBefore w:val="0"/>
        <w:widowControl w:val="0"/>
        <w:kinsoku/>
        <w:wordWrap/>
        <w:overflowPunct/>
        <w:topLinePunct w:val="0"/>
        <w:autoSpaceDE/>
        <w:autoSpaceDN w:val="0"/>
        <w:bidi w:val="0"/>
        <w:adjustRightInd/>
        <w:snapToGrid/>
        <w:spacing w:line="520" w:lineRule="exact"/>
        <w:ind w:firstLine="562" w:firstLineChars="200"/>
        <w:jc w:val="left"/>
        <w:textAlignment w:val="center"/>
        <w:rPr>
          <w:rFonts w:hint="eastAsia" w:asciiTheme="minorEastAsia" w:hAnsiTheme="minorEastAsia" w:eastAsiaTheme="minorEastAsia" w:cstheme="minorEastAsia"/>
          <w:b/>
          <w:bCs/>
          <w:color w:val="000000"/>
          <w:sz w:val="28"/>
          <w:szCs w:val="28"/>
          <w:lang w:val="en-US" w:eastAsia="zh-CN"/>
        </w:rPr>
      </w:pPr>
      <w:r>
        <w:rPr>
          <w:rFonts w:hint="eastAsia" w:asciiTheme="minorEastAsia" w:hAnsiTheme="minorEastAsia" w:eastAsiaTheme="minorEastAsia" w:cstheme="minorEastAsia"/>
          <w:b/>
          <w:bCs/>
          <w:color w:val="000000"/>
          <w:sz w:val="28"/>
          <w:szCs w:val="28"/>
          <w:lang w:val="en-US" w:eastAsia="zh-CN"/>
        </w:rPr>
        <w:t>（2）经济效益</w:t>
      </w:r>
    </w:p>
    <w:p>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一是土地收入支撑地方债务化解，土地出让价款增长。</w:t>
      </w:r>
    </w:p>
    <w:p>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二是追缴往年欠缴土地出让金。</w:t>
      </w:r>
    </w:p>
    <w:p>
      <w:pPr>
        <w:pStyle w:val="2"/>
        <w:pageBreakBefore w:val="0"/>
        <w:widowControl w:val="0"/>
        <w:kinsoku/>
        <w:wordWrap/>
        <w:overflowPunct/>
        <w:topLinePunct w:val="0"/>
        <w:autoSpaceDE/>
        <w:bidi w:val="0"/>
        <w:adjustRightInd/>
        <w:snapToGrid/>
        <w:spacing w:line="520" w:lineRule="exac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 xml:space="preserve">     三是</w:t>
      </w:r>
      <w:r>
        <w:rPr>
          <w:rFonts w:hint="eastAsia" w:asciiTheme="minorEastAsia" w:hAnsiTheme="minorEastAsia" w:eastAsiaTheme="minorEastAsia" w:cstheme="minorEastAsia"/>
          <w:b w:val="0"/>
          <w:bCs w:val="0"/>
          <w:color w:val="000000"/>
          <w:kern w:val="2"/>
          <w:sz w:val="28"/>
          <w:szCs w:val="28"/>
          <w:highlight w:val="none"/>
          <w:lang w:val="en-US" w:eastAsia="zh-CN" w:bidi="ar-SA"/>
        </w:rPr>
        <w:t>实现非税收入17155万元。</w:t>
      </w:r>
    </w:p>
    <w:p>
      <w:pPr>
        <w:keepNext w:val="0"/>
        <w:keepLines w:val="0"/>
        <w:pageBreakBefore w:val="0"/>
        <w:widowControl w:val="0"/>
        <w:kinsoku/>
        <w:wordWrap/>
        <w:overflowPunct/>
        <w:topLinePunct w:val="0"/>
        <w:autoSpaceDE/>
        <w:autoSpaceDN w:val="0"/>
        <w:bidi w:val="0"/>
        <w:adjustRightInd/>
        <w:snapToGrid/>
        <w:spacing w:line="520" w:lineRule="exact"/>
        <w:ind w:firstLine="843" w:firstLineChars="300"/>
        <w:jc w:val="left"/>
        <w:textAlignment w:val="center"/>
        <w:rPr>
          <w:rFonts w:hint="eastAsia" w:asciiTheme="minorEastAsia" w:hAnsiTheme="minorEastAsia" w:eastAsiaTheme="minorEastAsia" w:cstheme="minorEastAsia"/>
          <w:b/>
          <w:bCs/>
          <w:color w:val="000000"/>
          <w:sz w:val="28"/>
          <w:szCs w:val="28"/>
          <w:lang w:val="en-US" w:eastAsia="zh-CN"/>
        </w:rPr>
      </w:pPr>
      <w:r>
        <w:rPr>
          <w:rFonts w:hint="eastAsia" w:asciiTheme="minorEastAsia" w:hAnsiTheme="minorEastAsia" w:eastAsiaTheme="minorEastAsia" w:cstheme="minorEastAsia"/>
          <w:b/>
          <w:bCs/>
          <w:color w:val="000000"/>
          <w:sz w:val="28"/>
          <w:szCs w:val="28"/>
          <w:lang w:val="en-US" w:eastAsia="zh-CN"/>
        </w:rPr>
        <w:t>（3）生态效益</w:t>
      </w:r>
    </w:p>
    <w:p>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一是加快生态修复治理。</w:t>
      </w:r>
    </w:p>
    <w:p>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二是加快绿色矿山建设。</w:t>
      </w:r>
    </w:p>
    <w:p>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三是有效防止和减少水土流失，增强防洪抗灾能力。</w:t>
      </w:r>
    </w:p>
    <w:p>
      <w:pPr>
        <w:keepNext w:val="0"/>
        <w:keepLines w:val="0"/>
        <w:pageBreakBefore w:val="0"/>
        <w:widowControl w:val="0"/>
        <w:kinsoku/>
        <w:wordWrap/>
        <w:overflowPunct/>
        <w:topLinePunct w:val="0"/>
        <w:autoSpaceDE/>
        <w:autoSpaceDN w:val="0"/>
        <w:bidi w:val="0"/>
        <w:adjustRightInd/>
        <w:snapToGrid/>
        <w:spacing w:line="520" w:lineRule="exact"/>
        <w:ind w:firstLine="843" w:firstLineChars="300"/>
        <w:jc w:val="left"/>
        <w:textAlignment w:val="center"/>
        <w:rPr>
          <w:rFonts w:hint="eastAsia" w:asciiTheme="minorEastAsia" w:hAnsiTheme="minorEastAsia" w:eastAsiaTheme="minorEastAsia" w:cstheme="minorEastAsia"/>
          <w:b/>
          <w:bCs/>
          <w:color w:val="000000"/>
          <w:sz w:val="28"/>
          <w:szCs w:val="28"/>
          <w:lang w:val="en-US" w:eastAsia="zh-CN"/>
        </w:rPr>
      </w:pPr>
      <w:r>
        <w:rPr>
          <w:rFonts w:hint="eastAsia" w:asciiTheme="minorEastAsia" w:hAnsiTheme="minorEastAsia" w:eastAsiaTheme="minorEastAsia" w:cstheme="minorEastAsia"/>
          <w:b/>
          <w:bCs/>
          <w:color w:val="000000"/>
          <w:sz w:val="28"/>
          <w:szCs w:val="28"/>
          <w:lang w:val="en-US" w:eastAsia="zh-CN"/>
        </w:rPr>
        <w:t>（4）社会公众及服务对象满意度</w:t>
      </w:r>
    </w:p>
    <w:p>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一是议案回复满意率95%以上。</w:t>
      </w:r>
    </w:p>
    <w:p>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b w:val="0"/>
          <w:bCs w:val="0"/>
          <w:color w:val="000000"/>
          <w:sz w:val="28"/>
          <w:szCs w:val="28"/>
          <w:lang w:val="en-US" w:eastAsia="zh-CN"/>
        </w:rPr>
      </w:pPr>
      <w:r>
        <w:rPr>
          <w:rFonts w:hint="eastAsia" w:asciiTheme="minorEastAsia" w:hAnsiTheme="minorEastAsia" w:eastAsiaTheme="minorEastAsia" w:cstheme="minorEastAsia"/>
          <w:b w:val="0"/>
          <w:bCs w:val="0"/>
          <w:color w:val="000000"/>
          <w:sz w:val="28"/>
          <w:szCs w:val="28"/>
          <w:lang w:val="en-US" w:eastAsia="zh-CN"/>
        </w:rPr>
        <w:t>二是信访办结回复满意率90%以上。</w:t>
      </w:r>
    </w:p>
    <w:p>
      <w:pPr>
        <w:pStyle w:val="2"/>
        <w:pageBreakBefore w:val="0"/>
        <w:widowControl w:val="0"/>
        <w:kinsoku/>
        <w:wordWrap/>
        <w:overflowPunct/>
        <w:topLinePunct w:val="0"/>
        <w:autoSpaceDE/>
        <w:bidi w:val="0"/>
        <w:adjustRightInd/>
        <w:snapToGrid/>
        <w:spacing w:line="520" w:lineRule="exact"/>
        <w:rPr>
          <w:rFonts w:hint="eastAsia" w:asciiTheme="minorEastAsia" w:hAnsiTheme="minorEastAsia" w:eastAsiaTheme="minorEastAsia" w:cstheme="minorEastAsia"/>
          <w:sz w:val="28"/>
          <w:szCs w:val="28"/>
          <w:lang w:val="en-US" w:eastAsia="zh-CN"/>
        </w:rPr>
      </w:pPr>
    </w:p>
    <w:p>
      <w:pPr>
        <w:keepNext w:val="0"/>
        <w:keepLines w:val="0"/>
        <w:pageBreakBefore w:val="0"/>
        <w:widowControl w:val="0"/>
        <w:kinsoku/>
        <w:wordWrap/>
        <w:overflowPunct/>
        <w:topLinePunct w:val="0"/>
        <w:autoSpaceDE/>
        <w:autoSpaceDN w:val="0"/>
        <w:bidi w:val="0"/>
        <w:adjustRightInd/>
        <w:snapToGrid/>
        <w:spacing w:line="520" w:lineRule="exact"/>
        <w:ind w:firstLine="562" w:firstLineChars="200"/>
        <w:jc w:val="left"/>
        <w:textAlignment w:val="center"/>
        <w:rPr>
          <w:rFonts w:hint="eastAsia" w:asciiTheme="minorEastAsia" w:hAnsiTheme="minorEastAsia" w:eastAsiaTheme="minorEastAsia" w:cstheme="minorEastAsia"/>
          <w:b/>
          <w:bCs/>
          <w:color w:val="000000"/>
          <w:sz w:val="28"/>
          <w:szCs w:val="28"/>
          <w:lang w:val="en-US" w:eastAsia="zh-CN"/>
        </w:rPr>
      </w:pPr>
      <w:r>
        <w:rPr>
          <w:rFonts w:hint="eastAsia" w:asciiTheme="minorEastAsia" w:hAnsiTheme="minorEastAsia" w:eastAsiaTheme="minorEastAsia" w:cstheme="minorEastAsia"/>
          <w:b/>
          <w:bCs/>
          <w:color w:val="000000"/>
          <w:sz w:val="28"/>
          <w:szCs w:val="28"/>
          <w:lang w:val="en-US" w:eastAsia="zh-CN"/>
        </w:rPr>
        <w:t>（二）绩效目标完成情况</w:t>
      </w:r>
    </w:p>
    <w:p>
      <w:pPr>
        <w:keepNext w:val="0"/>
        <w:keepLines w:val="0"/>
        <w:pageBreakBefore w:val="0"/>
        <w:widowControl w:val="0"/>
        <w:kinsoku/>
        <w:wordWrap/>
        <w:overflowPunct/>
        <w:topLinePunct w:val="0"/>
        <w:autoSpaceDE/>
        <w:autoSpaceDN w:val="0"/>
        <w:bidi w:val="0"/>
        <w:adjustRightInd/>
        <w:snapToGrid/>
        <w:spacing w:line="520" w:lineRule="exact"/>
        <w:ind w:firstLine="560" w:firstLineChars="200"/>
        <w:jc w:val="left"/>
        <w:textAlignment w:val="center"/>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color w:val="auto"/>
          <w:kern w:val="2"/>
          <w:sz w:val="28"/>
          <w:szCs w:val="28"/>
          <w:highlight w:val="none"/>
          <w:lang w:val="en-US" w:eastAsia="zh-CN" w:bidi="ar-SA"/>
        </w:rPr>
        <w:t>市自然资源和规划局2021年年度绩效目标任务已完成，具体完成情况</w:t>
      </w:r>
      <w:r>
        <w:rPr>
          <w:rFonts w:hint="eastAsia" w:asciiTheme="minorEastAsia" w:hAnsiTheme="minorEastAsia" w:eastAsiaTheme="minorEastAsia" w:cstheme="minorEastAsia"/>
          <w:b w:val="0"/>
          <w:bCs/>
          <w:color w:val="000000"/>
          <w:sz w:val="28"/>
          <w:szCs w:val="28"/>
          <w:lang w:val="en-US" w:eastAsia="zh-CN"/>
        </w:rPr>
        <w:t>见本报告“主要绩效分析”及附表</w:t>
      </w:r>
      <w:r>
        <w:rPr>
          <w:rFonts w:hint="eastAsia" w:asciiTheme="minorEastAsia" w:hAnsiTheme="minorEastAsia" w:eastAsiaTheme="minorEastAsia" w:cstheme="minorEastAsia"/>
          <w:b w:val="0"/>
          <w:bCs w:val="0"/>
          <w:color w:val="000000"/>
          <w:sz w:val="28"/>
          <w:szCs w:val="28"/>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2" w:firstLineChars="200"/>
        <w:jc w:val="both"/>
        <w:textAlignment w:val="auto"/>
        <w:rPr>
          <w:rFonts w:hint="eastAsia" w:asciiTheme="minorEastAsia" w:hAnsiTheme="minorEastAsia" w:eastAsiaTheme="minorEastAsia" w:cstheme="minorEastAsia"/>
          <w:b/>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2" w:firstLineChars="200"/>
        <w:jc w:val="both"/>
        <w:textAlignment w:val="auto"/>
        <w:rPr>
          <w:rFonts w:hint="eastAsia" w:asciiTheme="minorEastAsia" w:hAnsiTheme="minorEastAsia" w:eastAsiaTheme="minorEastAsia" w:cstheme="minorEastAsia"/>
          <w:b/>
          <w:bCs w:val="0"/>
          <w:sz w:val="28"/>
          <w:szCs w:val="28"/>
          <w:lang w:val="en-US" w:eastAsia="zh-CN"/>
        </w:rPr>
      </w:pPr>
      <w:r>
        <w:rPr>
          <w:rFonts w:hint="eastAsia" w:asciiTheme="minorEastAsia" w:hAnsiTheme="minorEastAsia" w:eastAsiaTheme="minorEastAsia" w:cstheme="minorEastAsia"/>
          <w:b/>
          <w:bCs w:val="0"/>
          <w:sz w:val="28"/>
          <w:szCs w:val="28"/>
          <w:lang w:val="en-US" w:eastAsia="zh-CN"/>
        </w:rPr>
        <w:t xml:space="preserve">三、整体支出情况  </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2" w:firstLineChars="200"/>
        <w:textAlignment w:val="auto"/>
        <w:rPr>
          <w:rFonts w:hint="eastAsia" w:asciiTheme="minorEastAsia" w:hAnsiTheme="minorEastAsia" w:eastAsiaTheme="minorEastAsia" w:cstheme="minorEastAsia"/>
          <w:b/>
          <w:bCs w:val="0"/>
          <w:color w:val="auto"/>
          <w:kern w:val="2"/>
          <w:sz w:val="28"/>
          <w:szCs w:val="28"/>
          <w:highlight w:val="none"/>
          <w:lang w:val="en-US" w:eastAsia="zh-CN" w:bidi="ar-SA"/>
        </w:rPr>
      </w:pPr>
      <w:r>
        <w:rPr>
          <w:rFonts w:hint="eastAsia" w:asciiTheme="minorEastAsia" w:hAnsiTheme="minorEastAsia" w:eastAsiaTheme="minorEastAsia" w:cstheme="minorEastAsia"/>
          <w:b/>
          <w:bCs w:val="0"/>
          <w:color w:val="auto"/>
          <w:kern w:val="2"/>
          <w:sz w:val="28"/>
          <w:szCs w:val="28"/>
          <w:highlight w:val="none"/>
          <w:lang w:val="en-US" w:eastAsia="zh-CN" w:bidi="ar-SA"/>
        </w:rPr>
        <w:t>（一）市自然资源和规划局2021年整体收支情况</w:t>
      </w:r>
    </w:p>
    <w:p>
      <w:pPr>
        <w:pStyle w:val="3"/>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Theme="minorEastAsia" w:hAnsiTheme="minorEastAsia" w:eastAsiaTheme="minorEastAsia" w:cstheme="minorEastAsia"/>
          <w:b/>
          <w:bCs w:val="0"/>
          <w:color w:val="auto"/>
          <w:kern w:val="2"/>
          <w:sz w:val="28"/>
          <w:szCs w:val="28"/>
          <w:highlight w:val="none"/>
          <w:lang w:val="en-US" w:eastAsia="zh-CN" w:bidi="ar-SA"/>
        </w:rPr>
      </w:pPr>
      <w:r>
        <w:rPr>
          <w:rFonts w:hint="eastAsia" w:asciiTheme="minorEastAsia" w:hAnsiTheme="minorEastAsia" w:eastAsiaTheme="minorEastAsia" w:cstheme="minorEastAsia"/>
          <w:b w:val="0"/>
          <w:bCs/>
          <w:color w:val="auto"/>
          <w:kern w:val="2"/>
          <w:sz w:val="28"/>
          <w:szCs w:val="28"/>
          <w:highlight w:val="none"/>
          <w:lang w:val="en-US" w:eastAsia="zh-CN" w:bidi="ar-SA"/>
        </w:rPr>
        <w:t xml:space="preserve">   1、</w:t>
      </w:r>
      <w:r>
        <w:rPr>
          <w:rFonts w:hint="eastAsia" w:asciiTheme="minorEastAsia" w:hAnsiTheme="minorEastAsia" w:eastAsiaTheme="minorEastAsia" w:cstheme="minorEastAsia"/>
          <w:b/>
          <w:bCs w:val="0"/>
          <w:color w:val="auto"/>
          <w:kern w:val="2"/>
          <w:sz w:val="28"/>
          <w:szCs w:val="28"/>
          <w:highlight w:val="none"/>
          <w:lang w:val="en-US" w:eastAsia="zh-CN" w:bidi="ar-SA"/>
        </w:rPr>
        <w:t>市自然资源和规划局决算部门</w:t>
      </w:r>
    </w:p>
    <w:p>
      <w:pPr>
        <w:pStyle w:val="3"/>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Theme="minorEastAsia" w:hAnsiTheme="minorEastAsia" w:eastAsiaTheme="minorEastAsia" w:cstheme="minorEastAsia"/>
          <w:b w:val="0"/>
          <w:bCs/>
          <w:color w:val="auto"/>
          <w:kern w:val="2"/>
          <w:sz w:val="28"/>
          <w:szCs w:val="28"/>
          <w:highlight w:val="none"/>
          <w:lang w:val="en-US" w:eastAsia="zh-CN" w:bidi="ar-SA"/>
        </w:rPr>
      </w:pPr>
      <w:r>
        <w:rPr>
          <w:rFonts w:hint="eastAsia" w:asciiTheme="minorEastAsia" w:hAnsiTheme="minorEastAsia" w:eastAsiaTheme="minorEastAsia" w:cstheme="minorEastAsia"/>
          <w:b w:val="0"/>
          <w:bCs/>
          <w:color w:val="auto"/>
          <w:kern w:val="2"/>
          <w:sz w:val="28"/>
          <w:szCs w:val="28"/>
          <w:highlight w:val="none"/>
          <w:lang w:val="en-US" w:eastAsia="zh-CN" w:bidi="ar-SA"/>
        </w:rPr>
        <w:t>局机关（本级）、南湖新区分局、经开区分局、临港国土管理处、不动产登记中心、执法监察支队、土地综合整治中心、不动产产权交易中心、不动产登记信息中心、不动产测绘中心共10个单位。</w:t>
      </w:r>
    </w:p>
    <w:p>
      <w:pPr>
        <w:keepNext/>
        <w:keepLines/>
        <w:pageBreakBefore w:val="0"/>
        <w:widowControl w:val="0"/>
        <w:kinsoku/>
        <w:wordWrap/>
        <w:overflowPunct/>
        <w:topLinePunct w:val="0"/>
        <w:autoSpaceDE/>
        <w:autoSpaceDN/>
        <w:bidi w:val="0"/>
        <w:adjustRightInd/>
        <w:snapToGrid/>
        <w:spacing w:line="520" w:lineRule="exact"/>
        <w:ind w:firstLine="641"/>
        <w:textAlignment w:val="auto"/>
        <w:rPr>
          <w:rFonts w:hint="eastAsia" w:asciiTheme="minorEastAsia" w:hAnsiTheme="minorEastAsia" w:eastAsiaTheme="minorEastAsia" w:cstheme="minorEastAsia"/>
          <w:b w:val="0"/>
          <w:bCs/>
          <w:color w:val="auto"/>
          <w:kern w:val="2"/>
          <w:sz w:val="28"/>
          <w:szCs w:val="28"/>
          <w:highlight w:val="none"/>
          <w:lang w:val="en-US" w:eastAsia="zh-CN" w:bidi="ar-SA"/>
        </w:rPr>
      </w:pPr>
      <w:r>
        <w:rPr>
          <w:rFonts w:hint="eastAsia" w:asciiTheme="minorEastAsia" w:hAnsiTheme="minorEastAsia" w:eastAsiaTheme="minorEastAsia" w:cstheme="minorEastAsia"/>
          <w:b w:val="0"/>
          <w:bCs/>
          <w:color w:val="auto"/>
          <w:kern w:val="2"/>
          <w:sz w:val="28"/>
          <w:szCs w:val="28"/>
          <w:highlight w:val="none"/>
          <w:lang w:val="en-US" w:eastAsia="zh-CN" w:bidi="ar-SA"/>
        </w:rPr>
        <w:t>至2021年末，收入合计14,679.66万元， 其中公共财政拨款收入8,258.88万元、政府基金拨款收入81.57万元、其他收入555.99万元，上年结转5.783.22万元（</w:t>
      </w:r>
      <w:r>
        <w:rPr>
          <w:rFonts w:hint="eastAsia" w:asciiTheme="minorEastAsia" w:hAnsiTheme="minorEastAsia" w:eastAsiaTheme="minorEastAsia" w:cstheme="minorEastAsia"/>
          <w:bCs/>
          <w:color w:val="auto"/>
          <w:kern w:val="2"/>
          <w:sz w:val="28"/>
          <w:szCs w:val="28"/>
          <w:highlight w:val="none"/>
          <w:lang w:val="en-US" w:eastAsia="zh-CN" w:bidi="ar-SA"/>
        </w:rPr>
        <w:t>使用非财政拨款结余1,505.11万元、年初结转和结余4,278.12万元）。</w:t>
      </w:r>
      <w:r>
        <w:rPr>
          <w:rFonts w:hint="eastAsia" w:asciiTheme="minorEastAsia" w:hAnsiTheme="minorEastAsia" w:eastAsiaTheme="minorEastAsia" w:cstheme="minorEastAsia"/>
          <w:b w:val="0"/>
          <w:bCs/>
          <w:color w:val="auto"/>
          <w:kern w:val="2"/>
          <w:sz w:val="28"/>
          <w:szCs w:val="28"/>
          <w:highlight w:val="none"/>
          <w:lang w:val="en-US" w:eastAsia="zh-CN" w:bidi="ar-SA"/>
        </w:rPr>
        <w:t>支出合计14,538.22万元，其中基本支出9,001.64万元（人员经费支出5,522.78万元、公用经费支出3,478.85万元）</w:t>
      </w:r>
      <w:r>
        <w:rPr>
          <w:rFonts w:hint="eastAsia" w:asciiTheme="minorEastAsia" w:hAnsiTheme="minorEastAsia" w:eastAsiaTheme="minorEastAsia" w:cstheme="minorEastAsia"/>
          <w:color w:val="auto"/>
          <w:sz w:val="28"/>
          <w:szCs w:val="28"/>
          <w:highlight w:val="white"/>
          <w:lang w:val="en-US"/>
        </w:rPr>
        <w:t>占</w:t>
      </w:r>
      <w:r>
        <w:rPr>
          <w:rFonts w:hint="eastAsia" w:asciiTheme="minorEastAsia" w:hAnsiTheme="minorEastAsia" w:eastAsiaTheme="minorEastAsia" w:cstheme="minorEastAsia"/>
          <w:color w:val="auto"/>
          <w:sz w:val="28"/>
          <w:szCs w:val="28"/>
          <w:highlight w:val="white"/>
          <w:lang w:val="en-US" w:eastAsia="zh-CN"/>
        </w:rPr>
        <w:t>总支出</w:t>
      </w:r>
      <w:r>
        <w:rPr>
          <w:rFonts w:hint="eastAsia" w:asciiTheme="minorEastAsia" w:hAnsiTheme="minorEastAsia" w:eastAsiaTheme="minorEastAsia" w:cstheme="minorEastAsia"/>
          <w:color w:val="auto"/>
          <w:sz w:val="28"/>
          <w:szCs w:val="28"/>
          <w:highlight w:val="white"/>
          <w:lang w:val="en-US"/>
        </w:rPr>
        <w:t>61.92%</w:t>
      </w:r>
      <w:r>
        <w:rPr>
          <w:rFonts w:hint="eastAsia" w:asciiTheme="minorEastAsia" w:hAnsiTheme="minorEastAsia" w:eastAsiaTheme="minorEastAsia" w:cstheme="minorEastAsia"/>
          <w:b w:val="0"/>
          <w:bCs/>
          <w:color w:val="auto"/>
          <w:kern w:val="2"/>
          <w:sz w:val="28"/>
          <w:szCs w:val="28"/>
          <w:highlight w:val="none"/>
          <w:lang w:val="en-US" w:eastAsia="zh-CN" w:bidi="ar-SA"/>
        </w:rPr>
        <w:t>，项目支出5,536.58万元，</w:t>
      </w:r>
      <w:r>
        <w:rPr>
          <w:rFonts w:hint="eastAsia" w:asciiTheme="minorEastAsia" w:hAnsiTheme="minorEastAsia" w:eastAsiaTheme="minorEastAsia" w:cstheme="minorEastAsia"/>
          <w:color w:val="auto"/>
          <w:sz w:val="28"/>
          <w:szCs w:val="28"/>
          <w:highlight w:val="white"/>
          <w:lang w:val="en-US"/>
        </w:rPr>
        <w:t>占</w:t>
      </w:r>
      <w:r>
        <w:rPr>
          <w:rFonts w:hint="eastAsia" w:asciiTheme="minorEastAsia" w:hAnsiTheme="minorEastAsia" w:eastAsiaTheme="minorEastAsia" w:cstheme="minorEastAsia"/>
          <w:color w:val="auto"/>
          <w:sz w:val="28"/>
          <w:szCs w:val="28"/>
          <w:highlight w:val="white"/>
          <w:lang w:val="en-US" w:eastAsia="zh-CN"/>
        </w:rPr>
        <w:t>总支出</w:t>
      </w:r>
      <w:r>
        <w:rPr>
          <w:rFonts w:hint="eastAsia" w:asciiTheme="minorEastAsia" w:hAnsiTheme="minorEastAsia" w:eastAsiaTheme="minorEastAsia" w:cstheme="minorEastAsia"/>
          <w:color w:val="auto"/>
          <w:sz w:val="28"/>
          <w:szCs w:val="28"/>
          <w:highlight w:val="white"/>
          <w:lang w:val="en-US"/>
        </w:rPr>
        <w:t>38.08%</w:t>
      </w:r>
      <w:r>
        <w:rPr>
          <w:rFonts w:hint="eastAsia" w:asciiTheme="minorEastAsia" w:hAnsiTheme="minorEastAsia" w:eastAsiaTheme="minorEastAsia" w:cstheme="minorEastAsia"/>
          <w:b w:val="0"/>
          <w:bCs/>
          <w:color w:val="auto"/>
          <w:kern w:val="2"/>
          <w:sz w:val="28"/>
          <w:szCs w:val="28"/>
          <w:highlight w:val="none"/>
          <w:lang w:val="en-US" w:eastAsia="zh-CN" w:bidi="ar-SA"/>
        </w:rPr>
        <w:t>；当年结存-5,641.78万元，累计结存141.44万元。</w:t>
      </w:r>
    </w:p>
    <w:p>
      <w:pPr>
        <w:pStyle w:val="2"/>
        <w:keepNext w:val="0"/>
        <w:keepLines w:val="0"/>
        <w:pageBreakBefore w:val="0"/>
        <w:widowControl w:val="0"/>
        <w:kinsoku/>
        <w:wordWrap/>
        <w:overflowPunct/>
        <w:topLinePunct w:val="0"/>
        <w:autoSpaceDE/>
        <w:autoSpaceDN/>
        <w:bidi w:val="0"/>
        <w:adjustRightInd/>
        <w:snapToGrid/>
        <w:spacing w:after="0" w:line="520" w:lineRule="exact"/>
        <w:ind w:firstLine="562"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
          <w:bCs w:val="0"/>
          <w:color w:val="auto"/>
          <w:kern w:val="2"/>
          <w:sz w:val="28"/>
          <w:szCs w:val="28"/>
          <w:highlight w:val="none"/>
          <w:lang w:val="en-US" w:eastAsia="zh-CN" w:bidi="ar-SA"/>
        </w:rPr>
        <w:t>（二）</w:t>
      </w:r>
      <w:r>
        <w:rPr>
          <w:rFonts w:hint="eastAsia" w:asciiTheme="minorEastAsia" w:hAnsiTheme="minorEastAsia" w:eastAsiaTheme="minorEastAsia" w:cstheme="minorEastAsia"/>
          <w:b/>
          <w:bCs w:val="0"/>
          <w:sz w:val="28"/>
          <w:szCs w:val="28"/>
          <w:lang w:val="en-US" w:eastAsia="zh-CN"/>
        </w:rPr>
        <w:t>局机关</w:t>
      </w:r>
      <w:r>
        <w:rPr>
          <w:rFonts w:hint="eastAsia" w:asciiTheme="minorEastAsia" w:hAnsiTheme="minorEastAsia" w:eastAsiaTheme="minorEastAsia" w:cstheme="minorEastAsia"/>
          <w:b/>
          <w:bCs w:val="0"/>
          <w:color w:val="auto"/>
          <w:kern w:val="2"/>
          <w:sz w:val="28"/>
          <w:szCs w:val="28"/>
          <w:highlight w:val="none"/>
          <w:lang w:val="en-US" w:eastAsia="zh-CN" w:bidi="ar-SA"/>
        </w:rPr>
        <w:t>部门整体收支情况（决算报表）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
          <w:bCs w:val="0"/>
          <w:color w:val="auto"/>
          <w:kern w:val="2"/>
          <w:sz w:val="28"/>
          <w:szCs w:val="28"/>
          <w:highlight w:val="none"/>
          <w:lang w:val="en-US" w:eastAsia="zh-CN" w:bidi="ar-SA"/>
        </w:rPr>
        <w:t>1、收入情况：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color w:val="auto"/>
          <w:kern w:val="2"/>
          <w:sz w:val="28"/>
          <w:szCs w:val="28"/>
          <w:highlight w:val="none"/>
          <w:lang w:val="en-US" w:eastAsia="zh-CN" w:bidi="ar-SA"/>
        </w:rPr>
      </w:pPr>
      <w:r>
        <w:rPr>
          <w:rFonts w:hint="eastAsia" w:asciiTheme="minorEastAsia" w:hAnsiTheme="minorEastAsia" w:eastAsiaTheme="minorEastAsia" w:cstheme="minorEastAsia"/>
          <w:bCs/>
          <w:color w:val="auto"/>
          <w:kern w:val="2"/>
          <w:sz w:val="28"/>
          <w:szCs w:val="28"/>
          <w:highlight w:val="none"/>
          <w:lang w:val="en-US" w:eastAsia="zh-CN" w:bidi="ar-SA"/>
        </w:rPr>
        <w:t>至2021年末，收入合计8,218.83万元，其中：本年一般公共预算财政拨款收入合计4,743.93万元，年初结转结余收入3,474.90万元。</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firstLine="562" w:firstLineChars="200"/>
        <w:jc w:val="both"/>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支出情况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Cs/>
          <w:color w:val="auto"/>
          <w:kern w:val="2"/>
          <w:sz w:val="28"/>
          <w:szCs w:val="28"/>
          <w:highlight w:val="none"/>
          <w:lang w:val="en-US" w:eastAsia="zh-CN" w:bidi="ar-SA"/>
        </w:rPr>
        <w:t>至2021年末，支出合计8,218.83万元，其中：</w:t>
      </w:r>
      <w:r>
        <w:rPr>
          <w:rFonts w:hint="eastAsia" w:asciiTheme="minorEastAsia" w:hAnsiTheme="minorEastAsia" w:eastAsiaTheme="minorEastAsia" w:cstheme="minorEastAsia"/>
          <w:bCs/>
          <w:sz w:val="28"/>
          <w:szCs w:val="28"/>
          <w:lang w:val="en-US" w:eastAsia="zh-CN"/>
        </w:rPr>
        <w:t>基本支出3,395.25万元，项目支出4823.58万元。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jc w:val="both"/>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
          <w:bCs w:val="0"/>
          <w:sz w:val="28"/>
          <w:szCs w:val="28"/>
          <w:highlight w:val="none"/>
          <w:lang w:val="en-US" w:eastAsia="zh-CN"/>
        </w:rPr>
        <w:t>（1）基本支出情况：</w:t>
      </w:r>
      <w:r>
        <w:rPr>
          <w:rFonts w:hint="eastAsia" w:asciiTheme="minorEastAsia" w:hAnsiTheme="minorEastAsia" w:eastAsiaTheme="minorEastAsia" w:cstheme="minorEastAsia"/>
          <w:bCs/>
          <w:sz w:val="28"/>
          <w:szCs w:val="28"/>
          <w:lang w:val="en-US" w:eastAsia="zh-CN"/>
        </w:rPr>
        <w:t>2021年局机关基本支出3,395.25万元，其中：人员经费支出2,024.49万元，占基本支出59.63%;公用经费支出1,370.76万元,占基本支出40.37%。具体支出项目如下：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lang w:val="en-US" w:eastAsia="zh-CN"/>
        </w:rPr>
        <w:t>工资福利支出1,595.15元，支付</w:t>
      </w:r>
      <w:r>
        <w:rPr>
          <w:rFonts w:hint="eastAsia" w:asciiTheme="minorEastAsia" w:hAnsiTheme="minorEastAsia" w:eastAsiaTheme="minorEastAsia" w:cstheme="minorEastAsia"/>
          <w:bCs/>
          <w:sz w:val="28"/>
          <w:szCs w:val="28"/>
          <w:highlight w:val="none"/>
          <w:lang w:val="en-US" w:eastAsia="zh-CN"/>
        </w:rPr>
        <w:t>职工工资、津补贴、绩效工资及社会缴费等。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对个人和家庭补助支出429.34万元，主要开支退休费用、抚恤费、奖励金、其他对个人和家庭的补助等费用等。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Cs/>
          <w:sz w:val="28"/>
          <w:szCs w:val="28"/>
          <w:lang w:val="en-US" w:eastAsia="zh-CN"/>
        </w:rPr>
        <w:t>商品和服务支出1,259.49万元，主要用于办公费、印刷费、水电费、邮电费、取暖费、物业费、差旅费、维修（护）费、租赁费、会议费、培训费、公务接待费、劳务费、委托业务费、工会经费、公务用车运行费、其他交通费用、其他商品和服务支出等机关运转费用支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lang w:val="en-US" w:eastAsia="zh-CN"/>
        </w:rPr>
      </w:pPr>
      <w:r>
        <w:rPr>
          <w:rFonts w:hint="eastAsia" w:asciiTheme="minorEastAsia" w:hAnsiTheme="minorEastAsia" w:eastAsiaTheme="minorEastAsia" w:cstheme="minorEastAsia"/>
          <w:bCs/>
          <w:sz w:val="28"/>
          <w:szCs w:val="28"/>
          <w:lang w:val="en-US" w:eastAsia="zh-CN"/>
        </w:rPr>
        <w:t>资本性支出111.27万元万元,主要用于办公设备购置、其他资本性支出。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（2）项目（专项）支出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2021年度，市自然资源和规划局本部计划实施非基建项目16个，</w:t>
      </w:r>
      <w:r>
        <w:rPr>
          <w:rFonts w:hint="eastAsia" w:asciiTheme="minorEastAsia" w:hAnsiTheme="minorEastAsia" w:eastAsiaTheme="minorEastAsia" w:cstheme="minorEastAsia"/>
          <w:bCs/>
          <w:color w:val="auto"/>
          <w:sz w:val="28"/>
          <w:szCs w:val="28"/>
          <w:highlight w:val="none"/>
          <w:lang w:val="en-US" w:eastAsia="zh-CN"/>
        </w:rPr>
        <w:t>资金主要来源于财政专项拨款,项目</w:t>
      </w:r>
      <w:r>
        <w:rPr>
          <w:rFonts w:hint="eastAsia" w:asciiTheme="minorEastAsia" w:hAnsiTheme="minorEastAsia" w:eastAsiaTheme="minorEastAsia" w:cstheme="minorEastAsia"/>
          <w:bCs/>
          <w:sz w:val="28"/>
          <w:szCs w:val="28"/>
          <w:highlight w:val="none"/>
          <w:lang w:val="en-US" w:eastAsia="zh-CN"/>
        </w:rPr>
        <w:t>预算5,051.92万元，财政拨款4,823.58万元，实际专项支出4,823.58万元，具体支出项目如下：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档案馆装修费用24.12万元、耕地开发支出17.90万元，地质灾害防治628.77万元(3个）、矿产资源整治项目134.88万元、信息化建设项目53.59万元、土地出让专项支出94.05万元、扶贫费用121.38万元、规划编制经费2164.98万元、拨下属单位经费1043.90万元、扶贫费用29.23万元、执法经费支出57.51万元、机关运行经费108.34万元、农村宅基地确权登记116.46万元、控违支出228.46万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color w:val="auto"/>
          <w:kern w:val="2"/>
          <w:sz w:val="28"/>
          <w:szCs w:val="28"/>
          <w:highlight w:val="none"/>
          <w:lang w:val="en-US" w:eastAsia="zh-CN" w:bidi="ar-SA"/>
        </w:rPr>
      </w:pPr>
      <w:r>
        <w:rPr>
          <w:rFonts w:hint="eastAsia" w:asciiTheme="minorEastAsia" w:hAnsiTheme="minorEastAsia" w:eastAsiaTheme="minorEastAsia" w:cstheme="minorEastAsia"/>
          <w:b/>
          <w:bCs w:val="0"/>
          <w:sz w:val="28"/>
          <w:szCs w:val="28"/>
          <w:highlight w:val="none"/>
          <w:lang w:val="en-US" w:eastAsia="zh-CN"/>
        </w:rPr>
        <w:t>5、三公经费使用和管理情况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 w:val="0"/>
          <w:bCs/>
          <w:color w:val="auto"/>
          <w:kern w:val="2"/>
          <w:sz w:val="28"/>
          <w:szCs w:val="28"/>
          <w:highlight w:val="none"/>
          <w:lang w:val="en-US" w:eastAsia="zh-CN" w:bidi="ar-SA"/>
        </w:rPr>
      </w:pPr>
      <w:r>
        <w:rPr>
          <w:rFonts w:hint="eastAsia" w:asciiTheme="minorEastAsia" w:hAnsiTheme="minorEastAsia" w:eastAsiaTheme="minorEastAsia" w:cstheme="minorEastAsia"/>
          <w:b w:val="0"/>
          <w:bCs/>
          <w:color w:val="auto"/>
          <w:kern w:val="2"/>
          <w:sz w:val="28"/>
          <w:szCs w:val="28"/>
          <w:highlight w:val="none"/>
          <w:lang w:val="en-US" w:eastAsia="zh-CN" w:bidi="ar-SA"/>
        </w:rPr>
        <w:t>（1）市自然资源和规划局三公经费情况。至2021年末，市自然资源和规划局三公经费总预算85.2万元，其中公务接待费预算41.20万元，公务用车运维费预算44.00万元，因公出国费0万元；实际支出合计56.96万元，其中公务接待费支出23.20万元，公务用车运维费33.76万元，因公出国费0万元；总预算控制率66.85%,三公经费预算控制较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 w:val="0"/>
          <w:bCs/>
          <w:color w:val="auto"/>
          <w:kern w:val="2"/>
          <w:sz w:val="28"/>
          <w:szCs w:val="28"/>
          <w:highlight w:val="none"/>
          <w:lang w:val="en-US" w:eastAsia="zh-CN" w:bidi="ar-SA"/>
        </w:rPr>
      </w:pPr>
      <w:r>
        <w:rPr>
          <w:rFonts w:hint="eastAsia" w:asciiTheme="minorEastAsia" w:hAnsiTheme="minorEastAsia" w:eastAsiaTheme="minorEastAsia" w:cstheme="minorEastAsia"/>
          <w:bCs/>
          <w:sz w:val="28"/>
          <w:szCs w:val="28"/>
          <w:highlight w:val="none"/>
          <w:lang w:val="en-US" w:eastAsia="zh-CN"/>
        </w:rPr>
        <w:t>（2）局机关三公经费情况。</w:t>
      </w:r>
      <w:r>
        <w:rPr>
          <w:rFonts w:hint="eastAsia" w:asciiTheme="minorEastAsia" w:hAnsiTheme="minorEastAsia" w:eastAsiaTheme="minorEastAsia" w:cstheme="minorEastAsia"/>
          <w:b w:val="0"/>
          <w:bCs/>
          <w:color w:val="auto"/>
          <w:kern w:val="2"/>
          <w:sz w:val="28"/>
          <w:szCs w:val="28"/>
          <w:highlight w:val="none"/>
          <w:lang w:val="en-US" w:eastAsia="zh-CN" w:bidi="ar-SA"/>
        </w:rPr>
        <w:t>至2021年末，局机关三公经费总预算36.00万元，其中公务接待费预算15.00万元，公务用车运维费预算21.00万元，因公出国费0万元；实际支出合计31.64万元，其中：公务接待费支出14.52万元，公务用车运维费支出17.12万元，因公出国费0万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（3）局机关三公经费管理情况。三公经费预算控制较好，预算控制率为87.88%，节省预算4.36万元；其中公务接待费预算控制率96.8%，公</w:t>
      </w:r>
      <w:r>
        <w:rPr>
          <w:rFonts w:hint="eastAsia" w:asciiTheme="minorEastAsia" w:hAnsiTheme="minorEastAsia" w:eastAsiaTheme="minorEastAsia" w:cstheme="minorEastAsia"/>
          <w:b w:val="0"/>
          <w:bCs/>
          <w:color w:val="auto"/>
          <w:kern w:val="2"/>
          <w:sz w:val="28"/>
          <w:szCs w:val="28"/>
          <w:highlight w:val="none"/>
          <w:lang w:val="en-US" w:eastAsia="zh-CN" w:bidi="ar-SA"/>
        </w:rPr>
        <w:t>务用车运维费预算控制率81.52%。</w:t>
      </w:r>
      <w:r>
        <w:rPr>
          <w:rFonts w:hint="eastAsia" w:asciiTheme="minorEastAsia" w:hAnsiTheme="minorEastAsia" w:eastAsiaTheme="minorEastAsia" w:cstheme="minorEastAsia"/>
          <w:bCs/>
          <w:sz w:val="28"/>
          <w:szCs w:val="28"/>
          <w:highlight w:val="none"/>
          <w:lang w:val="en-US" w:eastAsia="zh-CN"/>
        </w:rPr>
        <w:t>三公经费同期变动率稍大，2021年比2020年实际支出（45.06万元）节省13.42万元。</w:t>
      </w:r>
    </w:p>
    <w:p>
      <w:pPr>
        <w:pStyle w:val="6"/>
        <w:pageBreakBefore w:val="0"/>
        <w:widowControl w:val="0"/>
        <w:kinsoku/>
        <w:wordWrap/>
        <w:overflowPunct/>
        <w:topLinePunct w:val="0"/>
        <w:autoSpaceDE/>
        <w:bidi w:val="0"/>
        <w:adjustRightInd/>
        <w:snapToGrid/>
        <w:spacing w:line="520" w:lineRule="exact"/>
        <w:rPr>
          <w:rFonts w:hint="eastAsia" w:asciiTheme="minorEastAsia" w:hAnsiTheme="minorEastAsia" w:eastAsiaTheme="minorEastAsia" w:cstheme="minor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四、内部管理情况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（一）局机关固定资产管理情况分析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1、固定资产帐面情况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至2021年12月末，固定资产原值累计37231.37万元，累计折旧7784.38万元，帐面净值余额29,446.99万元，均为在用固定资产。其中：2021年新增固定资产40.51万元，主要增加电脑7台、电子屏2台、一体机5台、打印机4台、办公桌及家具等办公用品。</w:t>
      </w:r>
    </w:p>
    <w:p>
      <w:pPr>
        <w:keepNext w:val="0"/>
        <w:keepLines w:val="0"/>
        <w:pageBreakBefore w:val="0"/>
        <w:widowControl w:val="0"/>
        <w:numPr>
          <w:ilvl w:val="0"/>
          <w:numId w:val="3"/>
        </w:numPr>
        <w:kinsoku/>
        <w:wordWrap/>
        <w:overflowPunct/>
        <w:topLinePunct w:val="0"/>
        <w:autoSpaceDE/>
        <w:autoSpaceDN/>
        <w:bidi w:val="0"/>
        <w:adjustRightInd/>
        <w:snapToGrid/>
        <w:spacing w:line="520" w:lineRule="exact"/>
        <w:ind w:left="0" w:leftChars="0" w:firstLine="562" w:firstLineChars="20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固定资产管理情况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按照例行节约、物尽其用的原则，资规局机关资产管理采取统一建帐、统一核算管理，对每件固定资产使用明确保管职责，闲置的资产，由办公室统一调整，合理流动，发挥其效益。固定资产均按规定的程序报政府采购管理办公室批准购置，严格按固定资产管理办法进行核算及管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（二）重点项目组织实施情况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2021年度，资规局机关已完成国土资源类专项16个，实际专项支出4,823.58万元，由局机关相关部门负责组织实施，各相关部门按照相关制度及管理办法操作；项目立项依据充分，进行了财政评审，对符合招投标条件的均进行了公开招投标；达到政府采购限额标准的严格按政府采购规定操作，2021年政府采购货物支出276.39万元，政府采购授予中小企业合同金额276.39万元；严抓项目质量，做到严格实行公告制、合同制、招投标制、监理制和法人责任制；严把材料设备采购关、操作流程关；项目支出均按合同规定时间进度及质量要求支付，对于技术性强的土地综合整治及地质灾害防治工作，工程完工后，专门组织技术专家验收，听众专家意见，实行验收专家负责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（三）内部管理及财务管理制度建设情况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1、建立了专项资金财务管理制度。2019年省自然资源厅和省财政厅联合下发了专项资金管理办法。资规局严格遵照执行，并对局属各单位和县区分局进行督查。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2、实行资金跟踪监控。机关制订较完整内部管理规章制度及财务管理制度，对项目资金使用实行专户储存、专账核算、专款专用三专管理。全程接受财政等部门的监管，严格执行国库集中支付制度,确保专款专用,严防截留、挪用资金。</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3、健全财务管理机制。建立专项资金管理制度、领导责任制、会计制度和出纳制度等。制定了专项资金使用管理暂行办法、预算资金管理办法等制度,从资金取得—使用管理—用后监管都进行了规定,加强了专项资金使用过程的控制和追踪问效。严格执行国家各项财经纪律和财务制度。进一步加强和规范局机关资金使用审批程序和财务管理，提高资金使用效益，凡涉及政府采购的预算项目，严格按照《政府采购法》和《招投标法》的相关规定和程序执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4、加强会计基础工作管理。要求会计科目设置规范,账务处理正确,入账依据充分,各种审批手续完备；严格按预算管理要求使用资金,严格按进度和合同拨付资金,严格执行政府采购制度；执行预决算管理要求。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5、严格审批程序。按照"先报再审后用”的原则,由实施方提出申请,相关单位签署意见确认工程数量和资金额度,经财务科初审后,报局分管领导审批。</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6、实行“三个转变”。由传统财务核算管理向项目工程质量管理转变、由专项资金日常财务管理向专项资金绩效管理的转变、由被动管理向制度管理转变。</w:t>
      </w:r>
    </w:p>
    <w:p>
      <w:pPr>
        <w:pStyle w:val="2"/>
        <w:pageBreakBefore w:val="0"/>
        <w:widowControl w:val="0"/>
        <w:kinsoku/>
        <w:wordWrap/>
        <w:overflowPunct/>
        <w:topLinePunct w:val="0"/>
        <w:autoSpaceDE/>
        <w:bidi w:val="0"/>
        <w:adjustRightInd/>
        <w:snapToGrid/>
        <w:spacing w:line="520" w:lineRule="exact"/>
        <w:rPr>
          <w:rFonts w:hint="eastAsia" w:asciiTheme="minorEastAsia" w:hAnsiTheme="minorEastAsia" w:eastAsiaTheme="minorEastAsia" w:cstheme="minor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（四）重大事项公开公示情况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 xml:space="preserve"> 自然资源和规划局官网对2021年度财政预算进行公示，2021年9月23日对年度决算情况进行公示。</w:t>
      </w:r>
    </w:p>
    <w:p>
      <w:pPr>
        <w:pStyle w:val="2"/>
        <w:pageBreakBefore w:val="0"/>
        <w:widowControl w:val="0"/>
        <w:kinsoku/>
        <w:wordWrap/>
        <w:overflowPunct/>
        <w:topLinePunct w:val="0"/>
        <w:autoSpaceDE/>
        <w:bidi w:val="0"/>
        <w:adjustRightInd/>
        <w:snapToGrid/>
        <w:spacing w:line="520" w:lineRule="exact"/>
        <w:rPr>
          <w:rFonts w:hint="eastAsia" w:asciiTheme="minorEastAsia" w:hAnsiTheme="minorEastAsia" w:eastAsiaTheme="minorEastAsia" w:cstheme="minor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五、部门整体支出绩效评价工作实施情况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（一）绩效评价工作的目的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通过绩效评价，全面了解工作目标是否合理；工作计划与实际完成情况之间的差异；管理制度健全性；实际人员与编制人员的控制比率；完成重点项目的力度；预算执行的完成率；支付进度率；“三公经费”控制率；政府采购执行率；资金使用合规性；资产管理利用率；社会效益、经济效益、服务对象满意率等。充分发挥财政资金的使用效益，更好地为国土资源事业服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（二）绩效自评的主要依据：</w:t>
      </w:r>
    </w:p>
    <w:p>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1、绩效评价相关依据：《中华人民共和国预算法》、湖南省财政厅关于印发《湖南省省级预算部门绩效自评操作规程》、岳阳市财政局《关于全面开展2019年财政支出绩效自评工作的通知》、预算管理和绩效评价相关制度和文件。</w:t>
      </w:r>
    </w:p>
    <w:p>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2、市自然资源和规划局相关资料：“三定”方案；</w:t>
      </w:r>
      <w:r>
        <w:rPr>
          <w:rFonts w:hint="eastAsia" w:asciiTheme="minorEastAsia" w:hAnsiTheme="minorEastAsia" w:eastAsiaTheme="minorEastAsia" w:cstheme="minorEastAsia"/>
          <w:sz w:val="28"/>
          <w:szCs w:val="28"/>
          <w:lang w:val="en-US" w:eastAsia="zh-CN"/>
        </w:rPr>
        <w:t>市自然资源和规划</w:t>
      </w:r>
      <w:r>
        <w:rPr>
          <w:rFonts w:hint="eastAsia" w:asciiTheme="minorEastAsia" w:hAnsiTheme="minorEastAsia" w:eastAsiaTheme="minorEastAsia" w:cstheme="minorEastAsia"/>
          <w:sz w:val="28"/>
          <w:szCs w:val="28"/>
        </w:rPr>
        <w:t>局党组书记局长陈峰</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2021年</w:t>
      </w:r>
      <w:r>
        <w:rPr>
          <w:rFonts w:hint="eastAsia" w:asciiTheme="minorEastAsia" w:hAnsiTheme="minorEastAsia" w:eastAsiaTheme="minorEastAsia" w:cstheme="minorEastAsia"/>
          <w:sz w:val="28"/>
          <w:szCs w:val="28"/>
        </w:rPr>
        <w:t>全市自然资源和规划工作</w:t>
      </w:r>
      <w:r>
        <w:rPr>
          <w:rFonts w:hint="eastAsia" w:asciiTheme="minorEastAsia" w:hAnsiTheme="minorEastAsia" w:eastAsiaTheme="minorEastAsia" w:cstheme="minorEastAsia"/>
          <w:sz w:val="28"/>
          <w:szCs w:val="28"/>
          <w:lang w:val="en-US" w:eastAsia="zh-CN"/>
        </w:rPr>
        <w:t>报告》、</w:t>
      </w:r>
      <w:r>
        <w:rPr>
          <w:rFonts w:hint="eastAsia" w:asciiTheme="minorEastAsia" w:hAnsiTheme="minorEastAsia" w:eastAsiaTheme="minorEastAsia" w:cstheme="minorEastAsia"/>
          <w:b w:val="0"/>
          <w:bCs w:val="0"/>
          <w:color w:val="000000"/>
          <w:kern w:val="0"/>
          <w:sz w:val="28"/>
          <w:szCs w:val="28"/>
          <w:lang w:val="en-US" w:eastAsia="zh-CN"/>
        </w:rPr>
        <w:t>岳阳市自然资源和规划局《</w:t>
      </w:r>
      <w:r>
        <w:rPr>
          <w:rFonts w:hint="eastAsia" w:asciiTheme="minorEastAsia" w:hAnsiTheme="minorEastAsia" w:eastAsiaTheme="minorEastAsia" w:cstheme="minorEastAsia"/>
          <w:bCs/>
          <w:sz w:val="28"/>
          <w:szCs w:val="28"/>
          <w:highlight w:val="none"/>
          <w:lang w:val="en-US" w:eastAsia="zh-CN"/>
        </w:rPr>
        <w:t>2021年度工作总结及2022年工作思路》、市自然资源和规划局2021年决算报表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3、相关行业政策、行业标准及专业技术规范；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Cs/>
          <w:sz w:val="28"/>
          <w:szCs w:val="28"/>
          <w:highlight w:val="none"/>
          <w:lang w:val="en-US" w:eastAsia="zh-CN"/>
        </w:rPr>
        <w:t>4、其他相关资料。</w:t>
      </w:r>
    </w:p>
    <w:p>
      <w:pPr>
        <w:pStyle w:val="6"/>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heme="minorEastAsia" w:hAnsiTheme="minorEastAsia" w:eastAsiaTheme="minorEastAsia" w:cstheme="minor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（二）部门整体支出评价原则、指标评价体系、评价方法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1、部门整体支出评价原则</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遵循客观公正，操作简便高效，尊重客观实际，实事求是的原则。</w:t>
      </w:r>
    </w:p>
    <w:p>
      <w:pPr>
        <w:keepNext w:val="0"/>
        <w:keepLines w:val="0"/>
        <w:pageBreakBefore w:val="0"/>
        <w:widowControl w:val="0"/>
        <w:numPr>
          <w:ilvl w:val="0"/>
          <w:numId w:val="4"/>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部门整体支出指标评价体系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指标体系包括共性指标和个性指标两部分，本次主要参照了财政部门制定的《部门整体支出绩效评价指标体系》的相关内容，根据部门具体情况对个性指标进行了调整细化，形成了《岳阳市2020年度资规局整体支出绩效评价指标体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3、评分等级标准。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评价等次分为优秀（S≧90）、良好（90&gt;S≧80）、合格（80&gt;S≧70）不合格S&lt;70）4个评价等次。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4、本次绩效评价方法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Cs/>
          <w:sz w:val="28"/>
          <w:szCs w:val="28"/>
          <w:highlight w:val="none"/>
          <w:lang w:val="en-US" w:eastAsia="zh-CN"/>
        </w:rPr>
        <w:t>主要采取目标评价法、询问查证法及定性和定量相结合的方法进行评分；通过听取项目情况介绍，评价人员座谈交流等方式进行定性评分；制定评价指标，通过评价指标对项目进行定量评分。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（三）绩效评价工作过程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1、前期准备： 按照市财政对绩效评价的要求我单位成立了绩效评价小组，并进行职责分工，下发评价通知。根据资规局机关2021年工作重点及计划完成情况，制定的绩效评价工作方案，设计了绩效评价指标体系和问卷调查表。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2、组织实施：评价小组核查2021年岳阳市财政预算批复执行及部门整体支出情况，着重核查了“三公”经费及资产管理、内部控制制度情况，认真对照上级下达的目标任务及单位工作计划等文件，核实年度目标定性、定量目标任务完成情况，并按照绩效评价自评表分值进行自评分；通过财务数据分析当年收入、支出、结余情况，编制基础数据。</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3、撰写自评报告。评价小组根据绩效评价收集资料及数据，进行分析、核算、讨论、汇总，形成自评报告初稿，经相关领导审核后形成《岳阳市自然资源和规划局机关2021年整体支出绩效自评报告》。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highlight w:val="yellow"/>
          <w:lang w:val="en-US" w:eastAsia="zh-CN"/>
        </w:rPr>
      </w:pPr>
      <w:r>
        <w:rPr>
          <w:rFonts w:hint="eastAsia" w:asciiTheme="minorEastAsia" w:hAnsiTheme="minorEastAsia" w:eastAsiaTheme="minorEastAsia" w:cstheme="minorEastAsia"/>
          <w:b/>
          <w:bCs w:val="0"/>
          <w:sz w:val="28"/>
          <w:szCs w:val="28"/>
          <w:highlight w:val="none"/>
          <w:lang w:val="en-US" w:eastAsia="zh-CN"/>
        </w:rPr>
        <w:t>六、整体支出主要绩效及结论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（一）</w:t>
      </w:r>
      <w:r>
        <w:rPr>
          <w:rFonts w:hint="eastAsia" w:asciiTheme="minorEastAsia" w:hAnsiTheme="minorEastAsia" w:eastAsiaTheme="minorEastAsia" w:cstheme="minorEastAsia"/>
          <w:b/>
          <w:bCs w:val="0"/>
          <w:sz w:val="28"/>
          <w:szCs w:val="28"/>
          <w:highlight w:val="none"/>
          <w:lang w:val="en-US" w:eastAsia="zh-CN"/>
        </w:rPr>
        <w:t>评价结论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2021年市自然资源和规划局全体工作人员认真履行本部门职责职能，紧紧围绕部门全年工作重点，制订了详细、具体目标，较好地完成各项年度目标任务，全面推进自然资源各项工作高质量发展，具有良好社会效益、经济效益、生态环境效益。各项工作得到了自然资源部、省委省政府、省自然资源厅、市委市政府及中国测绘学会等争先创优先进等荣誉，2021年获得34个奖项，其中自然资源部级奖项4个，省级奖项11个，市级奖项19个，取得丰硕成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根据评价指标综合自评，得分为94分，评价等级确认为“优秀”。其中：</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1、资金投入总分15分，得分13分，  扣2分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2、过程管理总分40分，得分36分，  扣4分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3、产出管理总分25分，得分25分，  扣0分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4、绩效管理总分20分，得分20分，  扣0分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具体见《岳阳市自然资源和规划局（机关）整体支出绩效评价评分表》</w:t>
      </w:r>
    </w:p>
    <w:p>
      <w:pPr>
        <w:pStyle w:val="2"/>
        <w:pageBreakBefore w:val="0"/>
        <w:widowControl w:val="0"/>
        <w:kinsoku/>
        <w:wordWrap/>
        <w:overflowPunct/>
        <w:topLinePunct w:val="0"/>
        <w:autoSpaceDE/>
        <w:bidi w:val="0"/>
        <w:adjustRightInd/>
        <w:snapToGrid/>
        <w:spacing w:line="520" w:lineRule="exact"/>
        <w:rPr>
          <w:rFonts w:hint="eastAsia" w:asciiTheme="minorEastAsia" w:hAnsiTheme="minorEastAsia" w:eastAsiaTheme="minorEastAsia" w:cstheme="minorEastAsia"/>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630" w:leftChars="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（二）主要绩效分析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1、突出规划引领，守护一江碧水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1）精心编制空间规划。统筹划定“三条控制线”，初步划定永久基本农田2956.1平方公里，生态保护红线3380.6平方公里，城镇开发边界664.5平方公里；开展了多类型、多专业的十大专题报告研究，启动了新一轮控规修编，建设了“多规合一”“一张图”平台；编制了《“一湖两岸”城市设计》，并作为湖南省唯一“城市设计”案例入选自然资源部建党100周年优秀案例评选；完成了461个村庄的基础调查、村域国土空间保护开发现状分析评价、初步方案咨询论证、规划方案村内公示等工作，全省国土空间优秀案例岳阳市获得5个奖项，本局被评为优秀组织单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2）着力生态修复治理。做好了“‘十四五’期间第二批山水林田湖草沙一体化保护和修复工程项目”申报工作，开展历史遗留矿山图斑核查，上报确认未修复历史遗留矿山683公顷，计划十四五期间修复约546公顷，拟实现修复率80%。</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3）加快了绿色矿山建设。编制矿产资源总体规划和砂石土矿专项规划；推进砂石土矿专项整治，完成了砂石土采矿权关闭目标，全市砂石土采矿权规划数64个，现保有42个；绿色矿山建设卓有成效，全市已建成14个绿色矿山，其中国家级4个，省级10个。</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2、严格保护耕地，落实基本国策</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1）落实最严格的耕地保护制度。科学编制耕地保护专项规划，按时完成永久基本农田核实整改补足工作；全程监管新增耕地开发，配合省整治局核实验收项目30个370.92公顷，省厅确认农用地开发项目40个707.83公顷，确认增减挂钩项目4批次99.74公顷，确保了新增耕地一亩不假；严格落实“占补平衡”，建设占用耕地398.4公顷，同比减少33.8%，做到了占优补优、占水田补水田；全市耕地面积523.36万亩，是全省上一轮规划唯一耕地保有量达标的市州。我市耕地保护工作获省政府真抓实干督查激励先进单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2）全面强化督查执法。抓实“大棚房”问题专项行动“回头看”、违建别墅清查整治“回头看”、农村乱占耕地建房整治等专项行动，排查“大棚房”新增问题1个，违建别墅问题无新增，制定了《关于进一步明确农村宅基地农用地转用审批责任的意见》，在全省范围内首次明确了农村宅基地农用地转用审批过程中的乡镇属地管理、承办主体责任和部门指导审批、财政资金保障责任，全市乱占耕地建房问题整改率达到100%。报请市政府印发了《关于建立完善违法用地整治工作长效管理机制的通知》，切实做好了月清“三地两矿”、卫片执法检查、例行督察整改等工作，全市违法用地面积、宗数和比例维持5%以内，做到了守土有责、守土负责、守土尽责。</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（3）做好资源调查工作。完成了耕地后备资源调查和规划划定、城镇低效用地专项调查、农村空心房专项调查、年度国土变更调查等工作，成果上报省厅并通过省级核查。</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3、科学配置要素，保障经济发展。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1）强化土地要素保障。围绕岳阳七大千亿产业和“12+1”优势产业链，深入推进土地全生命周期管理，落实“限期供地”“净地出让”，己内酰胺、市中心医院等一大批重大项目顺利落地，截至12月底，全市清零验收121个土地依法征收项目，完成建设用地供应1099宗2811.02公顷，实现土地价款282.62亿元，价款同比增长72.87%，其中市中心城区166.91亿元，同比增长214.27%，追缴往年欠缴土地出让金12.32亿元。</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2）持续优化营商环境。深化建设工程审批制度改革，完善分期验收制度，核发建设用地规划许可36项，建设工程规划许可75项，“多测合一”改革实现全流程、全覆盖。将“标准地+承诺制”和“用地清单制”整合，出台了《关于印发〈岳阳市工程建设项目拿地即开工（社会投资类）实施方案（试行）〉的通知》，2个试点项目顺利实施“拿地即开工”；积极服务园区自贸区建设，提起市政府出台了《岳阳市创建“五好”园区节约集约用地十条措施》，出台了《关于强化中国（湖南）自由贸易区试验区岳阳片区自然资源和规划要素保障的若干措施的通知》，岳阳绿色化工高新技术产业开发区（150万吨/年乙烯炼化一体化项目）调区扩区获省厅支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3）落实集约节约用地。会同市政府督查室持续开展批而未供、闲置土地处置和“三清单三行动”，处置批而未供土地1357.57公顷，处置闲置土地781.95公顷，完成省厅下达任务；“摘帽”行动处置43宗296.07公顷，处置率99.67%，“净地”攻坚行动处置59宗243.86公顷，处置率87.99%，“执法”行动34宗123.7公顷，处置率100%。</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4、聚焦民生福祉，维护群众权益</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（1）扎实开展地灾防治。积极开展防灾避险知识科普宣传和综合演练，全市共举办应急避险演练41次；坚持人防技防相结合，成功避险2起，持续保持地灾隐患点“零死亡”。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2）提升不动产登记服务。建设不动产交易登记“三个一”服务新模式（一个环节办理、一个平台审核、一个网络贯通），审核效率提升5倍，最快“60分钟”出证；将不动登记“一窗办事”平台延伸至开发企业、中介公司、金融机构、司法机构，推行各类业务“网上办、掌上办、自助办”，实现了“数据多跑路，群众少跑腿”。</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3）保障购房群众合法权益。全市87个房地产办证信访突出问题化解82个，化解率94.25%，各县市区均出台了《新建商品房“交房即交证”改革工作方案》，并选取了开发项目进行改革试点，做到了“交房即交证”改革工作全覆盖，省厅考评获满分成绩。</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4）完成禁拆治违整治行动。全市拆违216.71万㎡，集中整治了一批存在安全隐患、破坏生态环境、群众意见强烈的违法建设，构建了禁违拆违治违长效工作机制，真正形成“不敢违、不能违、不想违”的社会氛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5、强化基础支撑，提升软硬实力。</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深化机构改革，强化了人才培养，推进信息化建设，抓实信访维稳。</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6、坚持党建引领，筑牢廉洁底线</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站稳政治立场，巩固基层党建，狠抓意识形态，加强廉政建设。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七、存在的主要问题及建议</w:t>
      </w: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bCs w:val="0"/>
          <w:sz w:val="28"/>
          <w:szCs w:val="28"/>
          <w:highlight w:val="none"/>
          <w:lang w:val="en-US" w:eastAsia="zh-CN"/>
        </w:rPr>
        <w:t xml:space="preserve">    （一）存在问题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1、项目绩效管理有待加强。2021年非基建项目16个，专项经费4,823.58万元，由于项目多、涉及部门多，部分项目支出未按绩效管理要求，进行年度自评，考核项目实施绩效。</w:t>
      </w:r>
    </w:p>
    <w:p>
      <w:pPr>
        <w:pStyle w:val="6"/>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Cs/>
          <w:sz w:val="28"/>
          <w:szCs w:val="28"/>
          <w:highlight w:val="none"/>
          <w:lang w:val="en-US" w:eastAsia="zh-CN"/>
        </w:rPr>
        <w:t xml:space="preserve">   2、决算公开不够及时。根据规定，2021年部门决算应在8月22日在相关网站进行公示，局机关决算信息未在规定的时间内公示，稍有延期。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3、预算编制科学性、合理性有待提高。2021年市自然资源和规划局三公经费预算公开表总额为381.7万元，实际支出85.2万元，预算与实际支出相差金额较大，预算编制科学性、合理性有待提高。原因：三公经费预算金额由相关系统测算，与实际存在差距。</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4、实际在岗人数超编制人数。编委定编99人，实际岗位人数133人（包含借调部分分局和二级机构人员），超编委定编人员34人，超编34.34%，存在占用个别分局和二级机构人力资源的现象。原因：自然资源局机构改革事多、事杂，机关工作人员不够，暂借用个别分局和二级机构工作人员。</w:t>
      </w: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Cs/>
          <w:kern w:val="2"/>
          <w:sz w:val="28"/>
          <w:szCs w:val="28"/>
          <w:highlight w:val="none"/>
          <w:lang w:val="en-US" w:eastAsia="zh-CN" w:bidi="ar-SA"/>
        </w:rPr>
      </w:pPr>
      <w:r>
        <w:rPr>
          <w:rFonts w:hint="eastAsia" w:asciiTheme="minorEastAsia" w:hAnsiTheme="minorEastAsia" w:eastAsiaTheme="minorEastAsia" w:cstheme="minorEastAsia"/>
          <w:bCs/>
          <w:kern w:val="2"/>
          <w:sz w:val="28"/>
          <w:szCs w:val="28"/>
          <w:highlight w:val="none"/>
          <w:lang w:val="en-US" w:eastAsia="zh-CN" w:bidi="ar-SA"/>
        </w:rPr>
        <w:t xml:space="preserve">    5、固定资产更新有待加强。由于原国土局与规划局合并，原固定资产陈旧，有超保质期限的问题，需进行报损处理进行更新。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kern w:val="2"/>
          <w:sz w:val="28"/>
          <w:szCs w:val="28"/>
          <w:highlight w:val="none"/>
          <w:lang w:val="en-US" w:eastAsia="zh-CN" w:bidi="ar-SA"/>
        </w:rPr>
        <w:t>（二）改进措施和</w:t>
      </w:r>
      <w:r>
        <w:rPr>
          <w:rFonts w:hint="eastAsia" w:asciiTheme="minorEastAsia" w:hAnsiTheme="minorEastAsia" w:eastAsiaTheme="minorEastAsia" w:cstheme="minorEastAsia"/>
          <w:b/>
          <w:bCs w:val="0"/>
          <w:sz w:val="28"/>
          <w:szCs w:val="28"/>
          <w:highlight w:val="none"/>
          <w:lang w:val="en-US" w:eastAsia="zh-CN"/>
        </w:rPr>
        <w:t>有关建议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1、加强项目支出的绩效管理。根据绩效管理要求，项目实施部门选择部分项目进行绩效自评，评价项目资金投入和使用情况，项目主要任务完成情况，项目绩效情况；通过自评，及时发现问题，及时整改，保障项目按时、按质、按量完成绩效目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2、合理编制年度预算。参考上年度预算执行情况和本年度收支预测，制订科学合理的预算标准，将预算支出项目细化，遵循实事求是的原则，进一步提高预算的可执行性。</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3、进一步加强资产管理。应对账面固定资产实物进行核查，对历年应收、应付呆账等进行清理、处置,调整账务，夯实资产资金管理基础，摸清资产家底，以最大限度利用好现有资产。</w:t>
      </w:r>
    </w:p>
    <w:p>
      <w:pPr>
        <w:pStyle w:val="6"/>
        <w:keepNext w:val="0"/>
        <w:keepLines w:val="0"/>
        <w:pageBreakBefore w:val="0"/>
        <w:widowControl w:val="0"/>
        <w:kinsoku/>
        <w:wordWrap/>
        <w:overflowPunct/>
        <w:topLinePunct w:val="0"/>
        <w:autoSpaceDE/>
        <w:autoSpaceDN/>
        <w:bidi w:val="0"/>
        <w:adjustRightInd/>
        <w:snapToGrid/>
        <w:spacing w:line="52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Cs/>
          <w:sz w:val="28"/>
          <w:szCs w:val="28"/>
          <w:highlight w:val="none"/>
          <w:lang w:val="en-US" w:eastAsia="zh-CN"/>
        </w:rPr>
        <w:t xml:space="preserve"> 4、及时决算公开。部门决算按规定时间及时在相关网站进行公示，保障决算数据透明性、公开性，财政资金得到公众监督。</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Theme="minorEastAsia" w:hAnsiTheme="minorEastAsia" w:eastAsiaTheme="minorEastAsia" w:cstheme="minorEastAsia"/>
          <w:b/>
          <w:bCs w:val="0"/>
          <w:sz w:val="28"/>
          <w:szCs w:val="28"/>
          <w:highlight w:val="none"/>
          <w:lang w:val="en-US" w:eastAsia="zh-CN"/>
        </w:rPr>
      </w:pPr>
      <w:r>
        <w:rPr>
          <w:rFonts w:hint="eastAsia" w:asciiTheme="minorEastAsia" w:hAnsiTheme="minorEastAsia" w:eastAsiaTheme="minorEastAsia" w:cstheme="minorEastAsia"/>
          <w:b/>
          <w:bCs w:val="0"/>
          <w:sz w:val="28"/>
          <w:szCs w:val="28"/>
          <w:highlight w:val="none"/>
          <w:lang w:val="en-US" w:eastAsia="zh-CN"/>
        </w:rPr>
        <w:t>八、其他需要说明的问题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无其他需要说明的问题</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bCs/>
          <w:sz w:val="28"/>
          <w:szCs w:val="28"/>
          <w:highlight w:val="none"/>
          <w:lang w:val="en-US" w:eastAsia="zh-CN"/>
        </w:rPr>
      </w:pPr>
    </w:p>
    <w:p>
      <w:pPr>
        <w:pageBreakBefore w:val="0"/>
        <w:widowControl w:val="0"/>
        <w:numPr>
          <w:ilvl w:val="0"/>
          <w:numId w:val="0"/>
        </w:numPr>
        <w:kinsoku/>
        <w:wordWrap/>
        <w:overflowPunct/>
        <w:topLinePunct w:val="0"/>
        <w:autoSpaceDE/>
        <w:bidi w:val="0"/>
        <w:adjustRightInd/>
        <w:snapToGrid/>
        <w:spacing w:line="520" w:lineRule="exact"/>
        <w:ind w:firstLine="560" w:firstLineChars="200"/>
        <w:rPr>
          <w:rFonts w:hint="eastAsia" w:asciiTheme="minorEastAsia" w:hAnsiTheme="minorEastAsia" w:eastAsiaTheme="minorEastAsia" w:cstheme="minorEastAsia"/>
          <w:bCs/>
          <w:sz w:val="28"/>
          <w:szCs w:val="28"/>
          <w:highlight w:val="none"/>
          <w:lang w:val="en-US" w:eastAsia="zh-CN"/>
        </w:rPr>
      </w:pPr>
      <w:r>
        <w:rPr>
          <w:rFonts w:hint="eastAsia" w:asciiTheme="minorEastAsia" w:hAnsiTheme="minorEastAsia" w:eastAsiaTheme="minorEastAsia" w:cstheme="minorEastAsia"/>
          <w:bCs/>
          <w:sz w:val="28"/>
          <w:szCs w:val="28"/>
          <w:highlight w:val="none"/>
          <w:lang w:val="en-US" w:eastAsia="zh-CN"/>
        </w:rPr>
        <w:t>附件：绩效评价通知</w:t>
      </w:r>
    </w:p>
    <w:p>
      <w:pPr>
        <w:pStyle w:val="2"/>
        <w:pageBreakBefore w:val="0"/>
        <w:widowControl w:val="0"/>
        <w:kinsoku/>
        <w:wordWrap/>
        <w:overflowPunct/>
        <w:topLinePunct w:val="0"/>
        <w:autoSpaceDE/>
        <w:bidi w:val="0"/>
        <w:adjustRightInd/>
        <w:snapToGrid/>
        <w:spacing w:line="520" w:lineRule="exact"/>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Cs/>
          <w:sz w:val="28"/>
          <w:szCs w:val="28"/>
          <w:highlight w:val="none"/>
          <w:lang w:val="en-US" w:eastAsia="zh-CN"/>
        </w:rPr>
        <w:t xml:space="preserve">          市自然资源和规划局机关整体支出绩效评价评分表</w:t>
      </w:r>
    </w:p>
    <w:p>
      <w:pPr>
        <w:pageBreakBefore w:val="0"/>
        <w:widowControl w:val="0"/>
        <w:numPr>
          <w:ilvl w:val="0"/>
          <w:numId w:val="0"/>
        </w:numPr>
        <w:kinsoku/>
        <w:wordWrap/>
        <w:overflowPunct/>
        <w:topLinePunct w:val="0"/>
        <w:autoSpaceDE/>
        <w:bidi w:val="0"/>
        <w:adjustRightInd/>
        <w:snapToGrid/>
        <w:spacing w:line="520" w:lineRule="exact"/>
        <w:rPr>
          <w:rFonts w:hint="eastAsia" w:asciiTheme="minorEastAsia" w:hAnsiTheme="minorEastAsia" w:eastAsiaTheme="minorEastAsia" w:cstheme="minorEastAsia"/>
          <w:bCs/>
          <w:sz w:val="28"/>
          <w:szCs w:val="28"/>
          <w:highlight w:val="none"/>
          <w:lang w:val="en-US" w:eastAsia="zh-CN"/>
        </w:rPr>
      </w:pPr>
    </w:p>
    <w:p>
      <w:pPr>
        <w:numPr>
          <w:ilvl w:val="0"/>
          <w:numId w:val="0"/>
        </w:numPr>
        <w:spacing w:line="440" w:lineRule="exact"/>
        <w:rPr>
          <w:rFonts w:hint="default" w:ascii="宋体" w:hAnsi="宋体" w:cs="宋体"/>
          <w:bCs/>
          <w:sz w:val="28"/>
          <w:szCs w:val="28"/>
          <w:highlight w:val="none"/>
          <w:lang w:val="en-US" w:eastAsia="zh-CN"/>
        </w:rPr>
      </w:pPr>
    </w:p>
    <w:p>
      <w:pPr>
        <w:numPr>
          <w:ilvl w:val="0"/>
          <w:numId w:val="0"/>
        </w:numPr>
        <w:spacing w:line="440" w:lineRule="exact"/>
        <w:ind w:firstLine="560" w:firstLineChars="200"/>
        <w:rPr>
          <w:rFonts w:hint="default" w:ascii="宋体" w:hAnsi="宋体" w:cs="宋体"/>
          <w:bCs/>
          <w:sz w:val="28"/>
          <w:szCs w:val="28"/>
          <w:highlight w:val="none"/>
          <w:lang w:val="en-US" w:eastAsia="zh-CN"/>
        </w:rPr>
      </w:pPr>
    </w:p>
    <w:p>
      <w:pPr>
        <w:numPr>
          <w:ilvl w:val="0"/>
          <w:numId w:val="0"/>
        </w:numPr>
        <w:spacing w:line="440" w:lineRule="exact"/>
        <w:ind w:firstLine="560" w:firstLineChars="200"/>
        <w:rPr>
          <w:rFonts w:hint="default" w:ascii="宋体" w:hAnsi="宋体" w:cs="宋体"/>
          <w:bCs/>
          <w:sz w:val="28"/>
          <w:szCs w:val="28"/>
          <w:highlight w:val="none"/>
          <w:lang w:val="en-US" w:eastAsia="zh-CN"/>
        </w:rPr>
      </w:pPr>
    </w:p>
    <w:p>
      <w:pPr>
        <w:numPr>
          <w:ilvl w:val="0"/>
          <w:numId w:val="0"/>
        </w:numPr>
        <w:spacing w:line="440" w:lineRule="exact"/>
        <w:ind w:firstLine="560" w:firstLineChars="200"/>
        <w:rPr>
          <w:rFonts w:hint="default" w:ascii="宋体" w:hAnsi="宋体" w:cs="宋体"/>
          <w:bCs/>
          <w:sz w:val="28"/>
          <w:szCs w:val="28"/>
          <w:highlight w:val="none"/>
          <w:lang w:val="en-US" w:eastAsia="zh-CN"/>
        </w:rPr>
      </w:pPr>
      <w:r>
        <w:rPr>
          <w:rFonts w:hint="default" w:ascii="宋体" w:hAnsi="宋体" w:cs="宋体"/>
          <w:bCs/>
          <w:sz w:val="28"/>
          <w:szCs w:val="28"/>
          <w:highlight w:val="none"/>
          <w:lang w:val="en-US" w:eastAsia="zh-CN"/>
        </w:rPr>
        <w:t>湖南恒兴联合                 中国注册会计师:</w:t>
      </w:r>
    </w:p>
    <w:p>
      <w:pPr>
        <w:numPr>
          <w:ilvl w:val="0"/>
          <w:numId w:val="0"/>
        </w:numPr>
        <w:spacing w:line="440" w:lineRule="exact"/>
        <w:ind w:firstLine="560" w:firstLineChars="200"/>
        <w:rPr>
          <w:rFonts w:hint="default" w:ascii="宋体" w:hAnsi="宋体" w:cs="宋体"/>
          <w:bCs/>
          <w:sz w:val="28"/>
          <w:szCs w:val="28"/>
          <w:highlight w:val="none"/>
          <w:lang w:val="en-US" w:eastAsia="zh-CN"/>
        </w:rPr>
      </w:pPr>
    </w:p>
    <w:p>
      <w:pPr>
        <w:numPr>
          <w:ilvl w:val="0"/>
          <w:numId w:val="0"/>
        </w:numPr>
        <w:spacing w:line="440" w:lineRule="exact"/>
        <w:ind w:firstLine="560" w:firstLineChars="200"/>
        <w:rPr>
          <w:rFonts w:hint="default" w:ascii="宋体" w:hAnsi="宋体" w:cs="宋体"/>
          <w:bCs/>
          <w:sz w:val="28"/>
          <w:szCs w:val="28"/>
          <w:highlight w:val="none"/>
          <w:lang w:val="en-US" w:eastAsia="zh-CN"/>
        </w:rPr>
      </w:pPr>
      <w:r>
        <w:rPr>
          <w:rFonts w:hint="default" w:ascii="宋体" w:hAnsi="宋体" w:cs="宋体"/>
          <w:bCs/>
          <w:sz w:val="28"/>
          <w:szCs w:val="28"/>
          <w:highlight w:val="none"/>
          <w:lang w:val="en-US" w:eastAsia="zh-CN"/>
        </w:rPr>
        <w:t>会计师事务所                 中国注册会计师：</w:t>
      </w:r>
    </w:p>
    <w:p>
      <w:pPr>
        <w:numPr>
          <w:ilvl w:val="0"/>
          <w:numId w:val="0"/>
        </w:numPr>
        <w:spacing w:line="440" w:lineRule="exact"/>
        <w:ind w:firstLine="560" w:firstLineChars="200"/>
        <w:rPr>
          <w:rFonts w:hint="default" w:ascii="宋体" w:hAnsi="宋体" w:cs="宋体"/>
          <w:bCs/>
          <w:sz w:val="28"/>
          <w:szCs w:val="28"/>
          <w:highlight w:val="none"/>
          <w:lang w:val="en-US" w:eastAsia="zh-CN"/>
        </w:rPr>
      </w:pPr>
    </w:p>
    <w:p>
      <w:pPr>
        <w:numPr>
          <w:ilvl w:val="0"/>
          <w:numId w:val="0"/>
        </w:numPr>
        <w:spacing w:line="440" w:lineRule="exact"/>
        <w:ind w:firstLine="560" w:firstLineChars="200"/>
        <w:rPr>
          <w:rFonts w:hint="default" w:ascii="宋体" w:hAnsi="宋体" w:cs="宋体"/>
          <w:bCs/>
          <w:sz w:val="28"/>
          <w:szCs w:val="28"/>
          <w:highlight w:val="none"/>
          <w:lang w:val="en-US" w:eastAsia="zh-CN"/>
        </w:rPr>
      </w:pPr>
      <w:r>
        <w:rPr>
          <w:rFonts w:hint="default" w:ascii="宋体" w:hAnsi="宋体" w:cs="宋体"/>
          <w:bCs/>
          <w:sz w:val="28"/>
          <w:szCs w:val="28"/>
          <w:highlight w:val="none"/>
          <w:lang w:val="en-US" w:eastAsia="zh-CN"/>
        </w:rPr>
        <w:t>湖南.岳阳                   二〇二</w:t>
      </w:r>
      <w:r>
        <w:rPr>
          <w:rFonts w:hint="eastAsia" w:ascii="宋体" w:hAnsi="宋体" w:cs="宋体"/>
          <w:bCs/>
          <w:sz w:val="28"/>
          <w:szCs w:val="28"/>
          <w:highlight w:val="none"/>
          <w:lang w:val="en-US" w:eastAsia="zh-CN"/>
        </w:rPr>
        <w:t>二</w:t>
      </w:r>
      <w:r>
        <w:rPr>
          <w:rFonts w:hint="default" w:ascii="宋体" w:hAnsi="宋体" w:cs="宋体"/>
          <w:bCs/>
          <w:sz w:val="28"/>
          <w:szCs w:val="28"/>
          <w:highlight w:val="none"/>
          <w:lang w:val="en-US" w:eastAsia="zh-CN"/>
        </w:rPr>
        <w:t>年</w:t>
      </w:r>
      <w:r>
        <w:rPr>
          <w:rFonts w:hint="eastAsia" w:ascii="宋体" w:hAnsi="宋体" w:cs="宋体"/>
          <w:bCs/>
          <w:sz w:val="28"/>
          <w:szCs w:val="28"/>
          <w:highlight w:val="none"/>
          <w:lang w:val="en-US" w:eastAsia="zh-CN"/>
        </w:rPr>
        <w:t>九</w:t>
      </w:r>
      <w:r>
        <w:rPr>
          <w:rFonts w:hint="default" w:ascii="宋体" w:hAnsi="宋体" w:cs="宋体"/>
          <w:bCs/>
          <w:sz w:val="28"/>
          <w:szCs w:val="28"/>
          <w:highlight w:val="none"/>
          <w:lang w:val="en-US" w:eastAsia="zh-CN"/>
        </w:rPr>
        <w:t>月二十日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E9ED79"/>
    <w:multiLevelType w:val="singleLevel"/>
    <w:tmpl w:val="E0E9ED79"/>
    <w:lvl w:ilvl="0" w:tentative="0">
      <w:start w:val="2"/>
      <w:numFmt w:val="decimal"/>
      <w:suff w:val="nothing"/>
      <w:lvlText w:val="%1、"/>
      <w:lvlJc w:val="left"/>
    </w:lvl>
  </w:abstractNum>
  <w:abstractNum w:abstractNumId="1">
    <w:nsid w:val="0229B9FA"/>
    <w:multiLevelType w:val="singleLevel"/>
    <w:tmpl w:val="0229B9FA"/>
    <w:lvl w:ilvl="0" w:tentative="0">
      <w:start w:val="2"/>
      <w:numFmt w:val="decimal"/>
      <w:suff w:val="nothing"/>
      <w:lvlText w:val="%1、"/>
      <w:lvlJc w:val="left"/>
    </w:lvl>
  </w:abstractNum>
  <w:abstractNum w:abstractNumId="2">
    <w:nsid w:val="215067DD"/>
    <w:multiLevelType w:val="singleLevel"/>
    <w:tmpl w:val="215067DD"/>
    <w:lvl w:ilvl="0" w:tentative="0">
      <w:start w:val="1"/>
      <w:numFmt w:val="decimal"/>
      <w:lvlText w:val="%1."/>
      <w:lvlJc w:val="left"/>
      <w:pPr>
        <w:tabs>
          <w:tab w:val="left" w:pos="312"/>
        </w:tabs>
      </w:pPr>
    </w:lvl>
  </w:abstractNum>
  <w:abstractNum w:abstractNumId="3">
    <w:nsid w:val="7A2B7A44"/>
    <w:multiLevelType w:val="singleLevel"/>
    <w:tmpl w:val="7A2B7A44"/>
    <w:lvl w:ilvl="0" w:tentative="0">
      <w:start w:val="2"/>
      <w:numFmt w:val="chineseCounting"/>
      <w:suff w:val="nothing"/>
      <w:lvlText w:val="（%1）"/>
      <w:lvlJc w:val="left"/>
      <w:pPr>
        <w:ind w:left="630" w:leftChars="0" w:firstLine="0" w:firstLineChars="0"/>
      </w:pPr>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wYzIxZTY5Njc5YjJmMmUwOTAzMzg4ZDAwOTc1YTAifQ=="/>
  </w:docVars>
  <w:rsids>
    <w:rsidRoot w:val="00172A27"/>
    <w:rsid w:val="07772530"/>
    <w:rsid w:val="0A184C5E"/>
    <w:rsid w:val="0A583B92"/>
    <w:rsid w:val="0D08068F"/>
    <w:rsid w:val="0ED54E67"/>
    <w:rsid w:val="0EEA7130"/>
    <w:rsid w:val="0F145CE2"/>
    <w:rsid w:val="0FA83AEC"/>
    <w:rsid w:val="10260A97"/>
    <w:rsid w:val="106E0F54"/>
    <w:rsid w:val="107C2883"/>
    <w:rsid w:val="10E548CC"/>
    <w:rsid w:val="116B3023"/>
    <w:rsid w:val="11847C41"/>
    <w:rsid w:val="1263719A"/>
    <w:rsid w:val="12CA0DC2"/>
    <w:rsid w:val="139A199E"/>
    <w:rsid w:val="16E52614"/>
    <w:rsid w:val="1A0641EC"/>
    <w:rsid w:val="1A0F4551"/>
    <w:rsid w:val="1A8225F1"/>
    <w:rsid w:val="1DB00010"/>
    <w:rsid w:val="240E771F"/>
    <w:rsid w:val="24AD7223"/>
    <w:rsid w:val="25286B70"/>
    <w:rsid w:val="25D07DA6"/>
    <w:rsid w:val="298567F4"/>
    <w:rsid w:val="2C1D4AC2"/>
    <w:rsid w:val="2C8114F5"/>
    <w:rsid w:val="2F3B2DA0"/>
    <w:rsid w:val="300C7328"/>
    <w:rsid w:val="30640F12"/>
    <w:rsid w:val="323B2B8E"/>
    <w:rsid w:val="33A86E90"/>
    <w:rsid w:val="340F73E6"/>
    <w:rsid w:val="35DA1C76"/>
    <w:rsid w:val="37BF1123"/>
    <w:rsid w:val="380044D3"/>
    <w:rsid w:val="38BE5ED9"/>
    <w:rsid w:val="3DDD212B"/>
    <w:rsid w:val="3FB35A12"/>
    <w:rsid w:val="3FD339BE"/>
    <w:rsid w:val="46FF0150"/>
    <w:rsid w:val="4A733183"/>
    <w:rsid w:val="52E57838"/>
    <w:rsid w:val="531E2D4A"/>
    <w:rsid w:val="554D7917"/>
    <w:rsid w:val="569972B8"/>
    <w:rsid w:val="56DB2F3B"/>
    <w:rsid w:val="574C19DE"/>
    <w:rsid w:val="58697EF4"/>
    <w:rsid w:val="5ED339EB"/>
    <w:rsid w:val="618636DE"/>
    <w:rsid w:val="628237BE"/>
    <w:rsid w:val="66313984"/>
    <w:rsid w:val="685E210F"/>
    <w:rsid w:val="6ACD532A"/>
    <w:rsid w:val="6B790669"/>
    <w:rsid w:val="6DBC51E2"/>
    <w:rsid w:val="6F2221F6"/>
    <w:rsid w:val="6F7E103C"/>
    <w:rsid w:val="71F43398"/>
    <w:rsid w:val="720C0443"/>
    <w:rsid w:val="73176B8B"/>
    <w:rsid w:val="731C48E6"/>
    <w:rsid w:val="743B1228"/>
    <w:rsid w:val="75463AA4"/>
    <w:rsid w:val="75907680"/>
    <w:rsid w:val="77383B2B"/>
    <w:rsid w:val="78A813DF"/>
    <w:rsid w:val="7AF64429"/>
    <w:rsid w:val="7CFE5F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toc 5"/>
    <w:basedOn w:val="1"/>
    <w:next w:val="1"/>
    <w:qFormat/>
    <w:uiPriority w:val="0"/>
    <w:pPr>
      <w:ind w:left="1680" w:leftChars="800"/>
    </w:pPr>
  </w:style>
  <w:style w:type="paragraph" w:styleId="4">
    <w:name w:val="Body Text Indent"/>
    <w:basedOn w:val="1"/>
    <w:semiHidden/>
    <w:unhideWhenUsed/>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kern w:val="0"/>
      <w:sz w:val="18"/>
      <w:szCs w:val="18"/>
    </w:rPr>
  </w:style>
  <w:style w:type="paragraph" w:styleId="6">
    <w:name w:val="Body Text First Indent 2"/>
    <w:basedOn w:val="4"/>
    <w:unhideWhenUsed/>
    <w:qFormat/>
    <w:uiPriority w:val="99"/>
    <w:pPr>
      <w:ind w:firstLine="420" w:firstLineChars="200"/>
    </w:pPr>
  </w:style>
  <w:style w:type="character" w:customStyle="1" w:styleId="9">
    <w:name w:val="NormalCharacter"/>
    <w:link w:val="10"/>
    <w:qFormat/>
    <w:uiPriority w:val="0"/>
  </w:style>
  <w:style w:type="paragraph" w:customStyle="1" w:styleId="10">
    <w:name w:val="UserStyle_2"/>
    <w:basedOn w:val="1"/>
    <w:link w:val="9"/>
    <w:qFormat/>
    <w:uiPriority w:val="0"/>
    <w:pPr>
      <w:spacing w:line="360" w:lineRule="auto"/>
      <w:jc w:val="both"/>
      <w:textAlignment w:val="baseline"/>
    </w:pPr>
  </w:style>
  <w:style w:type="character" w:customStyle="1" w:styleId="11">
    <w:name w:val="font11"/>
    <w:basedOn w:val="8"/>
    <w:qFormat/>
    <w:uiPriority w:val="0"/>
    <w:rPr>
      <w:rFonts w:hint="default" w:ascii="仿宋_GB2312" w:eastAsia="仿宋_GB2312" w:cs="仿宋_GB2312"/>
      <w:b/>
      <w:bCs/>
      <w:color w:val="000000"/>
      <w:sz w:val="24"/>
      <w:szCs w:val="24"/>
      <w:u w:val="none"/>
    </w:rPr>
  </w:style>
  <w:style w:type="character" w:customStyle="1" w:styleId="12">
    <w:name w:val="font41"/>
    <w:basedOn w:val="8"/>
    <w:qFormat/>
    <w:uiPriority w:val="0"/>
    <w:rPr>
      <w:rFonts w:hint="default" w:ascii="仿宋_GB2312" w:eastAsia="仿宋_GB2312" w:cs="仿宋_GB2312"/>
      <w:b/>
      <w:bCs/>
      <w:color w:val="000000"/>
      <w:sz w:val="24"/>
      <w:szCs w:val="24"/>
      <w:u w:val="none"/>
    </w:rPr>
  </w:style>
  <w:style w:type="character" w:customStyle="1" w:styleId="13">
    <w:name w:val="font71"/>
    <w:basedOn w:val="8"/>
    <w:uiPriority w:val="0"/>
    <w:rPr>
      <w:rFonts w:hint="default"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Office_11.8.6.11021_F1E327BC-269C-435d-A152-05C5408002CA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2021-06-10T03:41:00Z</dcterms:created>
  <dc:creator>Lenovo</dc:creator>
  <cp:lastModifiedBy>Administrator</cp:lastModifiedBy>
  <cp:lastPrinted>2022-09-19T07:03:00Z</cp:lastPrinted>
  <dcterms:modified xsi:type="dcterms:W3CDTF">2022-09-26T01:23:39Z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2052-11.8.6.11021</vt:lpwstr>
  </property>
  <property fmtid="{D5CDD505-2E9C-101B-9397-08002B2CF9AE}" pid="3" name="ICV">
    <vt:lpwstr>463D07FCBCD8488FB065E426C34C080F</vt:lpwstr>
  </property>
</Properties>
</file>