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a="http://schemas.openxmlformats.org/drawingml/2006/main" xmlns:pic="http://schemas.openxmlformats.org/drawingml/2006/picture"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rPr>
          <w:trHeight w:val="48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center"/>
              <w:spacing w:before="0" w:beforeAutospacing="0" w:after="0" w:afterAutospacing="0" w:line="580" w:lineRule="exact"/>
              <w:rPr>
                <w:szCs w:val="36"/>
                <w:iCs w:val="0"/>
                <w:b w:val="0"/>
                <w:i w:val="0"/>
                <w:color w:val="000000"/>
                <w:sz w:val="36"/>
                <w:spacing w:val="0"/>
                <w:w w:val="100"/>
                <w:rFonts w:ascii="方正小标宋简体" w:cs="方正小标宋简体" w:eastAsia="方正小标宋简体" w:hAnsi="方正小标宋简体"/>
                <w:caps w:val="0"/>
              </w:rPr>
              <w:snapToGrid/>
              <w:ind w:firstLine="0" w:firstLineChars="0"/>
              <w:textAlignment w:val="center"/>
            </w:pPr>
            <w:r>
              <w:rPr>
                <w:szCs w:val="36"/>
                <w:iCs w:val="0"/>
                <w:kern w:val="0"/>
                <w:lang w:val="en-US" w:eastAsia="zh-CN" w:bidi="ar"/>
                <w:b w:val="0"/>
                <w:i w:val="0"/>
                <w:color w:val="000000"/>
                <w:sz w:val="36"/>
                <w:spacing w:val="0"/>
                <w:w w:val="100"/>
                <w:rFonts w:ascii="方正小标宋简体" w:cs="方正小标宋简体" w:eastAsia="方正小标宋简体" w:hAnsi="方正小标宋简体" w:hint="eastAsia"/>
                <w:caps w:val="0"/>
              </w:rPr>
              <w:t>岳阳市自然资源和规划局机关2021年度部门预算公开</w:t>
            </w:r>
          </w:p>
        </w:tc>
      </w:tr>
      <w:tr>
        <w:trPr>
          <w:trHeight w:val="48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jc w:val="center"/>
              <w:spacing w:before="0" w:beforeAutospacing="0" w:after="0" w:afterAutospacing="0" w:line="580" w:lineRule="exact"/>
              <w:rPr>
                <w:szCs w:val="36"/>
                <w:iCs w:val="0"/>
                <w:b w:val="0"/>
                <w:i w:val="0"/>
                <w:color w:val="000000"/>
                <w:sz w:val="36"/>
                <w:spacing w:val="0"/>
                <w:w w:val="100"/>
                <w:rFonts w:ascii="方正小标宋简体" w:cs="方正小标宋简体" w:eastAsia="方正小标宋简体" w:hAnsi="方正小标宋简体" w:hint="eastAsia"/>
                <w:caps w:val="0"/>
              </w:rPr>
              <w:snapToGrid/>
              <w:ind w:firstLine="0" w:firstLineChars="0"/>
              <w:textAlignment w:val="baseline"/>
            </w:pPr>
            <w:r>
              <w:rPr>
                <w:b w:val="0"/>
                <w:i w:val="0"/>
                <w:color w:val="000000"/>
                <w:sz w:val="36"/>
                <w:spacing w:val="0"/>
                <w:w w:val="100"/>
                <w:rFonts w:ascii="方正小标宋简体" w:cs="方正小标宋简体" w:eastAsia="方正小标宋简体" w:hAnsi="方正小标宋简体" w:hint="eastAsia"/>
                <w:caps w:val="0"/>
              </w:rPr>
              <w:t/>
            </w:r>
          </w:p>
        </w:tc>
      </w:tr>
      <w:tr>
        <w:trPr>
          <w:trHeight w:val="48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center"/>
              <w:spacing w:before="0" w:beforeAutospacing="0" w:after="0" w:afterAutospacing="0" w:line="580" w:lineRule="exact"/>
              <w:rPr>
                <w:szCs w:val="36"/>
                <w:iCs w:val="0"/>
                <w:b w:val="0"/>
                <w:i w:val="0"/>
                <w:color w:val="000000"/>
                <w:sz w:val="36"/>
                <w:spacing w:val="0"/>
                <w:w w:val="100"/>
                <w:rFonts w:ascii="方正小标宋简体" w:cs="方正小标宋简体" w:eastAsia="方正小标宋简体" w:hAnsi="方正小标宋简体" w:hint="eastAsia"/>
                <w:caps w:val="0"/>
              </w:rPr>
              <w:snapToGrid/>
              <w:ind w:firstLine="0" w:firstLineChars="0"/>
              <w:textAlignment w:val="center"/>
            </w:pPr>
            <w:r>
              <w:rPr>
                <w:szCs w:val="36"/>
                <w:iCs w:val="0"/>
                <w:kern w:val="0"/>
                <w:lang w:val="en-US" w:eastAsia="zh-CN" w:bidi="ar"/>
                <w:b w:val="0"/>
                <w:i w:val="0"/>
                <w:color w:val="000000"/>
                <w:sz w:val="36"/>
                <w:spacing w:val="0"/>
                <w:w w:val="100"/>
                <w:rFonts w:ascii="方正小标宋简体" w:cs="方正小标宋简体" w:eastAsia="方正小标宋简体" w:hAnsi="方正小标宋简体" w:hint="eastAsia"/>
                <w:caps w:val="0"/>
              </w:rPr>
              <w:t>目录</w:t>
            </w:r>
          </w:p>
        </w:tc>
      </w:tr>
      <w:tr>
        <w:trPr>
          <w:trHeight w:val="816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numPr>
                <w:ilvl w:val="0"/>
                <w:numId w:val="1"/>
              </w:numPr>
              <w:spacing w:before="0" w:beforeAutospacing="0" w:after="0" w:afterAutospacing="0" w:line="580" w:lineRule="exact"/>
              <w:rPr>
                <w:szCs w:val="28"/>
                <w:iCs w:val="0"/>
                <w:kern w:val="0"/>
                <w:lang w:val="en-US" w:eastAsia="zh-CN" w:bidi="ar"/>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2021年部门预算说明</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第二部分  部门预算公开表格</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一、收支总表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二、收入总表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三、支出总表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四、支出预算分类汇总表（按政府预算经济分类）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五、支出预算分类汇总表（按部门预算经济分类）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六、财政拨款收支总表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七、一般公共预算支出表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八、一般公共预算基本支出表--人员经费(工资福利支出)(按政府预算经济分类)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九、一般公共预算基本支出表--人员经费(工资福利支出)(按部门预算经济分类)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十、一般公共预算基本支出表--人员经费(对个人和家庭的补助)(按政府预算经济分类)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十一、一般公共预算基本支出表--人员经费(对个人和家庭的补助)（按部门预算经济分类）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十二、一般公共预算基本支出表--公用经费(商品和服务支出)（按政府预算经济分类）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十三、一般公共预算基本支出表--公用经费(商品和服务支出)(按部门预算经济分类)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十四、一般公共预算“三公”经费支出表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十五、政府性基金预算支出表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十六、政府性基金预算支出分类汇总表（按政府预算经济分类）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十七、政府性基金预算支出分类汇总表（按部门预算经济分类）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十八、国有资产经营预算支出表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十九、纳入专户管理的非税收入拨款支出预算表(按政府预算经济分类)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二十、纳入专户管理的非税收入拨款支出预算表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二十一、支出预算项目明细表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二十二、财政支出项目预算绩效目标申报表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二十三、部门(单位)整体支出预算绩效目标申报表</w:t>
            </w:r>
          </w:p>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hAnsi="宋体" w:hint="eastAsia"/>
                <w:caps w:val="0"/>
              </w:rPr>
              <w:t>二十四、</w:t>
            </w:r>
            <w:r>
              <w:rPr>
                <w:szCs w:val="28"/>
                <w:iCs w:val="0"/>
                <w:kern w:val="0"/>
                <w:lang w:val="en-US" w:eastAsia="zh-CN" w:bidi="ar"/>
                <w:b w:val="0"/>
                <w:i w:val="0"/>
                <w:color w:val="000000"/>
                <w:sz w:val="28"/>
                <w:spacing w:val="0"/>
                <w:w w:val="100"/>
                <w:rFonts w:ascii="仿宋_GB2312" w:cs="仿宋_GB2312" w:eastAsia="仿宋_GB2312" w:hAnsi="宋体" w:hint="eastAsia"/>
                <w:caps w:val="0"/>
              </w:rPr>
              <w:t>一般预算拨款基本支出预算表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注：以上部门预算公开报表中，空表表示本部门（单位）无相关收支情况。</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jc w:val="both"/>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baseline"/>
            </w:pPr>
            <w:r>
              <w:rPr>
                <w:b w:val="0"/>
                <w:i w:val="0"/>
                <w:color w:val="000000"/>
                <w:sz w:val="28"/>
                <w:spacing w:val="0"/>
                <w:w w:val="100"/>
                <w:rFonts w:ascii="仿宋_GB2312" w:cs="仿宋_GB2312" w:eastAsia="仿宋_GB2312" w:hAnsi="宋体" w:hint="eastAsia"/>
                <w:caps w:val="0"/>
              </w:rPr>
              <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jc w:val="both"/>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baseline"/>
            </w:pPr>
            <w:r>
              <w:rPr>
                <w:b w:val="0"/>
                <w:i w:val="0"/>
                <w:color w:val="000000"/>
                <w:sz w:val="28"/>
                <w:spacing w:val="0"/>
                <w:w w:val="100"/>
                <w:rFonts w:ascii="仿宋_GB2312" w:cs="仿宋_GB2312" w:eastAsia="仿宋_GB2312" w:hAnsi="宋体" w:hint="eastAsia"/>
                <w:caps w:val="0"/>
              </w:rPr>
              <w:t/>
            </w:r>
          </w:p>
        </w:tc>
      </w:tr>
      <w:tr>
        <w:trPr>
          <w:trHeight w:val="4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center"/>
              <w:spacing w:before="0" w:beforeAutospacing="0" w:after="0" w:afterAutospacing="0" w:line="580" w:lineRule="exact"/>
              <w:rPr>
                <w:szCs w:val="36"/>
                <w:iCs w:val="0"/>
                <w:b w:val="0"/>
                <w:i w:val="0"/>
                <w:color w:val="000000"/>
                <w:sz w:val="36"/>
                <w:spacing w:val="0"/>
                <w:w w:val="100"/>
                <w:rFonts w:ascii="黑体" w:cs="黑体" w:eastAsia="黑体" w:hAnsi="宋体"/>
                <w:caps w:val="0"/>
              </w:rPr>
              <w:snapToGrid/>
              <w:ind w:firstLine="0" w:firstLineChars="0"/>
              <w:textAlignment w:val="center"/>
            </w:pPr>
            <w:r>
              <w:rPr>
                <w:szCs w:val="36"/>
                <w:iCs w:val="0"/>
                <w:kern w:val="0"/>
                <w:lang w:val="en-US" w:eastAsia="zh-CN" w:bidi="ar"/>
                <w:b w:val="0"/>
                <w:i w:val="0"/>
                <w:color w:val="000000"/>
                <w:sz w:val="36"/>
                <w:spacing w:val="0"/>
                <w:w w:val="100"/>
                <w:rFonts w:ascii="黑体" w:cs="黑体" w:eastAsia="黑体" w:hAnsi="宋体" w:hint="eastAsia"/>
                <w:caps w:val="0"/>
              </w:rPr>
              <w:t>第一部分    2021年部门预算说明</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黑体" w:cs="黑体" w:eastAsia="黑体"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黑体" w:cs="黑体" w:eastAsia="黑体" w:hAnsi="宋体" w:hint="eastAsia"/>
                <w:caps w:val="0"/>
              </w:rPr>
              <w:t xml:space="preserve">    一、部门基本概况</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（一）职能职责</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w:t>
            </w:r>
            <w:r>
              <w:rPr>
                <w:lang w:eastAsia="zh-CN"/>
                <w:b w:val="0"/>
                <w:i w:val="0"/>
                <w:color w:val="000000"/>
                <w:sz w:val="28"/>
                <w:spacing w:val="0"/>
                <w:w w:val="100"/>
                <w:rFonts w:hint="eastAsia"/>
                <w:caps w:val="0"/>
              </w:rPr>
              <w:t>1、 依法履行全民所有土地、矿产、森林、草原、湿地、水等自然资源资产所有者职责和国土空间用途管制职责。拟订自然资源和国土空间规划、测绘等地方性法规草案、政府规章草案及相关规定，依法组织实施和监督检查。</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2、 负责自然资源调查监测评价。依照自然资源调查监测评价指标体系、统计标准，实施自然资源基础调查、专项调查和监测。负责自然资源调查监测评价成果的监督管理和信息发布。指导全市自然资源调查监测评价工作。</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3、 负责自然资源统一确权登记工作。制定各类自然资源和不动产统一确权登记、权籍调查、测绘、信息、争议调处、成果应用等制度。建立健全全市自然资源和不动产登记信息管理基础平台。负责自然资源和不动产登记资料收集、整理、共享、汇交管理等。指导监督全市自然资源和不动产确权登记工作。</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4、 负责自然资源资产有偿使用工作。贯彻执行全民所有自然资源资产统计制度，负责全民所有自然资源资产核算。编制全民所有自然资源资产负债表，拟订考核标准。执行全民所有自然资源资产划拨、出让、租赁、作价出资和土地储备政策，合理配置全民所有自然资源资产。负责自然资源资产价值评估管理。</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5、 负责自然资源的合理开发利用。严格执行国家、省、市有关自然资源合理开发利用的政策规定。拟订全市自然资源发展规划和战略，依照自然资源开发利用标准组织实施，建立政府公示自然资源价格体系，开展自然资源分等定级价格评估，开展自然资源利用评价考核和节约集约利用。负责自然资源市场监管。研究自然资源管理涉及宏观调控、区域协调和城乡统筹的政策措施。</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6、 负责建立国土空间规划体系并监督实施。开展城市发展战略研究、国土空间规划研究和全域自然资源管控研究；推进主体功能区战略和制度，组织编制国土空间规划和相关专项规划；负责市本级国土空间规划实施管理；组织划定生态保护红线、永久基本农田、城镇开发边界等控制线，构建节约资源和自然和谐的生产、生活、生态空间布局；开展国土空间开发适宜性评价，建立国土空间规划实施监测、评估和预警体系；建立健全国土空间用途管制制度；负责土地等国土空间用途转用工作；负责国有土地使用权收回工作和土地征收征用管理。</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7、 负责制定国土空间规划编制计划和近期建设规划，制定土地利用及储备供应、矿产资源保护利用、基础测绘、新增建设用地等年度计划，并组织实施；参与城市发展年度建设计划及实施工作。</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8、 负责统筹国土空间生态修复。牵头组织编制国土空间生态修复规划并实施有关生态修复重大工程。负责国土空间综合整治、土地整理复垦、矿山地质环境恢复治理、统筹山水林田湖草生态系统修复治理等工作。牵头建立和实施生态保护补偿制度，执行合理利用社会资金进行生态修复的政策措施，并提出市级重大备选项目。</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9、 负责组织实施最严格的耕地保护制度。牵头实施耕地保护政策，负责耕地数量和生态保护，做好耕地质量保护有关工作。组织实施耕地保护责任目标考核和永久基本农田特殊保护。负责耕地占补平衡管理，落实占用耕地补偿制度，监督占用耕地补偿制度执行情况。</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10、负责管理地质勘查行业和全市地质工作。编制全市地质勘查规划并监督检查执行情况。管理市级地质勘查项目。组织实施重大地质矿产勘查专项。监督管理地下水过量开釆及　　引发的地面沉降等地质问题。负责古生物化石的监督管理。</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11、负责地质灾害预防和治理。组织开展地质调查评价工作；负责落实综合防灾减灾规划相关要求，组织编制地质灾害防治规划和防护标准并指导实施。组织指导协调和监督地质灾害调查评价及隐患普查、详查、排查。指导开展群测群防、专业监测和预报预警等工作，指导开展地质灾害工程治理工作。承担地质灾害应急救援的技术支撑工作。</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12、负责矿产资源管理工作。负责矿产资源储量管理及压覆矿产资源管理。负责矿业权管理。会同有关部门承担保护性开釆的特定矿种、优势矿产的调控及相关管理工作。监督指导矿产资源合理利用和保护。</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13、推动自然资源领域科技发展。制定并实施自然资源领域科技创新发展和人才培养规划和计划。组织制定技术规程并监督实施。组织实施重大科技工程及创新能力建设，推进自然资源信息化和信息资料的公共服务。</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14、负责测绘地理信息管理工作。负责基補测绘和测绘行业管理。负责测绘资质审核与信用管理，监督管理地理信息安全、测绘市场秩序。负责地图管理、地理信息公共服务工作。负责测量标志保护。承担地理空间数据的汇集整合、提供使用和共享工作。负责全市航天航空遥感影像数据的统一获</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15、根据授权，对市以下各级政府及相关部门落实市委、市政府关于自然资源、国土空间规划重大政策、决策部署及法规规章执行情况进行督察。依法查处自然资源开发利用、国土空间规划及测绘领域违法案件。负责涉及自然资源和规划管理事项的信访处理、行政复议、行政诉讼等工作。</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16、统一领导和管理市林业局。</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17、完成市委、市政府交办的其他事项。</w:t>
            </w:r>
          </w:p>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lang w:eastAsia="zh-CN"/>
                <w:b w:val="0"/>
                <w:i w:val="0"/>
                <w:color w:val="000000"/>
                <w:sz w:val="28"/>
                <w:spacing w:val="0"/>
                <w:w w:val="100"/>
                <w:rFonts w:hint="eastAsia"/>
                <w:caps w:val="0"/>
              </w:rPr>
              <w:t>　　18、职能转变。市自然资源和规划局要落实中央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下放有关行政审批事项、强化监管力度，充分发挥市场对资源配置的决定性作用，更好发挥政府作用，强化自然资源管理规则、标准、制度的约束性作用，推进自然资源确权登记和评估的便民高效。</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（二）机构设置</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w:t>
            </w:r>
            <w:r>
              <w:rPr>
                <w:lang w:eastAsia="zh-CN"/>
                <w:b w:val="0"/>
                <w:i w:val="0"/>
                <w:color w:val="000000"/>
                <w:sz w:val="28"/>
                <w:spacing w:val="0"/>
                <w:w w:val="100"/>
                <w:rFonts w:hint="eastAsia"/>
                <w:caps w:val="0"/>
              </w:rPr>
              <w:t>根据编委核定，我局内设科室24个，所属事业单位9个，直属分局3个。</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内设科室分别是：办公室、法规科、综合调研科、国土空间规划一科、国土空间规划二科、自然资源调查监测科、自然资源确权登记科、自然资源所有者权益科、自然资源开发利用科、国土空间用途管制科、建筑工程管理科、市政工程管理科、国土空间生态修复科、耕地保护监督科、地质灾害防治科、矿产资源管理科、测绘管理科、地理信息管理科、自然资源督察办公室、财务与资金运用科、人事科、机关党委、机关纪委、离退休人员管理服务科。</w:t>
            </w:r>
          </w:p>
          <w:p>
            <w:pPr>
              <w:jc w:val="both"/>
              <w:spacing w:before="0" w:beforeAutospacing="0" w:after="0" w:afterAutospacing="0" w:line="580" w:lineRule="exact"/>
              <w:rPr>
                <w:lang w:eastAsia="zh-CN"/>
                <w:b w:val="0"/>
                <w:i w:val="0"/>
                <w:color w:val="000000"/>
                <w:sz w:val="20"/>
                <w:spacing w:val="0"/>
                <w:w w:val="100"/>
                <w:rFonts w:hint="eastAsia"/>
                <w:caps w:val="0"/>
              </w:rPr>
              <w:snapToGrid/>
              <w:ind w:firstLine="0" w:firstLineChars="0"/>
              <w:textAlignment w:val="baseline"/>
            </w:pPr>
            <w:r>
              <w:rPr>
                <w:lang w:eastAsia="zh-CN"/>
                <w:b w:val="0"/>
                <w:i w:val="0"/>
                <w:color w:val="000000"/>
                <w:sz w:val="28"/>
                <w:spacing w:val="0"/>
                <w:w w:val="100"/>
                <w:rFonts w:hint="eastAsia"/>
                <w:caps w:val="0"/>
              </w:rPr>
              <w:t>　　所属事业单位分别是：执法监察支队、规划监察支队、土地储备中心、土地综合整治中心、不动产登记中心、不动产产权交易中心、不动产测绘中心、不动产登记信息中心、规划勘测设计院、征地拆迁中心、信息中心、测绘院、地质环境监测站、城乡规划编制研究中心、档案馆。</w:t>
            </w:r>
          </w:p>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lang w:eastAsia="zh-CN"/>
                <w:b w:val="0"/>
                <w:i w:val="0"/>
                <w:color w:val="000000"/>
                <w:sz w:val="28"/>
                <w:spacing w:val="0"/>
                <w:w w:val="100"/>
                <w:rFonts w:hint="eastAsia"/>
                <w:caps w:val="0"/>
              </w:rPr>
              <w:t>　　直属分局分别是：经济技术开发区分局、南湖新区分局、新港区分局。</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黑体" w:cs="黑体" w:eastAsia="黑体"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黑体" w:cs="黑体" w:eastAsia="黑体" w:hAnsi="宋体" w:hint="eastAsia"/>
                <w:caps w:val="0"/>
              </w:rPr>
              <w:t xml:space="preserve">    二、部门预算单位构成</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所属单位包括</w:t>
            </w:r>
            <w:r>
              <w:rPr>
                <w:szCs w:val="28"/>
                <w:iCs w:val="0"/>
                <w:kern w:val="0"/>
                <w:lang w:val="en-US" w:eastAsia="zh-CN" w:bidi="ar"/>
                <w:b w:val="0"/>
                <w:i w:val="0"/>
                <w:color w:val="000000"/>
                <w:sz w:val="28"/>
                <w:spacing w:val="0"/>
                <w:w w:val="100"/>
                <w:rFonts w:ascii="仿宋_GB2312" w:cs="仿宋_GB2312" w:hAnsi="宋体" w:hint="eastAsia"/>
                <w:caps w:val="0"/>
              </w:rPr>
              <w:t>：</w:t>
            </w:r>
            <w:r>
              <w:rPr>
                <w:lang w:eastAsia="zh-CN"/>
                <w:b w:val="0"/>
                <w:i w:val="0"/>
                <w:color w:val="000000"/>
                <w:sz w:val="28"/>
                <w:spacing w:val="0"/>
                <w:w w:val="100"/>
                <w:rFonts w:hint="eastAsia"/>
                <w:caps w:val="0"/>
              </w:rPr>
              <w:t>1、岳阳市自然资源和规划局机关（含规划监察支队、城乡规划编制研究中心、地质环境监测站）；2、岳阳市国土资源局执法监察支队；3、岳阳市土地综合整治中心；4、岳阳市不动产登记中心；5、岳阳市不动产产权交易中心；6、岳阳市不动产登记信息中心；7、岳阳市自然资源和规划局经济技术开发区分局；8、岳阳市自然资源和规划局南湖新区分局；9、岳阳市自然资源和规划局城陵矶新港区分局。</w:t>
            </w:r>
          </w:p>
        </w:tc>
      </w:tr>
      <w:tr>
        <w:trPr>
          <w:trHeight w:val="150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本部门所属二级预算单位均由财政独立批复预算，并已单独公开预算，因此，纳入2021年部门预算公开范围的为本部门（单位）自己。</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黑体" w:cs="黑体" w:eastAsia="黑体"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黑体" w:cs="黑体" w:eastAsia="黑体" w:hAnsi="宋体" w:hint="eastAsia"/>
                <w:caps w:val="0"/>
              </w:rPr>
              <w:t xml:space="preserve">    三、部门（单位）收支总体情况</w:t>
            </w:r>
          </w:p>
        </w:tc>
      </w:tr>
      <w:tr>
        <w:trPr>
          <w:trHeight w:val="7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2021年部门预算包括本级预算和所含预算单位在内的汇总情况。收入包括经费拨款，也包括行政事业性收费收入和国有资源有偿使用收入；支出包括保障单位基本运行的经费，也包括项目经费。</w:t>
            </w:r>
          </w:p>
        </w:tc>
      </w:tr>
      <w:tr>
        <w:trPr>
          <w:trHeight w:val="7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（一）收入预算</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包括一般公共预算、政府性基金、国有资本经营预算等财政拨款收入，以及经营收入、事业收入等单位资金。</w:t>
            </w:r>
          </w:p>
        </w:tc>
      </w:tr>
      <w:tr>
        <w:trPr>
          <w:trHeight w:val="150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2021年本单位收入预算6,365.68万元，其中，一般公共预算拨款6,105.68万元，政府性基金预算拨款260.00万元，国有资本经营预算拨款0.00万元（所以公开的附件18为空表），财政专户管理资金0.00万元（所以公开的附件19-20为空表），上级补助收入0.00万元，事业单位经营收入0.00万元，其他收入0.00万元，上年结转0.00万元。</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lang w:val="en-US"/>
                <w:b w:val="0"/>
                <w:i w:val="0"/>
                <w:color w:val="000000"/>
                <w:sz w:val="28"/>
                <w:spacing w:val="0"/>
                <w:w w:val="100"/>
                <w:rFonts w:ascii="仿宋_GB2312" w:cs="仿宋_GB2312" w:eastAsia="仿宋_GB2312" w:hAnsi="宋体" w:hint="default"/>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收入较去年增加39.89万元，增幅0.6%，原因是</w:t>
            </w:r>
            <w:r>
              <w:rPr>
                <w:szCs w:val="28"/>
                <w:iCs w:val="0"/>
                <w:kern w:val="0"/>
                <w:lang w:val="en-US" w:eastAsia="zh-CN" w:bidi="ar"/>
                <w:b w:val="0"/>
                <w:i w:val="0"/>
                <w:color w:val="000000"/>
                <w:sz w:val="28"/>
                <w:spacing w:val="0"/>
                <w:w w:val="100"/>
                <w:rFonts w:ascii="仿宋_GB2312" w:cs="仿宋_GB2312" w:hAnsi="宋体" w:hint="eastAsia"/>
                <w:caps w:val="0"/>
              </w:rPr>
              <w:t>项目增加。</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（二）支出预算</w:t>
            </w:r>
          </w:p>
        </w:tc>
      </w:tr>
      <w:tr>
        <w:trPr>
          <w:trHeight w:val="7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2021年本单位支出预算6,365.68万元，其中，社会保障和就业支出130.83万元，卫生健康支出86.23万元，城乡社区支出1,389.53万元，自然资源海洋气象等支出4,668.40万元，住房保障支出90.69万元。</w:t>
            </w:r>
          </w:p>
        </w:tc>
      </w:tr>
      <w:tr>
        <w:trPr>
          <w:trHeight w:val="7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支出较去年增加39.89万元，其中基本支出较去年减少62.23万元，原因是人员调整和厉行节约；项目支出较去年增加102.12万元，原因是地质灾害项目和规划编制项目增加支出。</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黑体" w:cs="黑体" w:eastAsia="黑体"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黑体" w:cs="黑体" w:eastAsia="黑体" w:hAnsi="宋体" w:hint="eastAsia"/>
                <w:caps w:val="0"/>
              </w:rPr>
              <w:t xml:space="preserve">    四、一般公共预算拨款支出预算</w:t>
            </w:r>
          </w:p>
        </w:tc>
      </w:tr>
      <w:tr>
        <w:trPr>
          <w:trHeight w:val="112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2021年一般公共预算拨款支出预算6,105.68万元，其中，社会保障和就业支出130.83万元，占2.1%，卫生健康支出86.23万元，占1.4%，城乡社区支出1,129.53万元，占18.5%，自然资源海洋气象等支出4,668.40万元，占76.5%，住房保障支出90.69万元，占1.5%。具体安排情况如下：</w:t>
            </w:r>
          </w:p>
        </w:tc>
      </w:tr>
      <w:tr>
        <w:trPr>
          <w:trHeight w:val="112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一）基本支出：2021年基本支出年初预算数为1,313.76万元，是指为保障单位机构正常运转、完成日常工作任务而发生的各项支出，包括用于基本工资、津贴补贴等人员经费以及办公费、印刷费、水电费、差旅费等日常公用经费。</w:t>
            </w:r>
          </w:p>
        </w:tc>
      </w:tr>
      <w:tr>
        <w:trPr>
          <w:trHeight w:val="112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二）项目支出：2021年项目支出年初预算数为4,791.92万元，是指单位为完成特定行政工作任务或事业发展目标而发生的支出，包括有关业务工作经费、运行维护经费等。其中包括耕地开发专项支出4,000.00万元、采矿权价款支出300.00万元、拆迁中心专项工作经费（非税）270.00万元、办案费120.00万元、基础测绘项目68.40万元、拆迁中心非税收入成本30.00万元、非税收入征收成本3.52万元。</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黑体" w:cs="黑体" w:eastAsia="黑体"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黑体" w:cs="黑体" w:eastAsia="黑体" w:hAnsi="宋体" w:hint="eastAsia"/>
                <w:caps w:val="0"/>
              </w:rPr>
              <w:t xml:space="preserve">    五、政府性基金预算支出</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2021年政府性基金预算拨款支出预算260.00万元，其中，城乡社区支出260.00万元，占100.0%</w:t>
            </w:r>
            <w:r>
              <w:rPr>
                <w:szCs w:val="28"/>
                <w:iCs w:val="0"/>
                <w:kern w:val="0"/>
                <w:lang w:val="en-US" w:eastAsia="zh-CN" w:bidi="ar"/>
                <w:b w:val="0"/>
                <w:i w:val="0"/>
                <w:color w:val="000000"/>
                <w:sz w:val="28"/>
                <w:spacing w:val="0"/>
                <w:w w:val="100"/>
                <w:rFonts w:ascii="仿宋_GB2312" w:cs="仿宋_GB2312" w:hAnsi="宋体" w:hint="eastAsia"/>
                <w:caps w:val="0"/>
              </w:rPr>
              <w:t>，</w:t>
            </w:r>
            <w:r>
              <w:rPr>
                <w:szCs w:val="28"/>
                <w:iCs w:val="0"/>
                <w:kern w:val="0"/>
                <w:lang w:val="en-US" w:eastAsia="zh-CN" w:bidi="ar"/>
                <w:b w:val="0"/>
                <w:i w:val="0"/>
                <w:color w:val="000000"/>
                <w:sz w:val="28"/>
                <w:spacing w:val="0"/>
                <w:w w:val="100"/>
                <w:rFonts w:ascii="仿宋_GB2312" w:cs="仿宋_GB2312" w:eastAsia="仿宋_GB2312" w:hAnsi="宋体" w:hint="eastAsia"/>
                <w:caps w:val="0"/>
              </w:rPr>
              <w:t>主要用于规划编制等专项支出。</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黑体" w:cs="黑体" w:eastAsia="黑体"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黑体" w:cs="黑体" w:eastAsia="黑体" w:hAnsi="宋体" w:hint="eastAsia"/>
                <w:caps w:val="0"/>
              </w:rPr>
              <w:t xml:space="preserve">    六、其他重要事项的情况说明</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bCs/>
                <w:iCs w:val="0"/>
                <w:b w:val="1"/>
                <w:i w:val="0"/>
                <w:color w:val="000000"/>
                <w:sz w:val="28"/>
                <w:spacing w:val="0"/>
                <w:w w:val="100"/>
                <w:rFonts w:ascii="楷体_GB2312" w:cs="楷体_GB2312" w:eastAsia="楷体_GB2312" w:hAnsi="宋体"/>
                <w:caps w:val="0"/>
              </w:rPr>
              <w:snapToGrid/>
              <w:ind w:firstLine="0" w:firstLineChars="0"/>
              <w:textAlignment w:val="center"/>
            </w:pPr>
            <w:r>
              <w:rPr>
                <w:szCs w:val="28"/>
                <w:bCs/>
                <w:iCs w:val="0"/>
                <w:kern w:val="0"/>
                <w:lang w:val="en-US" w:eastAsia="zh-CN" w:bidi="ar"/>
                <w:b w:val="1"/>
                <w:i w:val="0"/>
                <w:color w:val="000000"/>
                <w:sz w:val="28"/>
                <w:spacing w:val="0"/>
                <w:w w:val="100"/>
                <w:rFonts w:ascii="楷体_GB2312" w:cs="楷体_GB2312" w:eastAsia="楷体_GB2312" w:hAnsi="宋体" w:hint="eastAsia"/>
                <w:caps w:val="0"/>
              </w:rPr>
              <w:t xml:space="preserve">    （一）机关运行经费</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本单位2021年机关运行经费当年一般公共预算拨款228.30万元。</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较去年减少9.78万元，降幅-4.1%，原因是人员调整和厉行节约。</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bCs/>
                <w:iCs w:val="0"/>
                <w:b w:val="1"/>
                <w:i w:val="0"/>
                <w:color w:val="000000"/>
                <w:sz w:val="28"/>
                <w:spacing w:val="0"/>
                <w:w w:val="100"/>
                <w:rFonts w:ascii="楷体_GB2312" w:cs="楷体_GB2312" w:eastAsia="楷体_GB2312" w:hAnsi="宋体" w:hint="eastAsia"/>
                <w:caps w:val="0"/>
              </w:rPr>
              <w:snapToGrid/>
              <w:ind w:firstLine="0" w:firstLineChars="0"/>
              <w:textAlignment w:val="center"/>
            </w:pPr>
            <w:r>
              <w:rPr>
                <w:szCs w:val="28"/>
                <w:bCs/>
                <w:iCs w:val="0"/>
                <w:kern w:val="0"/>
                <w:lang w:val="en-US" w:eastAsia="zh-CN" w:bidi="ar"/>
                <w:b w:val="1"/>
                <w:i w:val="0"/>
                <w:color w:val="000000"/>
                <w:sz w:val="28"/>
                <w:spacing w:val="0"/>
                <w:w w:val="100"/>
                <w:rFonts w:ascii="楷体_GB2312" w:cs="楷体_GB2312" w:eastAsia="楷体_GB2312" w:hAnsi="宋体" w:hint="eastAsia"/>
                <w:caps w:val="0"/>
              </w:rPr>
              <w:t xml:space="preserve">    （二）“三公”经费预算</w:t>
            </w:r>
          </w:p>
        </w:tc>
      </w:tr>
      <w:tr>
        <w:trPr>
          <w:trHeight w:val="112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本单位2021年“三公”经费预算数155.00万元，其中公务接待费65.00万元，因公出国（境）费0.00万元，公务用车购置及运行费等90.00万元（其中公务用车购置费0.00万元，公务用车运行费90.00万元）。</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w:t>
            </w:r>
            <w:r>
              <w:rPr>
                <w:szCs w:val="28"/>
                <w:iCs w:val="0"/>
                <w:kern w:val="0"/>
                <w:lang w:val="en-US" w:eastAsia="zh-CN" w:bidi="ar"/>
                <w:b w:val="0"/>
                <w:i w:val="0"/>
                <w:color w:val="FF0000"/>
                <w:sz w:val="28"/>
                <w:spacing w:val="0"/>
                <w:w w:val="100"/>
                <w:rFonts w:ascii="仿宋_GB2312" w:cs="仿宋_GB2312" w:eastAsia="仿宋_GB2312" w:hAnsi="宋体" w:hint="eastAsia"/>
                <w:caps w:val="0"/>
              </w:rPr>
              <w:t xml:space="preserve"> </w:t>
            </w:r>
            <w:r>
              <w:rPr>
                <w:szCs w:val="28"/>
                <w:iCs w:val="0"/>
                <w:kern w:val="0"/>
                <w:lang w:val="en-US" w:eastAsia="zh-CN" w:bidi="ar"/>
                <w:b w:val="0"/>
                <w:i w:val="0"/>
                <w:color w:val="000000"/>
                <w:sz w:val="28"/>
                <w:spacing w:val="0"/>
                <w:w w:val="100"/>
                <w:rFonts w:ascii="仿宋_GB2312" w:cs="仿宋_GB2312" w:eastAsia="仿宋_GB2312" w:hAnsi="宋体" w:hint="eastAsia"/>
                <w:caps w:val="0"/>
              </w:rPr>
              <w:t>比上一年</w:t>
            </w:r>
            <w:r>
              <w:rPr>
                <w:szCs w:val="28"/>
                <w:iCs w:val="0"/>
                <w:kern w:val="0"/>
                <w:lang w:val="en-US" w:eastAsia="zh-CN" w:bidi="ar"/>
                <w:b w:val="0"/>
                <w:i w:val="0"/>
                <w:color w:val="000000"/>
                <w:sz w:val="28"/>
                <w:spacing w:val="0"/>
                <w:w w:val="100"/>
                <w:rFonts w:ascii="仿宋_GB2312" w:cs="仿宋_GB2312" w:hAnsi="宋体" w:hint="eastAsia"/>
                <w:caps w:val="0"/>
              </w:rPr>
              <w:t>172</w:t>
            </w:r>
            <w:r>
              <w:rPr>
                <w:szCs w:val="28"/>
                <w:iCs w:val="0"/>
                <w:kern w:val="0"/>
                <w:lang w:val="en-US" w:eastAsia="zh-CN" w:bidi="ar"/>
                <w:b w:val="0"/>
                <w:i w:val="0"/>
                <w:color w:val="000000"/>
                <w:sz w:val="28"/>
                <w:spacing w:val="0"/>
                <w:w w:val="100"/>
                <w:rFonts w:ascii="仿宋_GB2312" w:cs="仿宋_GB2312" w:eastAsia="仿宋_GB2312" w:hAnsi="宋体" w:hint="eastAsia"/>
                <w:caps w:val="0"/>
              </w:rPr>
              <w:t>万元减少</w:t>
            </w:r>
            <w:r>
              <w:rPr>
                <w:szCs w:val="28"/>
                <w:iCs w:val="0"/>
                <w:kern w:val="0"/>
                <w:lang w:val="en-US" w:eastAsia="zh-CN" w:bidi="ar"/>
                <w:b w:val="0"/>
                <w:i w:val="0"/>
                <w:color w:val="000000"/>
                <w:sz w:val="28"/>
                <w:spacing w:val="0"/>
                <w:w w:val="100"/>
                <w:rFonts w:ascii="仿宋_GB2312" w:cs="仿宋_GB2312" w:hAnsi="宋体" w:hint="eastAsia"/>
                <w:caps w:val="0"/>
              </w:rPr>
              <w:t>17</w:t>
            </w:r>
            <w:r>
              <w:rPr>
                <w:szCs w:val="28"/>
                <w:iCs w:val="0"/>
                <w:kern w:val="0"/>
                <w:lang w:val="en-US" w:eastAsia="zh-CN" w:bidi="ar"/>
                <w:b w:val="0"/>
                <w:i w:val="0"/>
                <w:color w:val="000000"/>
                <w:sz w:val="28"/>
                <w:spacing w:val="0"/>
                <w:w w:val="100"/>
                <w:rFonts w:ascii="仿宋_GB2312" w:cs="仿宋_GB2312" w:eastAsia="仿宋_GB2312" w:hAnsi="宋体" w:hint="eastAsia"/>
                <w:caps w:val="0"/>
              </w:rPr>
              <w:t>万元，降低</w:t>
            </w:r>
            <w:r>
              <w:rPr>
                <w:szCs w:val="28"/>
                <w:iCs w:val="0"/>
                <w:kern w:val="0"/>
                <w:lang w:val="en-US" w:eastAsia="zh-CN" w:bidi="ar"/>
                <w:b w:val="0"/>
                <w:i w:val="0"/>
                <w:color w:val="000000"/>
                <w:sz w:val="28"/>
                <w:spacing w:val="0"/>
                <w:w w:val="100"/>
                <w:rFonts w:ascii="仿宋_GB2312" w:cs="仿宋_GB2312" w:hAnsi="宋体" w:hint="eastAsia"/>
                <w:caps w:val="0"/>
              </w:rPr>
              <w:t>9.9</w:t>
            </w:r>
            <w:bookmarkStart w:id="0" w:name="_GoBack"/>
            <w:bookmarkEnd w:id="0"/>
            <w:r>
              <w:rPr>
                <w:szCs w:val="28"/>
                <w:iCs w:val="0"/>
                <w:kern w:val="0"/>
                <w:lang w:val="en-US" w:eastAsia="zh-CN" w:bidi="ar"/>
                <w:b w:val="0"/>
                <w:i w:val="0"/>
                <w:color w:val="000000"/>
                <w:sz w:val="28"/>
                <w:spacing w:val="0"/>
                <w:w w:val="100"/>
                <w:rFonts w:ascii="仿宋_GB2312" w:cs="仿宋_GB2312" w:eastAsia="仿宋_GB2312" w:hAnsi="宋体" w:hint="eastAsia"/>
                <w:caps w:val="0"/>
              </w:rPr>
              <w:t>%，主要原因是人员调整和厉行节约</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bCs/>
                <w:iCs w:val="0"/>
                <w:b w:val="1"/>
                <w:i w:val="0"/>
                <w:color w:val="000000"/>
                <w:sz w:val="28"/>
                <w:spacing w:val="0"/>
                <w:w w:val="100"/>
                <w:rFonts w:ascii="楷体_GB2312" w:cs="楷体_GB2312" w:eastAsia="楷体_GB2312" w:hAnsi="宋体" w:hint="eastAsia"/>
                <w:caps w:val="0"/>
              </w:rPr>
              <w:snapToGrid/>
              <w:ind w:firstLine="0" w:firstLineChars="0"/>
              <w:textAlignment w:val="center"/>
            </w:pPr>
            <w:r>
              <w:rPr>
                <w:szCs w:val="28"/>
                <w:bCs/>
                <w:iCs w:val="0"/>
                <w:kern w:val="0"/>
                <w:lang w:val="en-US" w:eastAsia="zh-CN" w:bidi="ar"/>
                <w:b w:val="1"/>
                <w:i w:val="0"/>
                <w:color w:val="000000"/>
                <w:sz w:val="28"/>
                <w:spacing w:val="0"/>
                <w:w w:val="100"/>
                <w:rFonts w:ascii="楷体_GB2312" w:cs="楷体_GB2312" w:eastAsia="楷体_GB2312" w:hAnsi="宋体" w:hint="eastAsia"/>
                <w:caps w:val="0"/>
              </w:rPr>
              <w:t xml:space="preserve">    （三）一般性支出情况</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jc w:val="both"/>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baseline"/>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本单位2021年会议费预算10.00万元，拟召开</w:t>
            </w:r>
            <w:r>
              <w:rPr>
                <w:lang w:eastAsia="zh-CN"/>
                <w:b w:val="0"/>
                <w:i w:val="0"/>
                <w:color w:val="000000"/>
                <w:sz w:val="28"/>
                <w:spacing w:val="0"/>
                <w:w w:val="100"/>
                <w:rFonts w:hint="eastAsia"/>
                <w:caps w:val="0"/>
              </w:rPr>
              <w:t>8次会议，人数350人。内容为全市自然资源工作会议及相关业务工作会议；</w:t>
            </w:r>
            <w:r>
              <w:rPr>
                <w:szCs w:val="28"/>
                <w:iCs w:val="0"/>
                <w:kern w:val="0"/>
                <w:lang w:val="en-US" w:eastAsia="zh-CN" w:bidi="ar"/>
                <w:b w:val="0"/>
                <w:i w:val="0"/>
                <w:color w:val="000000"/>
                <w:sz w:val="28"/>
                <w:spacing w:val="0"/>
                <w:w w:val="100"/>
                <w:rFonts w:ascii="仿宋_GB2312" w:cs="仿宋_GB2312" w:eastAsia="仿宋_GB2312" w:hAnsi="宋体" w:hint="eastAsia"/>
                <w:caps w:val="0"/>
              </w:rPr>
              <w:t>培训费预算8.00万元，拟开展</w:t>
            </w:r>
            <w:r>
              <w:rPr>
                <w:lang w:eastAsia="zh-CN"/>
                <w:b w:val="0"/>
                <w:i w:val="0"/>
                <w:color w:val="000000"/>
                <w:sz w:val="28"/>
                <w:spacing w:val="0"/>
                <w:w w:val="100"/>
                <w:rFonts w:hint="eastAsia"/>
                <w:caps w:val="0"/>
              </w:rPr>
              <w:t>7次培训，人数350人，内容为各业务线培训。</w:t>
            </w:r>
          </w:p>
        </w:tc>
      </w:tr>
      <w:tr>
        <w:trPr>
          <w:trHeight w:val="7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2021年度本部门（单位）未计划举办节庆、晚会、论坛、赛事活动。</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bCs/>
                <w:iCs w:val="0"/>
                <w:b w:val="1"/>
                <w:i w:val="0"/>
                <w:color w:val="000000"/>
                <w:sz w:val="28"/>
                <w:spacing w:val="0"/>
                <w:w w:val="100"/>
                <w:rFonts w:ascii="楷体_GB2312" w:cs="楷体_GB2312" w:eastAsia="楷体_GB2312" w:hAnsi="宋体" w:hint="eastAsia"/>
                <w:caps w:val="0"/>
              </w:rPr>
              <w:snapToGrid/>
              <w:ind w:firstLine="0" w:firstLineChars="0"/>
              <w:textAlignment w:val="center"/>
            </w:pPr>
            <w:r>
              <w:rPr>
                <w:szCs w:val="28"/>
                <w:bCs/>
                <w:iCs w:val="0"/>
                <w:kern w:val="0"/>
                <w:lang w:val="en-US" w:eastAsia="zh-CN" w:bidi="ar"/>
                <w:b w:val="1"/>
                <w:i w:val="0"/>
                <w:color w:val="000000"/>
                <w:sz w:val="28"/>
                <w:spacing w:val="0"/>
                <w:w w:val="100"/>
                <w:rFonts w:ascii="楷体_GB2312" w:cs="楷体_GB2312" w:eastAsia="楷体_GB2312" w:hAnsi="宋体" w:hint="eastAsia"/>
                <w:caps w:val="0"/>
              </w:rPr>
              <w:t xml:space="preserve">    （四）政府采购情况</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本部门（单位）2021年政府采购预算总额1033.4万元，其中</w:t>
            </w:r>
            <w:r>
              <w:rPr>
                <w:szCs w:val="28"/>
                <w:iCs w:val="0"/>
                <w:kern w:val="0"/>
                <w:lang w:val="en-US" w:eastAsia="zh-CN" w:bidi="ar"/>
                <w:b w:val="0"/>
                <w:i w:val="0"/>
                <w:color w:val="000000"/>
                <w:sz w:val="28"/>
                <w:spacing w:val="0"/>
                <w:w w:val="100"/>
                <w:rFonts w:ascii="仿宋_GB2312" w:cs="仿宋_GB2312" w:hAnsi="宋体" w:hint="eastAsia"/>
                <w:caps w:val="0"/>
              </w:rPr>
              <w:t>工程类0万元，</w:t>
            </w:r>
            <w:r>
              <w:rPr>
                <w:szCs w:val="28"/>
                <w:iCs w:val="0"/>
                <w:kern w:val="0"/>
                <w:lang w:val="en-US" w:eastAsia="zh-CN" w:bidi="ar"/>
                <w:b w:val="0"/>
                <w:i w:val="0"/>
                <w:color w:val="000000"/>
                <w:sz w:val="28"/>
                <w:spacing w:val="0"/>
                <w:w w:val="100"/>
                <w:rFonts w:ascii="仿宋_GB2312" w:cs="仿宋_GB2312" w:eastAsia="仿宋_GB2312" w:hAnsi="宋体" w:hint="eastAsia"/>
                <w:caps w:val="0"/>
              </w:rPr>
              <w:t>货物类71万元，服务类962.4万元。</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bCs/>
                <w:iCs w:val="0"/>
                <w:b w:val="1"/>
                <w:i w:val="0"/>
                <w:color w:val="000000"/>
                <w:sz w:val="28"/>
                <w:spacing w:val="0"/>
                <w:w w:val="100"/>
                <w:rFonts w:ascii="楷体_GB2312" w:cs="楷体_GB2312" w:eastAsia="楷体_GB2312" w:hAnsi="宋体" w:hint="eastAsia"/>
                <w:caps w:val="0"/>
              </w:rPr>
              <w:snapToGrid/>
              <w:ind w:firstLine="0" w:firstLineChars="0"/>
              <w:textAlignment w:val="center"/>
            </w:pPr>
            <w:r>
              <w:rPr>
                <w:szCs w:val="28"/>
                <w:bCs/>
                <w:iCs w:val="0"/>
                <w:kern w:val="0"/>
                <w:lang w:val="en-US" w:eastAsia="zh-CN" w:bidi="ar"/>
                <w:b w:val="1"/>
                <w:i w:val="0"/>
                <w:color w:val="000000"/>
                <w:sz w:val="28"/>
                <w:spacing w:val="0"/>
                <w:w w:val="100"/>
                <w:rFonts w:ascii="楷体_GB2312" w:cs="楷体_GB2312" w:eastAsia="楷体_GB2312" w:hAnsi="宋体" w:hint="eastAsia"/>
                <w:caps w:val="0"/>
              </w:rPr>
              <w:t xml:space="preserve">    （五）国有资产占有使用及新增资产配置情况</w:t>
            </w:r>
          </w:p>
        </w:tc>
      </w:tr>
      <w:tr>
        <w:trPr>
          <w:trHeight w:val="7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截至上一年12月底，本部门（单位）共有车辆</w:t>
            </w:r>
            <w:r>
              <w:rPr>
                <w:szCs w:val="28"/>
                <w:iCs w:val="0"/>
                <w:kern w:val="0"/>
                <w:lang w:val="en-US" w:eastAsia="zh-CN" w:bidi="ar"/>
                <w:b w:val="0"/>
                <w:i w:val="0"/>
                <w:color w:val="000000"/>
                <w:sz w:val="28"/>
                <w:spacing w:val="0"/>
                <w:w w:val="100"/>
                <w:rFonts w:ascii="仿宋_GB2312" w:cs="仿宋_GB2312" w:hAnsi="宋体" w:hint="eastAsia"/>
                <w:caps w:val="0"/>
              </w:rPr>
              <w:t>12</w:t>
            </w:r>
            <w:r>
              <w:rPr>
                <w:szCs w:val="28"/>
                <w:iCs w:val="0"/>
                <w:kern w:val="0"/>
                <w:lang w:val="en-US" w:eastAsia="zh-CN" w:bidi="ar"/>
                <w:b w:val="0"/>
                <w:i w:val="0"/>
                <w:color w:val="000000"/>
                <w:sz w:val="28"/>
                <w:spacing w:val="0"/>
                <w:w w:val="100"/>
                <w:rFonts w:ascii="仿宋_GB2312" w:cs="仿宋_GB2312" w:eastAsia="仿宋_GB2312" w:hAnsi="宋体" w:hint="eastAsia"/>
                <w:caps w:val="0"/>
              </w:rPr>
              <w:t>辆，其中领导干部用车</w:t>
            </w:r>
            <w:r>
              <w:rPr>
                <w:szCs w:val="28"/>
                <w:iCs w:val="0"/>
                <w:kern w:val="0"/>
                <w:lang w:val="en-US" w:eastAsia="zh-CN" w:bidi="ar"/>
                <w:b w:val="0"/>
                <w:i w:val="0"/>
                <w:color w:val="000000"/>
                <w:sz w:val="28"/>
                <w:spacing w:val="0"/>
                <w:w w:val="100"/>
                <w:rFonts w:ascii="仿宋_GB2312" w:cs="仿宋_GB2312" w:hAnsi="宋体" w:hint="eastAsia"/>
                <w:caps w:val="0"/>
              </w:rPr>
              <w:t>0</w:t>
            </w:r>
            <w:r>
              <w:rPr>
                <w:szCs w:val="28"/>
                <w:iCs w:val="0"/>
                <w:kern w:val="0"/>
                <w:lang w:val="en-US" w:eastAsia="zh-CN" w:bidi="ar"/>
                <w:b w:val="0"/>
                <w:i w:val="0"/>
                <w:color w:val="000000"/>
                <w:sz w:val="28"/>
                <w:spacing w:val="0"/>
                <w:w w:val="100"/>
                <w:rFonts w:ascii="仿宋_GB2312" w:cs="仿宋_GB2312" w:eastAsia="仿宋_GB2312" w:hAnsi="宋体" w:hint="eastAsia"/>
                <w:caps w:val="0"/>
              </w:rPr>
              <w:t>辆，一般公务用车</w:t>
            </w:r>
            <w:r>
              <w:rPr>
                <w:szCs w:val="28"/>
                <w:iCs w:val="0"/>
                <w:kern w:val="0"/>
                <w:lang w:val="en-US" w:eastAsia="zh-CN" w:bidi="ar"/>
                <w:b w:val="0"/>
                <w:i w:val="0"/>
                <w:color w:val="000000"/>
                <w:sz w:val="28"/>
                <w:spacing w:val="0"/>
                <w:w w:val="100"/>
                <w:rFonts w:ascii="仿宋_GB2312" w:cs="仿宋_GB2312" w:hAnsi="宋体" w:hint="eastAsia"/>
                <w:caps w:val="0"/>
              </w:rPr>
              <w:t>12</w:t>
            </w:r>
            <w:r>
              <w:rPr>
                <w:szCs w:val="28"/>
                <w:iCs w:val="0"/>
                <w:kern w:val="0"/>
                <w:lang w:val="en-US" w:eastAsia="zh-CN" w:bidi="ar"/>
                <w:b w:val="0"/>
                <w:i w:val="0"/>
                <w:color w:val="000000"/>
                <w:sz w:val="28"/>
                <w:spacing w:val="0"/>
                <w:w w:val="100"/>
                <w:rFonts w:ascii="仿宋_GB2312" w:cs="仿宋_GB2312" w:eastAsia="仿宋_GB2312" w:hAnsi="宋体" w:hint="eastAsia"/>
                <w:caps w:val="0"/>
              </w:rPr>
              <w:t>辆，其他用车</w:t>
            </w:r>
            <w:r>
              <w:rPr>
                <w:szCs w:val="28"/>
                <w:iCs w:val="0"/>
                <w:kern w:val="0"/>
                <w:lang w:val="en-US" w:eastAsia="zh-CN" w:bidi="ar"/>
                <w:b w:val="0"/>
                <w:i w:val="0"/>
                <w:color w:val="000000"/>
                <w:sz w:val="28"/>
                <w:spacing w:val="0"/>
                <w:w w:val="100"/>
                <w:rFonts w:ascii="仿宋_GB2312" w:cs="仿宋_GB2312" w:hAnsi="宋体" w:hint="eastAsia"/>
                <w:caps w:val="0"/>
              </w:rPr>
              <w:t>0</w:t>
            </w:r>
            <w:r>
              <w:rPr>
                <w:szCs w:val="28"/>
                <w:iCs w:val="0"/>
                <w:kern w:val="0"/>
                <w:lang w:val="en-US" w:eastAsia="zh-CN" w:bidi="ar"/>
                <w:b w:val="0"/>
                <w:i w:val="0"/>
                <w:color w:val="000000"/>
                <w:sz w:val="28"/>
                <w:spacing w:val="0"/>
                <w:w w:val="100"/>
                <w:rFonts w:ascii="仿宋_GB2312" w:cs="仿宋_GB2312" w:eastAsia="仿宋_GB2312" w:hAnsi="宋体" w:hint="eastAsia"/>
                <w:caps w:val="0"/>
              </w:rPr>
              <w:t>辆。单位价值50万元以上通用设备</w:t>
            </w:r>
            <w:r>
              <w:rPr>
                <w:szCs w:val="28"/>
                <w:iCs w:val="0"/>
                <w:kern w:val="0"/>
                <w:lang w:val="en-US" w:eastAsia="zh-CN" w:bidi="ar"/>
                <w:b w:val="0"/>
                <w:i w:val="0"/>
                <w:color w:val="000000"/>
                <w:sz w:val="28"/>
                <w:spacing w:val="0"/>
                <w:w w:val="100"/>
                <w:rFonts w:ascii="仿宋_GB2312" w:cs="仿宋_GB2312" w:hAnsi="宋体" w:hint="eastAsia"/>
                <w:caps w:val="0"/>
              </w:rPr>
              <w:t>0</w:t>
            </w:r>
            <w:r>
              <w:rPr>
                <w:szCs w:val="28"/>
                <w:iCs w:val="0"/>
                <w:kern w:val="0"/>
                <w:lang w:val="en-US" w:eastAsia="zh-CN" w:bidi="ar"/>
                <w:b w:val="0"/>
                <w:i w:val="0"/>
                <w:color w:val="000000"/>
                <w:sz w:val="28"/>
                <w:spacing w:val="0"/>
                <w:w w:val="100"/>
                <w:rFonts w:ascii="仿宋_GB2312" w:cs="仿宋_GB2312" w:eastAsia="仿宋_GB2312" w:hAnsi="宋体" w:hint="eastAsia"/>
                <w:caps w:val="0"/>
              </w:rPr>
              <w:t>台，单位价值100万元以上专用设备</w:t>
            </w:r>
            <w:r>
              <w:rPr>
                <w:szCs w:val="28"/>
                <w:iCs w:val="0"/>
                <w:kern w:val="0"/>
                <w:lang w:val="en-US" w:eastAsia="zh-CN" w:bidi="ar"/>
                <w:b w:val="0"/>
                <w:i w:val="0"/>
                <w:color w:val="000000"/>
                <w:sz w:val="28"/>
                <w:spacing w:val="0"/>
                <w:w w:val="100"/>
                <w:rFonts w:ascii="仿宋_GB2312" w:cs="仿宋_GB2312" w:hAnsi="宋体" w:hint="eastAsia"/>
                <w:caps w:val="0"/>
              </w:rPr>
              <w:t>0</w:t>
            </w:r>
            <w:r>
              <w:rPr>
                <w:szCs w:val="28"/>
                <w:iCs w:val="0"/>
                <w:kern w:val="0"/>
                <w:lang w:val="en-US" w:eastAsia="zh-CN" w:bidi="ar"/>
                <w:b w:val="0"/>
                <w:i w:val="0"/>
                <w:color w:val="000000"/>
                <w:sz w:val="28"/>
                <w:spacing w:val="0"/>
                <w:w w:val="100"/>
                <w:rFonts w:ascii="仿宋_GB2312" w:cs="仿宋_GB2312" w:eastAsia="仿宋_GB2312" w:hAnsi="宋体" w:hint="eastAsia"/>
                <w:caps w:val="0"/>
              </w:rPr>
              <w:t>台。</w:t>
            </w:r>
          </w:p>
        </w:tc>
      </w:tr>
      <w:tr>
        <w:trPr>
          <w:trHeight w:val="7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2021年度本部门（单位）未计划处置或新增车辆、设备等。</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bCs/>
                <w:iCs w:val="0"/>
                <w:b w:val="1"/>
                <w:i w:val="0"/>
                <w:color w:val="000000"/>
                <w:sz w:val="28"/>
                <w:spacing w:val="0"/>
                <w:w w:val="100"/>
                <w:rFonts w:ascii="楷体_GB2312" w:cs="楷体_GB2312" w:eastAsia="楷体_GB2312" w:hAnsi="宋体" w:hint="eastAsia"/>
                <w:caps w:val="0"/>
              </w:rPr>
              <w:snapToGrid/>
              <w:ind w:firstLine="0" w:firstLineChars="0"/>
              <w:textAlignment w:val="center"/>
            </w:pPr>
            <w:r>
              <w:rPr>
                <w:szCs w:val="28"/>
                <w:bCs/>
                <w:iCs w:val="0"/>
                <w:kern w:val="0"/>
                <w:lang w:val="en-US" w:eastAsia="zh-CN" w:bidi="ar"/>
                <w:b w:val="1"/>
                <w:i w:val="0"/>
                <w:color w:val="000000"/>
                <w:sz w:val="28"/>
                <w:spacing w:val="0"/>
                <w:w w:val="100"/>
                <w:rFonts w:ascii="楷体_GB2312" w:cs="楷体_GB2312" w:eastAsia="楷体_GB2312" w:hAnsi="宋体" w:hint="eastAsia"/>
                <w:caps w:val="0"/>
              </w:rPr>
              <w:t xml:space="preserve">    （六）预算绩效目标说明</w:t>
            </w:r>
          </w:p>
        </w:tc>
      </w:tr>
      <w:tr>
        <w:trPr>
          <w:trHeight w:val="7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本单位所有支出实行绩效目标管理。纳入2021年单位整体支出绩效目标的金额为6,365.68万元，其中，基本支出1,313.76万元，项目支出5,051.92万元，绩效目标详见文尾附表中预算公开表格的表22-23。</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黑体" w:cs="黑体" w:eastAsia="黑体"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黑体" w:cs="黑体" w:eastAsia="黑体" w:hAnsi="宋体" w:hint="eastAsia"/>
                <w:caps w:val="0"/>
              </w:rPr>
              <w:t xml:space="preserve">    七、名词解释</w:t>
            </w:r>
          </w:p>
        </w:tc>
      </w:tr>
      <w:tr>
        <w:trPr>
          <w:trHeight w:val="262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jc w:val="both"/>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baseline"/>
            </w:pPr>
            <w:r>
              <w:rPr>
                <w:b w:val="0"/>
                <w:i w:val="0"/>
                <w:color w:val="000000"/>
                <w:sz w:val="28"/>
                <w:spacing w:val="0"/>
                <w:w w:val="100"/>
                <w:rFonts w:ascii="仿宋_GB2312" w:cs="仿宋_GB2312" w:eastAsia="仿宋_GB2312" w:hAnsi="宋体" w:hint="eastAsia"/>
                <w:caps w:val="0"/>
              </w:rPr>
              <w:t/>
            </w:r>
          </w:p>
        </w:tc>
      </w:tr>
      <w:tr>
        <w:trPr>
          <w:trHeight w:val="375"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jc w:val="both"/>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baseline"/>
            </w:pPr>
            <w:r>
              <w:rPr>
                <w:b w:val="0"/>
                <w:i w:val="0"/>
                <w:color w:val="000000"/>
                <w:sz w:val="28"/>
                <w:spacing w:val="0"/>
                <w:w w:val="100"/>
                <w:rFonts w:ascii="仿宋_GB2312" w:cs="仿宋_GB2312" w:eastAsia="仿宋_GB2312" w:hAnsi="宋体" w:hint="eastAsia"/>
                <w:caps w:val="0"/>
              </w:rPr>
              <w:t/>
            </w:r>
          </w:p>
        </w:tc>
      </w:tr>
      <w:tr>
        <w:trPr>
          <w:trHeight w:val="45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keepLines w:val="0"/>
              <w:widowControl/>
              <w:suppressLineNumbers w:val="0"/>
              <w:jc w:val="center"/>
              <w:spacing w:before="0" w:beforeAutospacing="0" w:after="0" w:afterAutospacing="0" w:line="580" w:lineRule="exact"/>
              <w:rPr>
                <w:szCs w:val="36"/>
                <w:iCs w:val="0"/>
                <w:b w:val="0"/>
                <w:i w:val="0"/>
                <w:color w:val="000000"/>
                <w:sz w:val="36"/>
                <w:spacing w:val="0"/>
                <w:w w:val="100"/>
                <w:rFonts w:ascii="黑体" w:cs="黑体" w:eastAsia="黑体" w:hAnsi="宋体" w:hint="eastAsia"/>
                <w:caps w:val="0"/>
              </w:rPr>
              <w:snapToGrid/>
              <w:ind w:firstLine="0" w:firstLineChars="0"/>
              <w:textAlignment w:val="center"/>
            </w:pPr>
            <w:r>
              <w:rPr>
                <w:szCs w:val="36"/>
                <w:iCs w:val="0"/>
                <w:kern w:val="0"/>
                <w:lang w:val="en-US" w:eastAsia="zh-CN" w:bidi="ar"/>
                <w:b w:val="0"/>
                <w:i w:val="0"/>
                <w:color w:val="000000"/>
                <w:sz w:val="36"/>
                <w:spacing w:val="0"/>
                <w:w w:val="100"/>
                <w:rFonts w:ascii="黑体" w:cs="黑体" w:eastAsia="黑体" w:hAnsi="宋体" w:hint="eastAsia"/>
                <w:caps w:val="0"/>
              </w:rPr>
              <w:t>第二部分  部门预算公开表格</w:t>
            </w:r>
          </w:p>
        </w:tc>
      </w:tr>
      <w:tr>
        <w:trPr>
          <w:trHeight w:val="8180" w:hRule="atLeast"/>
        </w:trP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5000" w:type="pct"/>
            <w:tcBorders>
              <w:top w:val="nil"/>
              <w:left w:val="nil"/>
              <w:bottom w:val="nil"/>
              <w:right w:val="nil"/>
            </w:tcBorders>
            <w:shd w:val="clear" w:color="auto" w:fill="auto"/>
            <w:vAlign w:val="center"/>
          </w:tcPr>
          <w:p>
            <w:pPr>
              <w:jc w:val="left"/>
              <w:spacing w:before="0" w:beforeAutospacing="0" w:after="0" w:afterAutospacing="0" w:line="580" w:lineRule="exact"/>
              <w:rPr>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一、收支总表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二、收入总表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三、支出总表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四、支出预算分类汇总表（按政府预算经济分类）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五、支出预算分类汇总表（按部门预算经济分类）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六、财政拨款收支总表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七、一般公共预算支出表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八、一般公共预算基本支出表--人员经费(工资福利支出)(按政府预算经济分类)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九、一般公共预算基本支出表--人员经费(工资福利支出)(按部门预算经济分类)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十、一般公共预算基本支出表--人员经费(对个人和家庭的补助)(按政府预算经济分类)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十一、一般公共预算基本支出表--人员经费(对个人和家庭的补助)（按部门预算经济分类）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十二、一般公共预算基本支出表--公用经费(商品和服务支出)（按政府预算经济分类）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十三、一般公共预算基本支出表--公用经费(商品和服务支出)(按部门预算经济分类)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十四、一般公共预算“三公”经费支出表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十五、政府性基金预算支出表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十六、政府性基金预算支出分类汇总表（按政府预算经济分类）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十七、政府性基金预算支出分类汇总表（按部门预算经济分类）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十八、国有资产经营预算支出表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十九、纳入专户管理的非税收入拨款支出预算表(按政府预算经济分类)</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二十、纳入专户管理的非税收入拨款支出预算表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二十一、支出预算项目明细表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二十二、财政支出项目预算绩效目标申报表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二十三、部门(单位)整体支出预算绩效目标申报表</w:t>
            </w:r>
          </w:p>
          <w:p>
            <w:pPr>
              <w:keepLines w:val="0"/>
              <w:widowControl/>
              <w:suppressLineNumbers w:val="0"/>
              <w:jc w:val="left"/>
              <w:spacing w:before="0" w:beforeAutospacing="0" w:after="0" w:afterAutospacing="0" w:line="580" w:lineRule="exact"/>
              <w:rPr>
                <w:szCs w:val="28"/>
                <w:iCs w:val="0"/>
                <w:b w:val="0"/>
                <w:i w:val="0"/>
                <w:color w:val="000000"/>
                <w:sz w:val="28"/>
                <w:spacing w:val="0"/>
                <w:w w:val="100"/>
                <w:rFonts w:ascii="仿宋_GB2312" w:cs="仿宋_GB2312" w:eastAsia="仿宋_GB2312" w:hAnsi="宋体" w:hint="eastAsia"/>
                <w:caps w:val="0"/>
              </w:rPr>
              <w:snapToGrid/>
              <w:ind w:firstLine="0" w:firstLineChars="0"/>
              <w:textAlignment w:val="center"/>
            </w:pPr>
            <w:r>
              <w:rPr>
                <w:szCs w:val="28"/>
                <w:iCs w:val="0"/>
                <w:kern w:val="0"/>
                <w:lang w:val="en-US" w:eastAsia="zh-CN" w:bidi="ar"/>
                <w:b w:val="0"/>
                <w:i w:val="0"/>
                <w:color w:val="000000"/>
                <w:sz w:val="28"/>
                <w:spacing w:val="0"/>
                <w:w w:val="100"/>
                <w:rFonts w:ascii="仿宋_GB2312" w:cs="仿宋_GB2312" w:eastAsia="仿宋_GB2312" w:hAnsi="宋体" w:hint="eastAsia"/>
                <w:caps w:val="0"/>
              </w:rPr>
              <w:t>二十四、一般预算拨款基本支出预算表</w:t>
            </w:r>
            <w:r>
              <w:rPr>
                <w:szCs w:val="28"/>
                <w:iCs w:val="0"/>
                <w:kern w:val="0"/>
                <w:lang w:val="en-US" w:eastAsia="zh-CN" w:bidi="ar"/>
                <w:b w:val="0"/>
                <w:i w:val="0"/>
                <w:color w:val="000000"/>
                <w:sz w:val="28"/>
                <w:spacing w:val="0"/>
                <w:w w:val="100"/>
                <w:rFonts w:ascii="仿宋_GB2312" w:cs="仿宋_GB2312" w:eastAsia="仿宋_GB2312" w:hAnsi="宋体" w:hint="eastAsia"/>
                <w:caps w:val="0"/>
              </w:rPr>
              <w:br/>
            </w:r>
            <w:r>
              <w:rPr>
                <w:szCs w:val="28"/>
                <w:iCs w:val="0"/>
                <w:kern w:val="0"/>
                <w:lang w:val="en-US" w:eastAsia="zh-CN" w:bidi="ar"/>
                <w:b w:val="0"/>
                <w:i w:val="0"/>
                <w:color w:val="000000"/>
                <w:sz w:val="28"/>
                <w:spacing w:val="0"/>
                <w:w w:val="100"/>
                <w:rFonts w:ascii="仿宋_GB2312" w:cs="仿宋_GB2312" w:eastAsia="仿宋_GB2312" w:hAnsi="宋体" w:hint="eastAsia"/>
                <w:caps w:val="0"/>
              </w:rPr>
              <w:t>注：以上部门预算公开报表中，空表表示本部门（单位）无相关收支情况。</w:t>
            </w:r>
          </w:p>
        </w:tc>
      </w:tr>
    </w:tbl>
    <w:p>
      <w:pPr>
        <w:jc w:val="both"/>
        <w:spacing w:before="0" w:beforeAutospacing="0" w:after="0" w:afterAutospacing="0" w:line="580" w:lineRule="exact"/>
        <w:rPr>
          <w:b val="0"/>
          <w:i val="0"/>
          <w:sz val="20"/>
          <w:spacing val="0"/>
          <w:w val="100"/>
          <w:caps val="0"/>
        </w:rPr>
        <w:snapToGrid/>
        <w:ind w:firstLine="0" w:firstLineChars="0"/>
        <w:textAlignment w:val="baseline"/>
      </w:pPr>
      <w:r>
        <w:rPr>
          <w:b w:val="0"/>
          <w:i w:val="0"/>
          <w:sz w:val="20"/>
          <w:spacing w:val="0"/>
          <w:w w:val="100"/>
          <w:caps w:val="0"/>
        </w:rPr>
        <w:t/>
      </w: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2A367E"/>
    <w:multiLevelType w:val="singleLevel"/>
    <w:tmpl w:val="B32A367E"/>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yMGFmMTJjZDc5MTY3YTY1N2I2YTE3ZGU3YTY2NDUifQ=="/>
  </w:docVars>
  <w:rsids>
    <w:rsidRoot w:val="48885009"/>
    <w:rsid w:val="060F4036"/>
    <w:rsid w:val="07453DF4"/>
    <w:rsid w:val="08481C7A"/>
    <w:rsid w:val="15EA137B"/>
    <w:rsid w:val="29176DD5"/>
    <w:rsid w:val="312E36D8"/>
    <w:rsid w:val="3AEF44B3"/>
    <w:rsid w:val="3B51265F"/>
    <w:rsid w:val="48885009"/>
    <w:rsid w:val="4E542F0D"/>
    <w:rsid w:val="55FC0B81"/>
    <w:rsid w:val="6CB71026"/>
    <w:rsid w:val="707F6E1E"/>
    <w:rsid w:val="737B3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Relationships xmlns="http://schemas.openxmlformats.org/package/2006/relationships"><Relationship Id="rId7" Type="http://schemas.openxmlformats.org/officeDocument/2006/relationships/fontTable" Target="fontTable.xml" /><Relationship Id="rId6" Type="http://schemas.openxmlformats.org/officeDocument/2006/relationships/numbering" Target="numbering.xml" /><Relationship Id="rId5" Type="http://schemas.openxmlformats.org/officeDocument/2006/relationships/theme" Target="theme/theme1.xml" /><Relationship Id="rId4" Type="http://schemas.openxmlformats.org/officeDocument/2006/relationships/endnotes" Target="endnotes.xml" /><Relationship Id="rId3" Type="http://schemas.openxmlformats.org/officeDocument/2006/relationships/footnotes" Target="footnotes.xml" /><Relationship Id="rId2" Type="http://schemas.openxmlformats.org/officeDocument/2006/relationships/settings" Target="settings.xml" /><Relationship Id="rId1"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5857</Words>
  <Characters>6243</Characters>
  <Lines>0</Lines>
  <Paragraphs>0</Paragraphs>
  <TotalTime>3</TotalTime>
  <ScaleCrop>false</ScaleCrop>
  <LinksUpToDate>false</LinksUpToDate>
  <CharactersWithSpaces>6476</CharactersWithSpaces>
  <Application>WPS Office_11.8.6.11021_F1E327BC-269C-435d-A152-05C5408002CA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Administrator</cp:lastModifiedBy>
  <dcterms:modified xsi:type="dcterms:W3CDTF">2022-09-05T03:21:48Z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EB5B0846BDDD41688E9FFD8112802C54</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岳阳市自然资源和规划局机关2021年度部门预算公开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auto"/>
                <w:sz w:val="36"/>
                <w:szCs w:val="3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60" w:hRule="atLeast"/>
        </w:trPr>
        <w:tc>
          <w:tcPr>
            <w:tcW w:w="5000" w:type="pct"/>
            <w:tcBorders>
              <w:top w:val="nil"/>
              <w:left w:val="nil"/>
              <w:bottom w:val="nil"/>
              <w:right w:val="nil"/>
            </w:tcBorders>
            <w:shd w:val="clear" w:color="auto" w:fill="auto"/>
            <w:vAlign w:val="center"/>
          </w:tcPr>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2021年部门预算说明</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第二部分  部门预算公开表格</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numId w:val="0"/>
              </w:numPr>
              <w:suppressLineNumbers w:val="0"/>
              <w:jc w:val="left"/>
              <w:textAlignment w:val="center"/>
              <w:rPr>
                <w:rFonts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w:t>
            </w:r>
            <w:r>
              <w:rPr>
                <w:rFonts w:hint="eastAsia" w:ascii="仿宋_GB2312" w:hAnsi="宋体" w:eastAsia="仿宋_GB2312" w:cs="仿宋_GB2312"/>
                <w:i w:val="0"/>
                <w:iCs w:val="0"/>
                <w:color w:val="auto"/>
                <w:kern w:val="0"/>
                <w:sz w:val="28"/>
                <w:szCs w:val="28"/>
                <w:u w:val="none"/>
                <w:lang w:val="en-US" w:eastAsia="zh-CN" w:bidi="ar"/>
              </w:rPr>
              <w:t>一般预算拨款基本支出预算表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注：以上部门预算公开报表中，空表表示本部门（单位）无相关收支情况。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2021年部门预算说明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一、部门基本概况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ind w:firstLine="0" w:firstLineChars="0"/>
              <w:rPr>
                <w:rFonts w:hint="eastAsia"/>
                <w:color w:val="auto"/>
                <w:lang w:eastAsia="zh-CN"/>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1、 依法履行全民所有土地、矿产、森林、草原、湿地、水等自然资源资产所有者职责和国土空间用途管制职责。拟订自然资源和国土空间规划、测绘等地方性法规草案、政府规章草案及相关规定，依法组织实施和监督检查。</w:t>
            </w:r>
          </w:p>
          <w:p>
            <w:pPr>
              <w:ind w:firstLine="0" w:firstLineChars="0"/>
              <w:rPr>
                <w:rFonts w:hint="eastAsia"/>
                <w:color w:val="auto"/>
                <w:lang w:eastAsia="zh-CN"/>
              </w:rPr>
            </w:pPr>
            <w:r>
              <w:rPr>
                <w:rFonts w:hint="eastAsia"/>
                <w:color w:val="auto"/>
                <w:lang w:eastAsia="zh-CN"/>
              </w:rPr>
              <w:t>　　2、 负责自然资源调查监测评价。依照自然资源调查监测评价指标体系、统计标准，实施自然资源基础调查、专项调查和监测。负责自然资源调查监测评价成果的监督管理和信息发布。指导全市自然资源调查监测评价工作。</w:t>
            </w:r>
          </w:p>
          <w:p>
            <w:pPr>
              <w:ind w:firstLine="0" w:firstLineChars="0"/>
              <w:rPr>
                <w:rFonts w:hint="eastAsia"/>
                <w:color w:val="auto"/>
                <w:lang w:eastAsia="zh-CN"/>
              </w:rPr>
            </w:pPr>
            <w:r>
              <w:rPr>
                <w:rFonts w:hint="eastAsia"/>
                <w:color w:val="auto"/>
                <w:lang w:eastAsia="zh-CN"/>
              </w:rPr>
              <w:t>　　3、 负责自然资源统一确权登记工作。制定各类自然资源和不动产统一确权登记、权籍调查、测绘、信息、争议调处、成果应用等制度。建立健全全市自然资源和不动产登记信息管理基础平台。负责自然资源和不动产登记资料收集、整理、共享、汇交管理等。指导监督全市自然资源和不动产确权登记工作。</w:t>
            </w:r>
          </w:p>
          <w:p>
            <w:pPr>
              <w:ind w:firstLine="0" w:firstLineChars="0"/>
              <w:rPr>
                <w:rFonts w:hint="eastAsia"/>
                <w:color w:val="auto"/>
                <w:lang w:eastAsia="zh-CN"/>
              </w:rPr>
            </w:pPr>
            <w:r>
              <w:rPr>
                <w:rFonts w:hint="eastAsia"/>
                <w:color w:val="auto"/>
                <w:lang w:eastAsia="zh-CN"/>
              </w:rPr>
              <w:t>　　4、 负责自然资源资产有偿使用工作。贯彻执行全民所有自然资源资产统计制度，负责全民所有自然资源资产核算。编制全民所有自然资源资产负债表，拟订考核标准。执行全民所有自然资源资产划拨、出让、租赁、作价出资和土地储备政策，合理配置全民所有自然资源资产。负责自然资源资产价值评估管理。</w:t>
            </w:r>
          </w:p>
          <w:p>
            <w:pPr>
              <w:ind w:firstLine="0" w:firstLineChars="0"/>
              <w:rPr>
                <w:rFonts w:hint="eastAsia"/>
                <w:color w:val="auto"/>
                <w:lang w:eastAsia="zh-CN"/>
              </w:rPr>
            </w:pPr>
            <w:r>
              <w:rPr>
                <w:rFonts w:hint="eastAsia"/>
                <w:color w:val="auto"/>
                <w:lang w:eastAsia="zh-CN"/>
              </w:rPr>
              <w:t>　　5、 负责自然资源的合理开发利用。严格执行国家、省、市有关自然资源合理开发利用的政策规定。拟订全市自然资源发展规划和战略，依照自然资源开发利用标准组织实施，建立政府公示自然资源价格体系，开展自然资源分等定级价格评估，开展自然资源利用评价考核和节约集约利用。负责自然资源市场监管。研究自然资源管理涉及宏观调控、区域协调和城乡统筹的政策措施。</w:t>
            </w:r>
          </w:p>
          <w:p>
            <w:pPr>
              <w:ind w:firstLine="0" w:firstLineChars="0"/>
              <w:rPr>
                <w:rFonts w:hint="eastAsia"/>
                <w:color w:val="auto"/>
                <w:lang w:eastAsia="zh-CN"/>
              </w:rPr>
            </w:pPr>
            <w:r>
              <w:rPr>
                <w:rFonts w:hint="eastAsia"/>
                <w:color w:val="auto"/>
                <w:lang w:eastAsia="zh-CN"/>
              </w:rPr>
              <w:t>　　6、 负责建立国土空间规划体系并监督实施。开展城市发展战略研究、国土空间规划研究和全域自然资源管控研究；推进主体功能区战略和制度，组织编制国土空间规划和相关专项规划；负责市本级国土空间规划实施管理；组织划定生态保护红线、永久基本农田、城镇开发边界等控制线，构建节约资源和自然和谐的生产、生活、生态空间布局；开展国土空间开发适宜性评价，建立国土空间规划实施监测、评估和预警体系；建立健全国土空间用途管制制度；负责土地等国土空间用途转用工作；负责国有土地使用权收回工作和土地征收征用管理。</w:t>
            </w:r>
          </w:p>
          <w:p>
            <w:pPr>
              <w:ind w:firstLine="0" w:firstLineChars="0"/>
              <w:rPr>
                <w:rFonts w:hint="eastAsia"/>
                <w:color w:val="auto"/>
                <w:lang w:eastAsia="zh-CN"/>
              </w:rPr>
            </w:pPr>
            <w:r>
              <w:rPr>
                <w:rFonts w:hint="eastAsia"/>
                <w:color w:val="auto"/>
                <w:lang w:eastAsia="zh-CN"/>
              </w:rPr>
              <w:t>　　7、 负责制定国土空间规划编制计划和近期建设规划，制定土地利用及储备供应、矿产资源保护利用、基础测绘、新增建设用地等年度计划，并组织实施；参与城市发展年度建设计划及实施工作。</w:t>
            </w:r>
          </w:p>
          <w:p>
            <w:pPr>
              <w:ind w:firstLine="0" w:firstLineChars="0"/>
              <w:rPr>
                <w:rFonts w:hint="eastAsia"/>
                <w:color w:val="auto"/>
                <w:lang w:eastAsia="zh-CN"/>
              </w:rPr>
            </w:pPr>
            <w:r>
              <w:rPr>
                <w:rFonts w:hint="eastAsia"/>
                <w:color w:val="auto"/>
                <w:lang w:eastAsia="zh-CN"/>
              </w:rPr>
              <w:t>　　8、 负责统筹国土空间生态修复。牵头组织编制国土空间生态修复规划并实施有关生态修复重大工程。负责国土空间综合整治、土地整理复垦、矿山地质环境恢复治理、统筹山水林田湖草生态系统修复治理等工作。牵头建立和实施生态保护补偿制度，执行合理利用社会资金进行生态修复的政策措施，并提出市级重大备选项目。</w:t>
            </w:r>
          </w:p>
          <w:p>
            <w:pPr>
              <w:ind w:firstLine="0" w:firstLineChars="0"/>
              <w:rPr>
                <w:rFonts w:hint="eastAsia"/>
                <w:color w:val="auto"/>
                <w:lang w:eastAsia="zh-CN"/>
              </w:rPr>
            </w:pPr>
            <w:r>
              <w:rPr>
                <w:rFonts w:hint="eastAsia"/>
                <w:color w:val="auto"/>
                <w:lang w:eastAsia="zh-CN"/>
              </w:rPr>
              <w:t>　　9、 负责组织实施最严格的耕地保护制度。牵头实施耕地保护政策，负责耕地数量和生态保护，做好耕地质量保护有关工作。组织实施耕地保护责任目标考核和永久基本农田特殊保护。负责耕地占补平衡管理，落实占用耕地补偿制度，监督占用耕地补偿制度执行情况。</w:t>
            </w:r>
          </w:p>
          <w:p>
            <w:pPr>
              <w:ind w:firstLine="0" w:firstLineChars="0"/>
              <w:rPr>
                <w:rFonts w:hint="eastAsia"/>
                <w:color w:val="auto"/>
                <w:lang w:eastAsia="zh-CN"/>
              </w:rPr>
            </w:pPr>
            <w:r>
              <w:rPr>
                <w:rFonts w:hint="eastAsia"/>
                <w:color w:val="auto"/>
                <w:lang w:eastAsia="zh-CN"/>
              </w:rPr>
              <w:t>　　10、负责管理地质勘查行业和全市地质工作。编制全市地质勘查规划并监督检查执行情况。管理市级地质勘查项目。组织实施重大地质矿产勘查专项。监督管理地下水过量开釆及　　引发的地面沉降等地质问题。负责古生物化石的监督管理。</w:t>
            </w:r>
          </w:p>
          <w:p>
            <w:pPr>
              <w:ind w:firstLine="0" w:firstLineChars="0"/>
              <w:rPr>
                <w:rFonts w:hint="eastAsia"/>
                <w:color w:val="auto"/>
                <w:lang w:eastAsia="zh-CN"/>
              </w:rPr>
            </w:pPr>
            <w:r>
              <w:rPr>
                <w:rFonts w:hint="eastAsia"/>
                <w:color w:val="auto"/>
                <w:lang w:eastAsia="zh-CN"/>
              </w:rPr>
              <w:t>　　11、负责地质灾害预防和治理。组织开展地质调查评价工作；负责落实综合防灾减灾规划相关要求，组织编制地质灾害防治规划和防护标准并指导实施。组织指导协调和监督地质灾害调查评价及隐患普查、详查、排查。指导开展群测群防、专业监测和预报预警等工作，指导开展地质灾害工程治理工作。承担地质灾害应急救援的技术支撑工作。</w:t>
            </w:r>
          </w:p>
          <w:p>
            <w:pPr>
              <w:ind w:firstLine="0" w:firstLineChars="0"/>
              <w:rPr>
                <w:rFonts w:hint="eastAsia"/>
                <w:color w:val="auto"/>
                <w:lang w:eastAsia="zh-CN"/>
              </w:rPr>
            </w:pPr>
            <w:r>
              <w:rPr>
                <w:rFonts w:hint="eastAsia"/>
                <w:color w:val="auto"/>
                <w:lang w:eastAsia="zh-CN"/>
              </w:rPr>
              <w:t>　　12、负责矿产资源管理工作。负责矿产资源储量管理及压覆矿产资源管理。负责矿业权管理。会同有关部门承担保护性开釆的特定矿种、优势矿产的调控及相关管理工作。监督指导矿产资源合理利用和保护。</w:t>
            </w:r>
          </w:p>
          <w:p>
            <w:pPr>
              <w:ind w:firstLine="0" w:firstLineChars="0"/>
              <w:rPr>
                <w:rFonts w:hint="eastAsia"/>
                <w:color w:val="auto"/>
                <w:lang w:eastAsia="zh-CN"/>
              </w:rPr>
            </w:pPr>
            <w:r>
              <w:rPr>
                <w:rFonts w:hint="eastAsia"/>
                <w:color w:val="auto"/>
                <w:lang w:eastAsia="zh-CN"/>
              </w:rPr>
              <w:t>　　13、推动自然资源领域科技发展。制定并实施自然资源领域科技创新发展和人才培养规划和计划。组织制定技术规程并监督实施。组织实施重大科技工程及创新能力建设，推进自然资源信息化和信息资料的公共服务。</w:t>
            </w:r>
          </w:p>
          <w:p>
            <w:pPr>
              <w:ind w:firstLine="0" w:firstLineChars="0"/>
              <w:rPr>
                <w:rFonts w:hint="eastAsia"/>
                <w:color w:val="auto"/>
                <w:lang w:eastAsia="zh-CN"/>
              </w:rPr>
            </w:pPr>
            <w:r>
              <w:rPr>
                <w:rFonts w:hint="eastAsia"/>
                <w:color w:val="auto"/>
                <w:lang w:eastAsia="zh-CN"/>
              </w:rPr>
              <w:t>　　14、负责测绘地理信息管理工作。负责基補测绘和测绘行业管理。负责测绘资质审核与信用管理，监督管理地理信息安全、测绘市场秩序。负责地图管理、地理信息公共服务工作。负责测量标志保护。承担地理空间数据的汇集整合、提供使用和共享工作。负责全市航天航空遥感影像数据的统一获</w:t>
            </w:r>
          </w:p>
          <w:p>
            <w:pPr>
              <w:ind w:firstLine="0" w:firstLineChars="0"/>
              <w:rPr>
                <w:rFonts w:hint="eastAsia"/>
                <w:color w:val="auto"/>
                <w:lang w:eastAsia="zh-CN"/>
              </w:rPr>
            </w:pPr>
            <w:r>
              <w:rPr>
                <w:rFonts w:hint="eastAsia"/>
                <w:color w:val="auto"/>
                <w:lang w:eastAsia="zh-CN"/>
              </w:rPr>
              <w:t>　　15、根据授权，对市以下各级政府及相关部门落实市委、市政府关于自然资源、国土空间规划重大政策、决策部署及法规规章执行情况进行督察。依法查处自然资源开发利用、国土空间规划及测绘领域违法案件。负责涉及自然资源和规划管理事项的信访处理、行政复议、行政诉讼等工作。</w:t>
            </w:r>
          </w:p>
          <w:p>
            <w:pPr>
              <w:ind w:firstLine="0" w:firstLineChars="0"/>
              <w:rPr>
                <w:rFonts w:hint="eastAsia"/>
                <w:color w:val="auto"/>
                <w:lang w:eastAsia="zh-CN"/>
              </w:rPr>
            </w:pPr>
            <w:r>
              <w:rPr>
                <w:rFonts w:hint="eastAsia"/>
                <w:color w:val="auto"/>
                <w:lang w:eastAsia="zh-CN"/>
              </w:rPr>
              <w:t>　　16、统一领导和管理市林业局。</w:t>
            </w:r>
          </w:p>
          <w:p>
            <w:pPr>
              <w:ind w:firstLine="0" w:firstLineChars="0"/>
              <w:rPr>
                <w:rFonts w:hint="eastAsia"/>
                <w:color w:val="auto"/>
                <w:lang w:eastAsia="zh-CN"/>
              </w:rPr>
            </w:pPr>
            <w:r>
              <w:rPr>
                <w:rFonts w:hint="eastAsia"/>
                <w:color w:val="auto"/>
                <w:lang w:eastAsia="zh-CN"/>
              </w:rPr>
              <w:t>　　17、完成市委、市政府交办的其他事项。</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color w:val="auto"/>
                <w:lang w:eastAsia="zh-CN"/>
              </w:rPr>
              <w:t>　　18、职能转变。市自然资源和规划局要落实中央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下放有关行政审批事项、强化监管力度，充分发挥市场对资源配置的决定性作用，更好发挥政府作用，强化自然资源管理规则、标准、制度的约束性作用，推进自然资源确权登记和评估的便民高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ind w:firstLine="0" w:firstLineChars="0"/>
              <w:rPr>
                <w:rFonts w:hint="eastAsia"/>
                <w:color w:val="auto"/>
                <w:lang w:eastAsia="zh-CN"/>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根据编委核定，我局内设科室24个，所属事业单位9个，直属分局3个。</w:t>
            </w:r>
          </w:p>
          <w:p>
            <w:pPr>
              <w:ind w:firstLine="0" w:firstLineChars="0"/>
              <w:rPr>
                <w:rFonts w:hint="eastAsia"/>
                <w:color w:val="auto"/>
                <w:lang w:eastAsia="zh-CN"/>
              </w:rPr>
            </w:pPr>
            <w:r>
              <w:rPr>
                <w:rFonts w:hint="eastAsia"/>
                <w:color w:val="auto"/>
                <w:lang w:eastAsia="zh-CN"/>
              </w:rPr>
              <w:t>　　内设科室分别是：办公室、法规科、综合调研科、国土空间规划一科、国土空间规划二科、自然资源调查监测科、自然资源确权登记科、自然资源所有者权益科、自然资源开发利用科、国土空间用途管制科、建筑工程管理科、市政工程管理科、国土空间生态修复科、耕地保护监督科、地质灾害防治科、矿产资源管理科、测绘管理科、地理信息管理科、自然资源督察办公室、财务与资金运用科、人事科、机关党委、机关纪委、离退休人员管理服务科。</w:t>
            </w:r>
          </w:p>
          <w:p>
            <w:pPr>
              <w:ind w:firstLine="0" w:firstLineChars="0"/>
              <w:rPr>
                <w:rFonts w:hint="eastAsia"/>
                <w:color w:val="auto"/>
                <w:lang w:eastAsia="zh-CN"/>
              </w:rPr>
            </w:pPr>
            <w:r>
              <w:rPr>
                <w:rFonts w:hint="eastAsia"/>
                <w:color w:val="auto"/>
                <w:lang w:eastAsia="zh-CN"/>
              </w:rPr>
              <w:t>　　所属事业单位分别是：执法监察支队、规划监察支队、土地储备中心、土地综合整治中心、不动产登记中心、不动产产权交易中心、不动产测绘中心、不动产登记信息中心、规划勘测设计院、征地拆迁中心、信息中心、测绘院、地质环境监测站、城乡规划编制研究中心、档案馆。</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color w:val="auto"/>
                <w:lang w:eastAsia="zh-CN"/>
              </w:rPr>
              <w:t>　　直属分局分别是：经济技术开发区分局、南湖新区分局、新港区分局。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二、部门预算单位构成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所属单位包括</w:t>
            </w:r>
            <w:r>
              <w:rPr>
                <w:rFonts w:hint="eastAsia" w:ascii="仿宋_GB2312" w:hAnsi="宋体" w:cs="仿宋_GB2312"/>
                <w:i w:val="0"/>
                <w:iCs w:val="0"/>
                <w:color w:val="auto"/>
                <w:kern w:val="0"/>
                <w:sz w:val="28"/>
                <w:szCs w:val="28"/>
                <w:u w:val="none"/>
                <w:lang w:val="en-US" w:eastAsia="zh-CN" w:bidi="ar"/>
              </w:rPr>
              <w:t>：</w:t>
            </w:r>
            <w:r>
              <w:rPr>
                <w:rFonts w:hint="eastAsia"/>
                <w:color w:val="auto"/>
                <w:lang w:eastAsia="zh-CN"/>
              </w:rPr>
              <w:t>1、岳阳市自然资源和规划局机关（含规划监察支队、城乡规划编制研究中心、地质环境监测站）；2、岳阳市国土资源局执法监察支队；3、岳阳市土地综合整治中心；4、岳阳市不动产登记中心；5、岳阳市不动产产权交易中心；6、岳阳市不动产登记信息中心；7、岳阳市自然资源和规划局经济技术开发区分局；8、岳阳市自然资源和规划局南湖新区分局；9、岳阳市自然资源和规划局城陵矶新港区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本部门所属二级预算单位均由财政独立批复预算，并已单独公开预算，因此，纳入2021年部门预算公开范围的为本部门（单位）自己。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三、部门（单位）收支总体情况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2021年部门预算包括本级预算和所含预算单位在内的汇总情况。收入包括经费拨款，也包括行政事业性收费收入和国有资源有偿使用收入；支出包括保障单位基本运行的经费，也包括项目经费。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（一）收入预算</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6,365.68万元，其中，一般公共预算拨款6,105.68万元，政府性基金预算拨款260.00万元，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收入较去年增加39.89万元，增幅0.6%，原因是</w:t>
            </w:r>
            <w:r>
              <w:rPr>
                <w:rFonts w:hint="eastAsia" w:ascii="仿宋_GB2312" w:hAnsi="宋体" w:cs="仿宋_GB2312"/>
                <w:i w:val="0"/>
                <w:iCs w:val="0"/>
                <w:color w:val="auto"/>
                <w:kern w:val="0"/>
                <w:sz w:val="28"/>
                <w:szCs w:val="28"/>
                <w:u w:val="none"/>
                <w:lang w:val="en-US" w:eastAsia="zh-CN" w:bidi="ar"/>
              </w:rPr>
              <w:t>项目增加。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2021年本单位支出预算6,365.68万元，其中，社会保障和就业支出130.83万元，卫生健康支出86.23万元，城乡社区支出1,389.53万元，自然资源海洋气象等支出4,668.40万元，住房保障支出90.69万元。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支出较去年增加39.89万元，其中基本支出较去年减少62.23万元，原因是人员调整和厉行节约；项目支出较去年增加102.12万元，原因是地质灾害项目和规划编制项目增加支出。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6,105.68万元，其中，社会保障和就业支出130.83万元，占2.1%，卫生健康支出86.23万元，占1.4%，城乡社区支出1,129.53万元，占18.5%，自然资源海洋气象等支出4,668.40万元，占76.5%，住房保障支出90.69万元，占1.5%。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1,313.76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4,791.92万元，是指单位为完成特定行政工作任务或事业发展目标而发生的支出，包括有关业务工作经费、运行维护经费等。其中包括耕地开发专项支出4,000.00万元、采矿权价款支出300.00万元、拆迁中心专项工作经费（非税）270.00万元、办案费120.00万元、基础测绘项目68.40万元、拆迁中心非税收入成本30.00万元、非税收入征收成本3.52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2021年政府性基金预算拨款支出预算260.00万元，其中，城乡社区支出260.00万元，占100.0%</w:t>
            </w:r>
            <w:r>
              <w:rPr>
                <w:rFonts w:hint="eastAsia" w:ascii="仿宋_GB2312" w:hAnsi="宋体" w:cs="仿宋_GB2312"/>
                <w:i w:val="0"/>
                <w:iCs w:val="0"/>
                <w:color w:val="auto"/>
                <w:kern w:val="0"/>
                <w:sz w:val="28"/>
                <w:szCs w:val="28"/>
                <w:u w:val="none"/>
                <w:lang w:val="en-US" w:eastAsia="zh-CN" w:bidi="ar"/>
              </w:rPr>
              <w:t>，</w:t>
            </w:r>
            <w:r>
              <w:rPr>
                <w:rFonts w:hint="eastAsia" w:ascii="仿宋_GB2312" w:hAnsi="宋体" w:eastAsia="仿宋_GB2312" w:cs="仿宋_GB2312"/>
                <w:i w:val="0"/>
                <w:iCs w:val="0"/>
                <w:color w:val="auto"/>
                <w:kern w:val="0"/>
                <w:sz w:val="28"/>
                <w:szCs w:val="28"/>
                <w:u w:val="none"/>
                <w:lang w:val="en-US" w:eastAsia="zh-CN" w:bidi="ar"/>
              </w:rPr>
              <w:t>主要用于规划编制等专项支出。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本单位2021年机关运行经费当年一般公共预算拨款228.30万元。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较去年减少9.78万元，降幅-4.1%，原因是人员调整和厉行节约。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本单位2021年“三公”经费预算数155.00万元，其中公务接待费65.00万元，因公出国（境）费0.00万元，公务用车购置及运行费等90.00万元（其中公务用车购置费0.00万元，公务用车运行费90.00万元）。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eastAsia="仿宋_GB2312" w:cs="仿宋_GB2312"/>
                <w:i w:val="0"/>
                <w:iCs w:val="0"/>
                <w:color w:val="FF0000"/>
                <w:kern w:val="0"/>
                <w:sz w:val="28"/>
                <w:szCs w:val="28"/>
                <w:u w:val="none"/>
                <w:lang w:val="en-US" w:eastAsia="zh-CN" w:bidi="ar"/>
              </w:rPr>
              <w:t xml:space="preserve"> </w:t>
            </w:r>
            <w:r>
              <w:rPr>
                <w:rFonts w:hint="eastAsia" w:ascii="仿宋_GB2312" w:hAnsi="宋体" w:eastAsia="仿宋_GB2312" w:cs="仿宋_GB2312"/>
                <w:i w:val="0"/>
                <w:iCs w:val="0"/>
                <w:color w:val="auto"/>
                <w:kern w:val="0"/>
                <w:sz w:val="28"/>
                <w:szCs w:val="28"/>
                <w:u w:val="none"/>
                <w:lang w:val="en-US" w:eastAsia="zh-CN" w:bidi="ar"/>
              </w:rPr>
              <w:t>比上一年</w:t>
            </w:r>
            <w:r>
              <w:rPr>
                <w:rFonts w:hint="eastAsia" w:ascii="仿宋_GB2312" w:hAnsi="宋体" w:cs="仿宋_GB2312"/>
                <w:i w:val="0"/>
                <w:iCs w:val="0"/>
                <w:color w:val="auto"/>
                <w:kern w:val="0"/>
                <w:sz w:val="28"/>
                <w:szCs w:val="28"/>
                <w:u w:val="none"/>
                <w:lang w:val="en-US" w:eastAsia="zh-CN" w:bidi="ar"/>
              </w:rPr>
              <w:t>172</w:t>
            </w:r>
            <w:r>
              <w:rPr>
                <w:rFonts w:hint="eastAsia" w:ascii="仿宋_GB2312" w:hAnsi="宋体" w:eastAsia="仿宋_GB2312" w:cs="仿宋_GB2312"/>
                <w:i w:val="0"/>
                <w:iCs w:val="0"/>
                <w:color w:val="auto"/>
                <w:kern w:val="0"/>
                <w:sz w:val="28"/>
                <w:szCs w:val="28"/>
                <w:u w:val="none"/>
                <w:lang w:val="en-US" w:eastAsia="zh-CN" w:bidi="ar"/>
              </w:rPr>
              <w:t>万元减少</w:t>
            </w:r>
            <w:r>
              <w:rPr>
                <w:rFonts w:hint="eastAsia" w:ascii="仿宋_GB2312" w:hAnsi="宋体" w:cs="仿宋_GB2312"/>
                <w:i w:val="0"/>
                <w:iCs w:val="0"/>
                <w:color w:val="auto"/>
                <w:kern w:val="0"/>
                <w:sz w:val="28"/>
                <w:szCs w:val="28"/>
                <w:u w:val="none"/>
                <w:lang w:val="en-US" w:eastAsia="zh-CN" w:bidi="ar"/>
              </w:rPr>
              <w:t>17</w:t>
            </w:r>
            <w:r>
              <w:rPr>
                <w:rFonts w:hint="eastAsia" w:ascii="仿宋_GB2312" w:hAnsi="宋体" w:eastAsia="仿宋_GB2312" w:cs="仿宋_GB2312"/>
                <w:i w:val="0"/>
                <w:iCs w:val="0"/>
                <w:color w:val="auto"/>
                <w:kern w:val="0"/>
                <w:sz w:val="28"/>
                <w:szCs w:val="28"/>
                <w:u w:val="none"/>
                <w:lang w:val="en-US" w:eastAsia="zh-CN" w:bidi="ar"/>
              </w:rPr>
              <w:t>万元，降低</w:t>
            </w:r>
            <w:r>
              <w:rPr>
                <w:rFonts w:hint="eastAsia" w:ascii="仿宋_GB2312" w:hAnsi="宋体" w:cs="仿宋_GB2312"/>
                <w:i w:val="0"/>
                <w:iCs w:val="0"/>
                <w:color w:val="auto"/>
                <w:kern w:val="0"/>
                <w:sz w:val="28"/>
                <w:szCs w:val="28"/>
                <w:u w:val="none"/>
                <w:lang w:val="en-US" w:eastAsia="zh-CN" w:bidi="ar"/>
              </w:rPr>
              <w:t>9.9</w:t>
            </w:r>
            <w:bookmarkStart w:id="0" w:name="_GoBack"/>
            <w:bookmarkEnd w:id="0"/>
            <w:r>
              <w:rPr>
                <w:rFonts w:hint="eastAsia" w:ascii="仿宋_GB2312" w:hAnsi="宋体" w:eastAsia="仿宋_GB2312" w:cs="仿宋_GB2312"/>
                <w:i w:val="0"/>
                <w:iCs w:val="0"/>
                <w:color w:val="auto"/>
                <w:kern w:val="0"/>
                <w:sz w:val="28"/>
                <w:szCs w:val="28"/>
                <w:u w:val="none"/>
                <w:lang w:val="en-US" w:eastAsia="zh-CN" w:bidi="ar"/>
              </w:rPr>
              <w:t>%，主要原因是人员调整和厉行节约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ind w:firstLine="0" w:firstLineChars="0"/>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本单位2021年会议费预算10.00万元，拟召开</w:t>
            </w:r>
            <w:r>
              <w:rPr>
                <w:rFonts w:hint="eastAsia"/>
                <w:color w:val="auto"/>
                <w:lang w:eastAsia="zh-CN"/>
              </w:rPr>
              <w:t>8次会议，人数350人。内容为全市自然资源工作会议及相关业务工作会议；</w:t>
            </w:r>
            <w:r>
              <w:rPr>
                <w:rFonts w:hint="eastAsia" w:ascii="仿宋_GB2312" w:hAnsi="宋体" w:eastAsia="仿宋_GB2312" w:cs="仿宋_GB2312"/>
                <w:i w:val="0"/>
                <w:iCs w:val="0"/>
                <w:color w:val="auto"/>
                <w:kern w:val="0"/>
                <w:sz w:val="28"/>
                <w:szCs w:val="28"/>
                <w:u w:val="none"/>
                <w:lang w:val="en-US" w:eastAsia="zh-CN" w:bidi="ar"/>
              </w:rPr>
              <w:t>培训费预算8.00万元，拟开展</w:t>
            </w:r>
            <w:r>
              <w:rPr>
                <w:rFonts w:hint="eastAsia"/>
                <w:color w:val="auto"/>
                <w:lang w:eastAsia="zh-CN"/>
              </w:rPr>
              <w:t>7次培训，人数350人，内容为各业务线培训。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2021年度本部门（单位）未计划举办节庆、晚会、论坛、赛事活动。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本部门（单位）2021年政府采购预算总额1033.4万元，其中</w:t>
            </w:r>
            <w:r>
              <w:rPr>
                <w:rFonts w:hint="eastAsia" w:ascii="仿宋_GB2312" w:hAnsi="宋体" w:cs="仿宋_GB2312"/>
                <w:i w:val="0"/>
                <w:iCs w:val="0"/>
                <w:color w:val="auto"/>
                <w:kern w:val="0"/>
                <w:sz w:val="28"/>
                <w:szCs w:val="28"/>
                <w:u w:val="none"/>
                <w:lang w:val="en-US" w:eastAsia="zh-CN" w:bidi="ar"/>
              </w:rPr>
              <w:t>工程类0万元，</w:t>
            </w:r>
            <w:r>
              <w:rPr>
                <w:rFonts w:hint="eastAsia" w:ascii="仿宋_GB2312" w:hAnsi="宋体" w:eastAsia="仿宋_GB2312" w:cs="仿宋_GB2312"/>
                <w:i w:val="0"/>
                <w:iCs w:val="0"/>
                <w:color w:val="auto"/>
                <w:kern w:val="0"/>
                <w:sz w:val="28"/>
                <w:szCs w:val="28"/>
                <w:u w:val="none"/>
                <w:lang w:val="en-US" w:eastAsia="zh-CN" w:bidi="ar"/>
              </w:rPr>
              <w:t>货物类71万元，服务类962.4万元。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截至上一年12月底，本部门（单位）共有车辆</w:t>
            </w:r>
            <w:r>
              <w:rPr>
                <w:rFonts w:hint="eastAsia" w:ascii="仿宋_GB2312" w:hAnsi="宋体" w:cs="仿宋_GB2312"/>
                <w:i w:val="0"/>
                <w:iCs w:val="0"/>
                <w:color w:val="auto"/>
                <w:kern w:val="0"/>
                <w:sz w:val="28"/>
                <w:szCs w:val="28"/>
                <w:u w:val="none"/>
                <w:lang w:val="en-US" w:eastAsia="zh-CN" w:bidi="ar"/>
              </w:rPr>
              <w:t>12</w:t>
            </w:r>
            <w:r>
              <w:rPr>
                <w:rFonts w:hint="eastAsia" w:ascii="仿宋_GB2312" w:hAnsi="宋体" w:eastAsia="仿宋_GB2312" w:cs="仿宋_GB2312"/>
                <w:i w:val="0"/>
                <w:iCs w:val="0"/>
                <w:color w:val="auto"/>
                <w:kern w:val="0"/>
                <w:sz w:val="28"/>
                <w:szCs w:val="28"/>
                <w:u w:val="none"/>
                <w:lang w:val="en-US" w:eastAsia="zh-CN" w:bidi="ar"/>
              </w:rPr>
              <w:t>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12</w:t>
            </w:r>
            <w:r>
              <w:rPr>
                <w:rFonts w:hint="eastAsia" w:ascii="仿宋_GB2312" w:hAnsi="宋体" w:eastAsia="仿宋_GB2312" w:cs="仿宋_GB2312"/>
                <w:i w:val="0"/>
                <w:iCs w:val="0"/>
                <w:color w:val="auto"/>
                <w:kern w:val="0"/>
                <w:sz w:val="28"/>
                <w:szCs w:val="28"/>
                <w:u w:val="none"/>
                <w:lang w:val="en-US" w:eastAsia="zh-CN" w:bidi="ar"/>
              </w:rPr>
              <w:t>辆，其他用车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2021年度本部门（单位）未计划处置或新增车辆、设备等。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本单位所有支出实行绩效目标管理。纳入2021年单位整体支出绩效目标的金额为6,365.68万元，其中，基本支出1,313.76万元，项目支出5,051.92万元，绩效目标详见文尾附表中预算公开表格的表22-23。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七、名词解释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部门预算公开表格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注：以上部门预算公开报表中，空表表示本部门（单位）无相关收支情况。</w:t>
            </w:r>
          </w:p>
        </w:tc>
      </w:tr>
    </w:tbl>
    <w:p/>
    <w:sectPr>
      <w:pgSz w:w="11906" w:h="16838"/>
      <w:pgMar w:top="1440" w:right="1080" w:bottom="1440" w:left="1080" w:header="851" w:footer="992" w:gutter="0"/>
      <w:cols w:space="425" w:num="1"/>
      <w:docGrid w:type="lines" w:linePitch="312" w:charSpace="0"/>
    </w:sectPr>
  </w:body>
</w:document>
</file>

<file path=treport/opRecord.xml>tbl_0(0_51_0_1_0|D,0_51_0_1_1|D,0_51_0_1_2|D,0_51_0_1_3|D,0_51_0_1_4|D,0_51_0_1_5|D,0_51_0_1_6|D,0_51_0_1_7|D,0_51_0_1_8|D,0_51_0_1_9|D,0_51_0_1_10|D,0_51_0_1_11|D,0_51_0_1_12|D,0_51_0_1_13|D,0_51_0_1_14|D,0_51_0_1_15|D,0_51_0_1_16|D,0_51_0_1_17|D,0_51_0_1_18|D,0_51_0_1_19|D,0_51_0_1_20|D,0_51_0_1_21|D,0_51_0_1_22|D,0_51_0_1_23|D,0_51_0_1_24|D,0_51_0_1_25|D,0_51_0_1_26|D,0_51_0_1_27|D,0_51_0_1_28|D,0_51_0_1_29|D,0_51_0_1_30|D,0_51_0_1_31|D,0_51_0_1_32|D,0_51_0_1_33|D,0_51_0_1_34|D,0_51_0_1_35|D,0_51_0_1_36|D,0_51_0_1_37|D,0_51_0_1_38|D,0_51_0_1_39|D,0_51_0_1_40|D,0_51_0_1_41|D,0_51_0_1_42|D,0_51_0_1_43|D,0);
</file>