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84"/>
          <w:szCs w:val="84"/>
        </w:rPr>
      </w:pPr>
      <w:r>
        <w:rPr>
          <w:rFonts w:hint="eastAsia"/>
          <w:sz w:val="84"/>
          <w:szCs w:val="84"/>
        </w:rPr>
        <w:t>2020年度</w:t>
      </w:r>
    </w:p>
    <w:p>
      <w:pPr>
        <w:pStyle w:val="12"/>
        <w:ind w:firstLine="840" w:firstLineChars="100"/>
        <w:jc w:val="center"/>
        <w:rPr>
          <w:sz w:val="84"/>
          <w:szCs w:val="84"/>
        </w:rPr>
      </w:pPr>
      <w:r>
        <w:rPr>
          <w:rFonts w:hint="eastAsia"/>
          <w:sz w:val="84"/>
          <w:szCs w:val="84"/>
        </w:rPr>
        <w:t>岳阳市静脉产业园管理</w:t>
      </w:r>
    </w:p>
    <w:p>
      <w:pPr>
        <w:pStyle w:val="12"/>
        <w:ind w:firstLine="840" w:firstLineChars="100"/>
        <w:jc w:val="center"/>
        <w:rPr>
          <w:sz w:val="84"/>
          <w:szCs w:val="84"/>
        </w:rPr>
      </w:pPr>
      <w:r>
        <w:rPr>
          <w:rFonts w:hint="eastAsia"/>
          <w:sz w:val="84"/>
          <w:szCs w:val="84"/>
        </w:rPr>
        <w:t>中心决算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sectPr>
          <w:pgSz w:w="11906" w:h="16838"/>
          <w:pgMar w:top="720" w:right="1060" w:bottom="720" w:left="1060" w:header="851" w:footer="992" w:gutter="0"/>
          <w:cols w:space="425" w:num="1"/>
          <w:docGrid w:type="lines" w:linePitch="312" w:charSpace="0"/>
        </w:sectPr>
      </w:pPr>
    </w:p>
    <w:p>
      <w:pPr>
        <w:pStyle w:val="12"/>
        <w:jc w:val="center"/>
        <w:rPr>
          <w:sz w:val="32"/>
          <w:szCs w:val="32"/>
        </w:rPr>
      </w:pPr>
    </w:p>
    <w:p>
      <w:pPr>
        <w:pStyle w:val="12"/>
        <w:spacing w:line="480" w:lineRule="exact"/>
        <w:ind w:firstLine="3614" w:firstLineChars="1000"/>
        <w:jc w:val="both"/>
        <w:rPr>
          <w:rFonts w:hint="eastAsia" w:ascii="仿宋" w:hAnsi="仿宋" w:eastAsia="仿宋" w:cs="仿宋"/>
          <w:b/>
          <w:sz w:val="36"/>
          <w:szCs w:val="28"/>
        </w:rPr>
      </w:pPr>
      <w:r>
        <w:rPr>
          <w:rFonts w:hint="eastAsia" w:ascii="仿宋" w:hAnsi="仿宋" w:eastAsia="仿宋" w:cs="仿宋"/>
          <w:b/>
          <w:sz w:val="36"/>
          <w:szCs w:val="28"/>
        </w:rPr>
        <w:t>目</w:t>
      </w:r>
      <w:r>
        <w:rPr>
          <w:rFonts w:hint="eastAsia" w:ascii="仿宋" w:hAnsi="仿宋" w:eastAsia="仿宋" w:cs="仿宋"/>
          <w:b/>
          <w:sz w:val="36"/>
          <w:szCs w:val="28"/>
          <w:lang w:val="en-US" w:eastAsia="zh-CN"/>
        </w:rPr>
        <w:t xml:space="preserve">   </w:t>
      </w:r>
      <w:r>
        <w:rPr>
          <w:rFonts w:hint="eastAsia" w:ascii="仿宋" w:hAnsi="仿宋" w:eastAsia="仿宋" w:cs="仿宋"/>
          <w:b/>
          <w:sz w:val="36"/>
          <w:szCs w:val="28"/>
        </w:rPr>
        <w:t>录</w:t>
      </w:r>
    </w:p>
    <w:p>
      <w:pPr>
        <w:pStyle w:val="12"/>
        <w:spacing w:line="480" w:lineRule="exact"/>
        <w:ind w:firstLine="3614" w:firstLineChars="1000"/>
        <w:jc w:val="both"/>
        <w:rPr>
          <w:rFonts w:hint="eastAsia" w:ascii="仿宋" w:hAnsi="仿宋" w:eastAsia="仿宋" w:cs="仿宋"/>
          <w:b/>
          <w:sz w:val="36"/>
          <w:szCs w:val="28"/>
        </w:rPr>
      </w:pPr>
    </w:p>
    <w:p>
      <w:pPr>
        <w:pStyle w:val="12"/>
        <w:keepNext w:val="0"/>
        <w:keepLines w:val="0"/>
        <w:pageBreakBefore w:val="0"/>
        <w:widowControl w:val="0"/>
        <w:kinsoku/>
        <w:wordWrap/>
        <w:overflowPunct/>
        <w:topLinePunct w:val="0"/>
        <w:bidi w:val="0"/>
        <w:snapToGrid/>
        <w:spacing w:line="440" w:lineRule="exact"/>
        <w:ind w:firstLine="641" w:firstLineChars="228"/>
        <w:textAlignment w:val="auto"/>
        <w:rPr>
          <w:rFonts w:ascii="仿宋" w:hAnsi="仿宋" w:eastAsia="仿宋" w:cs="仿宋"/>
          <w:b/>
          <w:sz w:val="28"/>
          <w:szCs w:val="28"/>
        </w:rPr>
      </w:pPr>
      <w:r>
        <w:rPr>
          <w:rFonts w:hint="eastAsia" w:ascii="仿宋" w:hAnsi="仿宋" w:eastAsia="仿宋" w:cs="仿宋"/>
          <w:b/>
          <w:sz w:val="28"/>
          <w:szCs w:val="28"/>
        </w:rPr>
        <w:t xml:space="preserve">第一部分 </w:t>
      </w:r>
      <w:r>
        <w:rPr>
          <w:rFonts w:hint="eastAsia" w:ascii="仿宋" w:hAnsi="仿宋" w:eastAsia="仿宋" w:cs="仿宋"/>
          <w:b/>
          <w:bCs/>
          <w:sz w:val="28"/>
          <w:szCs w:val="28"/>
        </w:rPr>
        <w:t>岳阳市静脉产业园管理中心</w:t>
      </w:r>
      <w:r>
        <w:rPr>
          <w:rFonts w:hint="eastAsia" w:ascii="仿宋" w:hAnsi="仿宋" w:eastAsia="仿宋" w:cs="仿宋"/>
          <w:b/>
          <w:sz w:val="28"/>
          <w:szCs w:val="28"/>
        </w:rPr>
        <w:t>单位概况</w:t>
      </w:r>
    </w:p>
    <w:p>
      <w:pPr>
        <w:pStyle w:val="12"/>
        <w:keepNext w:val="0"/>
        <w:keepLines w:val="0"/>
        <w:pageBreakBefore w:val="0"/>
        <w:widowControl w:val="0"/>
        <w:kinsoku/>
        <w:wordWrap/>
        <w:overflowPunct/>
        <w:topLinePunct w:val="0"/>
        <w:bidi w:val="0"/>
        <w:snapToGrid/>
        <w:spacing w:line="440" w:lineRule="exact"/>
        <w:ind w:firstLine="1120" w:firstLineChars="400"/>
        <w:textAlignment w:val="auto"/>
        <w:rPr>
          <w:rFonts w:ascii="仿宋" w:hAnsi="仿宋" w:eastAsia="仿宋" w:cs="仿宋"/>
          <w:sz w:val="28"/>
          <w:szCs w:val="28"/>
        </w:rPr>
      </w:pPr>
      <w:r>
        <w:rPr>
          <w:rFonts w:hint="eastAsia" w:ascii="仿宋" w:hAnsi="仿宋" w:eastAsia="仿宋" w:cs="仿宋"/>
          <w:sz w:val="28"/>
          <w:szCs w:val="28"/>
        </w:rPr>
        <w:t xml:space="preserve"> 一、部门职责</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二、机构设置</w:t>
      </w:r>
    </w:p>
    <w:p>
      <w:pPr>
        <w:pStyle w:val="12"/>
        <w:keepNext w:val="0"/>
        <w:keepLines w:val="0"/>
        <w:pageBreakBefore w:val="0"/>
        <w:widowControl w:val="0"/>
        <w:kinsoku/>
        <w:wordWrap/>
        <w:overflowPunct/>
        <w:topLinePunct w:val="0"/>
        <w:bidi w:val="0"/>
        <w:snapToGrid/>
        <w:spacing w:line="440" w:lineRule="exact"/>
        <w:ind w:firstLine="641" w:firstLineChars="228"/>
        <w:textAlignment w:val="auto"/>
        <w:rPr>
          <w:rFonts w:ascii="仿宋" w:hAnsi="仿宋" w:eastAsia="仿宋" w:cs="仿宋"/>
          <w:b/>
          <w:sz w:val="28"/>
          <w:szCs w:val="28"/>
        </w:rPr>
      </w:pPr>
      <w:r>
        <w:rPr>
          <w:rFonts w:hint="eastAsia" w:ascii="仿宋" w:hAnsi="仿宋" w:eastAsia="仿宋" w:cs="仿宋"/>
          <w:b/>
          <w:sz w:val="28"/>
          <w:szCs w:val="28"/>
        </w:rPr>
        <w:t>第二部分 2020年度部门决算表</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一、收入支出决算总表</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二、收入决算表</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三、支出决算表</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四、财政拨款收入支出决算总表</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五、一般公共预算财政拨款支出决算表</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六、一般公共预算财政拨款基本支出决算表</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七、一般公共预算财政拨款“三公”经费支出决算表</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八、政府性基金预算财政拨款收入支出决算表</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九、国有资本经营预算财政拨款支出决算表</w:t>
      </w:r>
    </w:p>
    <w:p>
      <w:pPr>
        <w:pStyle w:val="12"/>
        <w:keepNext w:val="0"/>
        <w:keepLines w:val="0"/>
        <w:pageBreakBefore w:val="0"/>
        <w:widowControl w:val="0"/>
        <w:kinsoku/>
        <w:wordWrap/>
        <w:overflowPunct/>
        <w:topLinePunct w:val="0"/>
        <w:bidi w:val="0"/>
        <w:snapToGrid/>
        <w:spacing w:line="440" w:lineRule="exact"/>
        <w:ind w:firstLine="641" w:firstLineChars="228"/>
        <w:textAlignment w:val="auto"/>
        <w:rPr>
          <w:rFonts w:ascii="仿宋" w:hAnsi="仿宋" w:eastAsia="仿宋" w:cs="仿宋"/>
          <w:b/>
          <w:sz w:val="28"/>
          <w:szCs w:val="28"/>
        </w:rPr>
      </w:pPr>
      <w:r>
        <w:rPr>
          <w:rFonts w:hint="eastAsia" w:ascii="仿宋" w:hAnsi="仿宋" w:eastAsia="仿宋" w:cs="仿宋"/>
          <w:b/>
          <w:sz w:val="28"/>
          <w:szCs w:val="28"/>
        </w:rPr>
        <w:t>第三部分 2020年度部门决算情况说明</w:t>
      </w:r>
    </w:p>
    <w:p>
      <w:pPr>
        <w:pStyle w:val="12"/>
        <w:keepNext w:val="0"/>
        <w:keepLines w:val="0"/>
        <w:pageBreakBefore w:val="0"/>
        <w:widowControl w:val="0"/>
        <w:kinsoku/>
        <w:wordWrap/>
        <w:overflowPunct/>
        <w:topLinePunct w:val="0"/>
        <w:bidi w:val="0"/>
        <w:snapToGrid/>
        <w:spacing w:line="440" w:lineRule="exact"/>
        <w:ind w:firstLine="1260" w:firstLineChars="450"/>
        <w:textAlignment w:val="auto"/>
        <w:rPr>
          <w:rFonts w:ascii="仿宋" w:hAnsi="仿宋" w:eastAsia="仿宋" w:cs="仿宋"/>
          <w:sz w:val="28"/>
          <w:szCs w:val="28"/>
        </w:rPr>
      </w:pPr>
      <w:r>
        <w:rPr>
          <w:rFonts w:hint="eastAsia" w:ascii="仿宋" w:hAnsi="仿宋" w:eastAsia="仿宋" w:cs="仿宋"/>
          <w:sz w:val="28"/>
          <w:szCs w:val="28"/>
        </w:rPr>
        <w:t>一、收入支出决算总体情况说明</w:t>
      </w:r>
    </w:p>
    <w:p>
      <w:pPr>
        <w:keepNext w:val="0"/>
        <w:keepLines w:val="0"/>
        <w:pageBreakBefore w:val="0"/>
        <w:widowControl w:val="0"/>
        <w:kinsoku/>
        <w:wordWrap/>
        <w:overflowPunct/>
        <w:topLinePunct w:val="0"/>
        <w:bidi w:val="0"/>
        <w:snapToGrid/>
        <w:spacing w:line="440" w:lineRule="exact"/>
        <w:ind w:firstLine="1260" w:firstLineChars="450"/>
        <w:jc w:val="left"/>
        <w:textAlignment w:val="auto"/>
        <w:rPr>
          <w:rFonts w:ascii="仿宋" w:hAnsi="仿宋" w:eastAsia="仿宋" w:cs="仿宋"/>
          <w:sz w:val="28"/>
          <w:szCs w:val="28"/>
        </w:rPr>
      </w:pPr>
      <w:r>
        <w:rPr>
          <w:rFonts w:hint="eastAsia" w:ascii="仿宋" w:hAnsi="仿宋" w:eastAsia="仿宋" w:cs="仿宋"/>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八、政府性基金预算收入支出决算情况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九、国有资本经营预算财政拨款支出决算情况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十一、一般性支出情况</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十二、关于政府采购支出说明</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十三、关于国有资产占用情况说明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1260" w:firstLineChars="45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十四、关于2020年度预算绩效情况的说明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41" w:firstLineChars="228"/>
        <w:jc w:val="left"/>
        <w:textAlignment w:val="auto"/>
        <w:rPr>
          <w:rFonts w:ascii="仿宋" w:hAnsi="仿宋" w:eastAsia="仿宋" w:cs="仿宋"/>
          <w:b/>
          <w:color w:val="000000"/>
          <w:kern w:val="0"/>
          <w:sz w:val="28"/>
          <w:szCs w:val="28"/>
        </w:rPr>
      </w:pPr>
      <w:r>
        <w:rPr>
          <w:rFonts w:hint="eastAsia" w:ascii="仿宋" w:hAnsi="仿宋" w:eastAsia="仿宋" w:cs="仿宋"/>
          <w:b/>
          <w:color w:val="000000"/>
          <w:kern w:val="0"/>
          <w:sz w:val="28"/>
          <w:szCs w:val="28"/>
        </w:rPr>
        <w:t>第四部分 名词解释</w:t>
      </w:r>
    </w:p>
    <w:p>
      <w:pPr>
        <w:autoSpaceDE w:val="0"/>
        <w:autoSpaceDN w:val="0"/>
        <w:adjustRightInd w:val="0"/>
        <w:spacing w:line="480" w:lineRule="exact"/>
        <w:ind w:firstLine="641" w:firstLineChars="228"/>
        <w:jc w:val="left"/>
        <w:rPr>
          <w:rFonts w:ascii="仿宋" w:hAnsi="仿宋" w:eastAsia="仿宋" w:cs="仿宋"/>
          <w:b/>
          <w:color w:val="000000"/>
          <w:kern w:val="0"/>
          <w:sz w:val="28"/>
          <w:szCs w:val="28"/>
        </w:rPr>
      </w:pPr>
      <w:r>
        <w:rPr>
          <w:rFonts w:hint="eastAsia" w:ascii="仿宋" w:hAnsi="仿宋" w:eastAsia="仿宋" w:cs="仿宋"/>
          <w:b/>
          <w:color w:val="000000"/>
          <w:kern w:val="0"/>
          <w:sz w:val="28"/>
          <w:szCs w:val="28"/>
        </w:rPr>
        <w:t>第五部分 附件</w:t>
      </w:r>
    </w:p>
    <w:p>
      <w:pPr>
        <w:rPr>
          <w:sz w:val="72"/>
          <w:szCs w:val="72"/>
        </w:rPr>
        <w:sectPr>
          <w:footerReference r:id="rId3" w:type="default"/>
          <w:pgSz w:w="11906" w:h="16838"/>
          <w:pgMar w:top="720" w:right="1060" w:bottom="720" w:left="1060" w:header="851" w:footer="992" w:gutter="0"/>
          <w:pgNumType w:fmt="decimal" w:start="1"/>
          <w:cols w:space="425" w:num="1"/>
          <w:docGrid w:type="lines" w:linePitch="312" w:charSpace="0"/>
        </w:sectPr>
      </w:pPr>
    </w:p>
    <w:p>
      <w:pPr>
        <w:rPr>
          <w:sz w:val="72"/>
          <w:szCs w:val="72"/>
        </w:rPr>
      </w:pPr>
    </w:p>
    <w:p>
      <w:pPr>
        <w:pStyle w:val="12"/>
        <w:jc w:val="center"/>
        <w:rPr>
          <w:rFonts w:hint="eastAsia"/>
          <w:b/>
          <w:bCs/>
          <w:sz w:val="48"/>
          <w:szCs w:val="48"/>
        </w:rPr>
      </w:pPr>
      <w:r>
        <w:rPr>
          <w:rFonts w:hint="eastAsia"/>
          <w:b/>
          <w:bCs/>
          <w:sz w:val="48"/>
          <w:szCs w:val="48"/>
        </w:rPr>
        <w:t>第一部分</w:t>
      </w:r>
    </w:p>
    <w:p>
      <w:pPr>
        <w:pStyle w:val="12"/>
        <w:jc w:val="center"/>
        <w:rPr>
          <w:rFonts w:hint="eastAsia"/>
          <w:b/>
          <w:bCs/>
          <w:sz w:val="48"/>
          <w:szCs w:val="48"/>
        </w:rPr>
      </w:pPr>
    </w:p>
    <w:p>
      <w:pPr>
        <w:pStyle w:val="12"/>
        <w:ind w:firstLine="607" w:firstLineChars="126"/>
        <w:jc w:val="center"/>
        <w:rPr>
          <w:rFonts w:hint="eastAsia"/>
          <w:b/>
          <w:bCs/>
          <w:sz w:val="48"/>
          <w:szCs w:val="48"/>
        </w:rPr>
      </w:pPr>
      <w:r>
        <w:rPr>
          <w:rFonts w:hint="eastAsia"/>
          <w:b/>
          <w:bCs/>
          <w:sz w:val="48"/>
          <w:szCs w:val="48"/>
        </w:rPr>
        <w:t>岳阳市静脉产业园管理中心概况</w:t>
      </w:r>
    </w:p>
    <w:p>
      <w:pPr>
        <w:pStyle w:val="12"/>
        <w:ind w:firstLine="607" w:firstLineChars="126"/>
        <w:jc w:val="center"/>
        <w:rPr>
          <w:rFonts w:hint="eastAsia"/>
          <w:b/>
          <w:bCs/>
          <w:sz w:val="48"/>
          <w:szCs w:val="48"/>
        </w:rPr>
      </w:pPr>
    </w:p>
    <w:p>
      <w:pPr>
        <w:jc w:val="left"/>
        <w:rPr>
          <w:rFonts w:ascii="黑体" w:hAnsi="黑体" w:eastAsia="黑体"/>
          <w:sz w:val="32"/>
          <w:szCs w:val="32"/>
        </w:rPr>
      </w:pPr>
    </w:p>
    <w:p>
      <w:pPr>
        <w:pStyle w:val="13"/>
        <w:spacing w:line="560" w:lineRule="exact"/>
        <w:ind w:left="420" w:leftChars="200" w:firstLine="321" w:firstLineChars="100"/>
        <w:jc w:val="left"/>
        <w:rPr>
          <w:rFonts w:ascii="仿宋" w:hAnsi="仿宋" w:eastAsia="仿宋" w:cs="仿宋"/>
          <w:sz w:val="32"/>
          <w:szCs w:val="32"/>
        </w:rPr>
      </w:pPr>
      <w:r>
        <w:rPr>
          <w:rFonts w:hint="eastAsia" w:ascii="仿宋" w:hAnsi="仿宋" w:eastAsia="仿宋" w:cs="仿宋"/>
          <w:b/>
          <w:bCs/>
          <w:sz w:val="32"/>
          <w:szCs w:val="32"/>
        </w:rPr>
        <w:t>一、部门职责</w:t>
      </w:r>
    </w:p>
    <w:p>
      <w:pPr>
        <w:autoSpaceDN w:val="0"/>
        <w:spacing w:line="500" w:lineRule="exact"/>
        <w:ind w:firstLine="480" w:firstLineChars="150"/>
        <w:jc w:val="left"/>
        <w:textAlignment w:val="center"/>
        <w:rPr>
          <w:rFonts w:ascii="仿宋" w:hAnsi="仿宋" w:eastAsia="仿宋" w:cs="仿宋_GB2312"/>
          <w:color w:val="000000"/>
          <w:sz w:val="32"/>
          <w:szCs w:val="32"/>
        </w:rPr>
      </w:pPr>
      <w:r>
        <w:rPr>
          <w:rFonts w:hint="eastAsia" w:ascii="仿宋" w:hAnsi="仿宋" w:eastAsia="仿宋" w:cs="仿宋"/>
          <w:sz w:val="32"/>
          <w:szCs w:val="32"/>
        </w:rPr>
        <w:t>（一）</w:t>
      </w:r>
      <w:r>
        <w:rPr>
          <w:rFonts w:hint="eastAsia" w:ascii="仿宋" w:hAnsi="仿宋" w:eastAsia="仿宋" w:cs="仿宋_GB2312"/>
          <w:color w:val="000000"/>
          <w:sz w:val="32"/>
          <w:szCs w:val="32"/>
        </w:rPr>
        <w:t>贯彻落实国家、省、市的方针政策、法律法规，领导和组织园区各项工作，履行园区各项管理和服务职能。</w:t>
      </w:r>
    </w:p>
    <w:p>
      <w:pPr>
        <w:autoSpaceDN w:val="0"/>
        <w:spacing w:line="500" w:lineRule="exact"/>
        <w:ind w:firstLine="480" w:firstLineChars="150"/>
        <w:jc w:val="left"/>
        <w:textAlignment w:val="center"/>
        <w:rPr>
          <w:rFonts w:ascii="仿宋" w:hAnsi="仿宋" w:eastAsia="仿宋" w:cs="仿宋_GB2312"/>
          <w:color w:val="000000"/>
          <w:sz w:val="32"/>
          <w:szCs w:val="32"/>
        </w:rPr>
      </w:pPr>
      <w:r>
        <w:rPr>
          <w:rFonts w:hint="eastAsia" w:ascii="仿宋" w:hAnsi="仿宋" w:eastAsia="仿宋" w:cs="仿宋"/>
          <w:sz w:val="32"/>
          <w:szCs w:val="32"/>
        </w:rPr>
        <w:t>（二）</w:t>
      </w:r>
      <w:r>
        <w:rPr>
          <w:rFonts w:hint="eastAsia" w:ascii="仿宋" w:hAnsi="仿宋" w:eastAsia="仿宋" w:cs="仿宋_GB2312"/>
          <w:color w:val="000000"/>
          <w:sz w:val="32"/>
          <w:szCs w:val="32"/>
        </w:rPr>
        <w:t>负责园区的总体发展规划、控制性详细规划和规划环评等编制工作，并经批准后组织实施；</w:t>
      </w:r>
    </w:p>
    <w:p>
      <w:pPr>
        <w:autoSpaceDN w:val="0"/>
        <w:spacing w:line="500" w:lineRule="exact"/>
        <w:ind w:firstLine="320" w:firstLineChars="100"/>
        <w:jc w:val="left"/>
        <w:textAlignment w:val="center"/>
        <w:rPr>
          <w:rFonts w:ascii="仿宋" w:hAnsi="仿宋" w:eastAsia="仿宋" w:cs="仿宋_GB2312"/>
          <w:color w:val="000000"/>
          <w:sz w:val="32"/>
          <w:szCs w:val="32"/>
        </w:rPr>
      </w:pPr>
      <w:r>
        <w:rPr>
          <w:rFonts w:hint="eastAsia" w:ascii="仿宋" w:hAnsi="仿宋" w:eastAsia="仿宋" w:cs="仿宋"/>
          <w:color w:val="000000"/>
          <w:sz w:val="32"/>
          <w:szCs w:val="32"/>
        </w:rPr>
        <w:t xml:space="preserve">  (三）</w:t>
      </w:r>
      <w:r>
        <w:rPr>
          <w:rFonts w:hint="eastAsia" w:ascii="仿宋" w:hAnsi="仿宋" w:eastAsia="仿宋" w:cs="仿宋_GB2312"/>
          <w:color w:val="000000"/>
          <w:sz w:val="32"/>
          <w:szCs w:val="32"/>
        </w:rPr>
        <w:t>统筹、协调、管理园区的项目招商、建设、生产经营工作，组织协调开展园区及园区项目前期工作和各项审批手续办理，为园区企业提供优质服务；</w:t>
      </w:r>
    </w:p>
    <w:p>
      <w:pPr>
        <w:autoSpaceDN w:val="0"/>
        <w:spacing w:line="500" w:lineRule="exact"/>
        <w:ind w:firstLine="480" w:firstLineChars="150"/>
        <w:jc w:val="left"/>
        <w:textAlignment w:val="center"/>
        <w:rPr>
          <w:rFonts w:ascii="仿宋" w:hAnsi="仿宋" w:eastAsia="仿宋" w:cs="仿宋_GB2312"/>
          <w:color w:val="000000"/>
          <w:sz w:val="32"/>
          <w:szCs w:val="32"/>
        </w:rPr>
      </w:pPr>
      <w:r>
        <w:rPr>
          <w:rFonts w:hint="eastAsia" w:ascii="仿宋" w:hAnsi="仿宋" w:eastAsia="仿宋" w:cs="仿宋"/>
          <w:color w:val="000000"/>
          <w:sz w:val="32"/>
          <w:szCs w:val="32"/>
        </w:rPr>
        <w:t>（四）</w:t>
      </w:r>
      <w:r>
        <w:rPr>
          <w:rFonts w:hint="eastAsia" w:ascii="仿宋" w:hAnsi="仿宋" w:eastAsia="仿宋" w:cs="仿宋_GB2312"/>
          <w:color w:val="000000"/>
          <w:sz w:val="32"/>
          <w:szCs w:val="32"/>
        </w:rPr>
        <w:t>负责园区政府投资的基础设施建设、管理、维护工作；</w:t>
      </w:r>
    </w:p>
    <w:p>
      <w:pPr>
        <w:autoSpaceDN w:val="0"/>
        <w:spacing w:line="500" w:lineRule="exact"/>
        <w:ind w:firstLine="480" w:firstLineChars="150"/>
        <w:jc w:val="left"/>
        <w:textAlignment w:val="center"/>
        <w:rPr>
          <w:rFonts w:ascii="仿宋" w:hAnsi="仿宋" w:eastAsia="仿宋" w:cs="仿宋_GB2312"/>
          <w:color w:val="000000"/>
          <w:sz w:val="32"/>
          <w:szCs w:val="32"/>
        </w:rPr>
      </w:pPr>
      <w:r>
        <w:rPr>
          <w:rFonts w:hint="eastAsia" w:ascii="仿宋" w:hAnsi="仿宋" w:eastAsia="仿宋" w:cs="仿宋"/>
          <w:color w:val="000000"/>
          <w:sz w:val="32"/>
          <w:szCs w:val="32"/>
        </w:rPr>
        <w:t>（五）</w:t>
      </w:r>
      <w:r>
        <w:rPr>
          <w:rFonts w:hint="eastAsia" w:ascii="仿宋" w:hAnsi="仿宋" w:eastAsia="仿宋" w:cs="仿宋_GB2312"/>
          <w:color w:val="000000"/>
          <w:sz w:val="32"/>
          <w:szCs w:val="32"/>
        </w:rPr>
        <w:t>负责考核园区企业生产经营有关指标，协助做好各类扶持政策的申报工作；</w:t>
      </w:r>
    </w:p>
    <w:p>
      <w:pPr>
        <w:autoSpaceDN w:val="0"/>
        <w:spacing w:line="500" w:lineRule="exact"/>
        <w:ind w:firstLine="480" w:firstLineChars="150"/>
        <w:jc w:val="left"/>
        <w:textAlignment w:val="center"/>
        <w:rPr>
          <w:rFonts w:ascii="仿宋" w:hAnsi="仿宋" w:eastAsia="仿宋" w:cs="仿宋_GB2312"/>
          <w:color w:val="000000"/>
          <w:sz w:val="32"/>
          <w:szCs w:val="32"/>
        </w:rPr>
      </w:pPr>
      <w:r>
        <w:rPr>
          <w:rFonts w:hint="eastAsia" w:ascii="仿宋" w:hAnsi="仿宋" w:eastAsia="仿宋" w:cs="仿宋_GB2312"/>
          <w:color w:val="000000"/>
          <w:sz w:val="32"/>
          <w:szCs w:val="32"/>
        </w:rPr>
        <w:t>（六）负责园区内企业安全生产、生态环境保护的宣传、监督管理工作；</w:t>
      </w:r>
    </w:p>
    <w:p>
      <w:pPr>
        <w:autoSpaceDN w:val="0"/>
        <w:spacing w:line="560" w:lineRule="exact"/>
        <w:ind w:firstLine="480" w:firstLineChars="150"/>
        <w:jc w:val="left"/>
        <w:textAlignment w:val="center"/>
        <w:rPr>
          <w:rFonts w:ascii="仿宋" w:hAnsi="仿宋" w:eastAsia="仿宋" w:cs="仿宋"/>
          <w:color w:val="000000"/>
          <w:sz w:val="32"/>
          <w:szCs w:val="32"/>
        </w:rPr>
      </w:pPr>
      <w:r>
        <w:rPr>
          <w:rFonts w:ascii="仿宋" w:hAnsi="仿宋" w:eastAsia="仿宋" w:cs="仿宋"/>
          <w:color w:val="000000"/>
          <w:sz w:val="32"/>
          <w:szCs w:val="32"/>
        </w:rPr>
        <w:t>（七）</w:t>
      </w:r>
      <w:r>
        <w:rPr>
          <w:rFonts w:hint="eastAsia" w:ascii="仿宋" w:hAnsi="仿宋" w:eastAsia="仿宋" w:cs="仿宋_GB2312"/>
          <w:color w:val="000000"/>
          <w:sz w:val="32"/>
          <w:szCs w:val="32"/>
        </w:rPr>
        <w:t>完成市委、市政府和主管部门交办的其他事项。</w:t>
      </w:r>
    </w:p>
    <w:p>
      <w:pPr>
        <w:widowControl/>
        <w:spacing w:line="560" w:lineRule="exact"/>
        <w:ind w:firstLine="643" w:firstLineChars="200"/>
        <w:rPr>
          <w:rFonts w:ascii="仿宋" w:hAnsi="仿宋" w:eastAsia="仿宋" w:cs="仿宋"/>
          <w:bCs/>
          <w:kern w:val="0"/>
          <w:sz w:val="32"/>
          <w:szCs w:val="32"/>
        </w:rPr>
      </w:pPr>
      <w:r>
        <w:rPr>
          <w:rFonts w:hint="eastAsia" w:ascii="仿宋" w:hAnsi="仿宋" w:eastAsia="仿宋" w:cs="仿宋"/>
          <w:b/>
          <w:kern w:val="0"/>
          <w:sz w:val="32"/>
          <w:szCs w:val="32"/>
        </w:rPr>
        <w:t>二、机构设置及决算单位构成</w:t>
      </w:r>
    </w:p>
    <w:p>
      <w:pPr>
        <w:widowControl/>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（一）内设机构设置。</w:t>
      </w:r>
      <w:r>
        <w:rPr>
          <w:rFonts w:hint="eastAsia" w:ascii="仿宋" w:hAnsi="仿宋" w:eastAsia="仿宋" w:cs="仿宋"/>
          <w:bCs/>
          <w:kern w:val="0"/>
          <w:sz w:val="32"/>
          <w:szCs w:val="32"/>
          <w:lang w:val="en-US" w:eastAsia="zh-CN"/>
        </w:rPr>
        <w:t>本</w:t>
      </w:r>
      <w:r>
        <w:rPr>
          <w:rFonts w:hint="eastAsia" w:ascii="仿宋" w:hAnsi="仿宋" w:eastAsia="仿宋" w:cs="仿宋"/>
          <w:bCs/>
          <w:kern w:val="0"/>
          <w:sz w:val="32"/>
          <w:szCs w:val="32"/>
        </w:rPr>
        <w:t>单位</w:t>
      </w:r>
      <w:r>
        <w:rPr>
          <w:rFonts w:hint="eastAsia" w:ascii="仿宋" w:hAnsi="仿宋" w:eastAsia="仿宋" w:cs="仿宋"/>
          <w:bCs/>
          <w:kern w:val="0"/>
          <w:sz w:val="32"/>
          <w:szCs w:val="32"/>
          <w:lang w:val="en-US" w:eastAsia="zh-CN"/>
        </w:rPr>
        <w:t>成立于2019年11月，</w:t>
      </w:r>
      <w:r>
        <w:rPr>
          <w:rFonts w:hint="eastAsia" w:ascii="仿宋" w:hAnsi="仿宋" w:eastAsia="仿宋" w:cs="仿宋"/>
          <w:bCs/>
          <w:kern w:val="0"/>
          <w:sz w:val="32"/>
          <w:szCs w:val="32"/>
        </w:rPr>
        <w:t>内设机构包括：办公室、计财股。</w:t>
      </w:r>
    </w:p>
    <w:p>
      <w:pPr>
        <w:widowControl/>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（二）决算单位构成。岳阳市静脉产业园管理中心2020年部门决算公开仅包岳阳市静脉产业园管理中心本级决算（无下属机构）。</w:t>
      </w:r>
    </w:p>
    <w:p>
      <w:pPr>
        <w:spacing w:line="560" w:lineRule="exact"/>
        <w:jc w:val="left"/>
        <w:rPr>
          <w:rFonts w:ascii="仿宋" w:hAnsi="仿宋" w:eastAsia="仿宋" w:cs="仿宋"/>
          <w:sz w:val="32"/>
          <w:szCs w:val="32"/>
        </w:rPr>
      </w:pPr>
    </w:p>
    <w:p>
      <w:pPr>
        <w:jc w:val="center"/>
        <w:rPr>
          <w:rFonts w:ascii="仿宋" w:hAnsi="仿宋" w:eastAsia="仿宋" w:cs="仿宋"/>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rPr>
          <w:sz w:val="72"/>
          <w:szCs w:val="72"/>
        </w:rPr>
      </w:pPr>
    </w:p>
    <w:p>
      <w:pPr>
        <w:jc w:val="center"/>
        <w:rPr>
          <w:sz w:val="72"/>
          <w:szCs w:val="72"/>
        </w:rPr>
      </w:pPr>
    </w:p>
    <w:p>
      <w:pPr>
        <w:jc w:val="center"/>
        <w:rPr>
          <w:sz w:val="72"/>
          <w:szCs w:val="72"/>
        </w:rPr>
      </w:pPr>
    </w:p>
    <w:p>
      <w:pPr>
        <w:jc w:val="center"/>
        <w:rPr>
          <w:b/>
          <w:bCs/>
          <w:sz w:val="72"/>
          <w:szCs w:val="72"/>
        </w:rPr>
      </w:pPr>
    </w:p>
    <w:p>
      <w:pPr>
        <w:jc w:val="center"/>
        <w:rPr>
          <w:rFonts w:hint="eastAsia" w:ascii="黑体" w:hAnsi="黑体" w:eastAsia="黑体" w:cs="黑体"/>
          <w:b/>
          <w:bCs/>
          <w:sz w:val="48"/>
          <w:szCs w:val="48"/>
        </w:rPr>
      </w:pPr>
      <w:r>
        <w:rPr>
          <w:rFonts w:hint="eastAsia" w:ascii="黑体" w:hAnsi="黑体" w:eastAsia="黑体" w:cs="黑体"/>
          <w:b/>
          <w:bCs/>
          <w:sz w:val="48"/>
          <w:szCs w:val="48"/>
        </w:rPr>
        <w:t>第二部分</w:t>
      </w:r>
    </w:p>
    <w:p>
      <w:pPr>
        <w:jc w:val="center"/>
        <w:rPr>
          <w:rFonts w:hint="eastAsia" w:ascii="黑体" w:hAnsi="黑体" w:eastAsia="黑体" w:cs="黑体"/>
          <w:b/>
          <w:bCs/>
          <w:sz w:val="48"/>
          <w:szCs w:val="48"/>
        </w:rPr>
      </w:pPr>
    </w:p>
    <w:p>
      <w:pPr>
        <w:jc w:val="center"/>
        <w:rPr>
          <w:rFonts w:hint="eastAsia" w:ascii="黑体" w:hAnsi="黑体" w:eastAsia="黑体" w:cs="黑体"/>
          <w:b/>
          <w:bCs/>
          <w:sz w:val="48"/>
          <w:szCs w:val="48"/>
        </w:rPr>
      </w:pPr>
      <w:r>
        <w:rPr>
          <w:rFonts w:hint="eastAsia" w:ascii="黑体" w:hAnsi="黑体" w:eastAsia="黑体" w:cs="黑体"/>
          <w:b/>
          <w:bCs/>
          <w:sz w:val="48"/>
          <w:szCs w:val="48"/>
        </w:rPr>
        <w:t>部门决算表</w:t>
      </w:r>
    </w:p>
    <w:p>
      <w:pPr>
        <w:ind w:firstLine="3914" w:firstLineChars="886"/>
        <w:jc w:val="left"/>
        <w:rPr>
          <w:rFonts w:hint="eastAsia" w:ascii="黑体" w:hAnsi="黑体" w:eastAsia="黑体" w:cs="黑体"/>
          <w:b/>
          <w:bCs/>
          <w:sz w:val="72"/>
          <w:szCs w:val="72"/>
        </w:rPr>
        <w:sectPr>
          <w:footerReference r:id="rId4" w:type="default"/>
          <w:pgSz w:w="11906" w:h="16838"/>
          <w:pgMar w:top="720" w:right="1060" w:bottom="720" w:left="1060" w:header="851" w:footer="992" w:gutter="0"/>
          <w:pgNumType w:fmt="decimal" w:start="1"/>
          <w:cols w:space="425" w:num="1"/>
          <w:docGrid w:type="lines" w:linePitch="312" w:charSpace="0"/>
        </w:sectPr>
      </w:pPr>
      <w:r>
        <w:rPr>
          <w:rFonts w:hint="eastAsia" w:ascii="黑体" w:hAnsi="黑体" w:eastAsia="黑体" w:cs="黑体"/>
          <w:b/>
          <w:bCs/>
          <w:sz w:val="44"/>
          <w:szCs w:val="44"/>
        </w:rPr>
        <w:t>（见附表）</w:t>
      </w:r>
    </w:p>
    <w:p>
      <w:pPr>
        <w:pStyle w:val="12"/>
        <w:jc w:val="center"/>
        <w:rPr>
          <w:b/>
          <w:bCs/>
          <w:sz w:val="48"/>
          <w:szCs w:val="48"/>
        </w:rPr>
      </w:pPr>
      <w:r>
        <w:rPr>
          <w:rFonts w:hint="eastAsia"/>
          <w:b/>
          <w:bCs/>
          <w:sz w:val="48"/>
          <w:szCs w:val="48"/>
        </w:rPr>
        <w:t>第三部分</w:t>
      </w:r>
    </w:p>
    <w:p>
      <w:pPr>
        <w:pStyle w:val="12"/>
        <w:jc w:val="center"/>
        <w:rPr>
          <w:sz w:val="48"/>
          <w:szCs w:val="48"/>
        </w:rPr>
      </w:pPr>
      <w:r>
        <w:rPr>
          <w:b/>
          <w:bCs/>
          <w:sz w:val="48"/>
          <w:szCs w:val="48"/>
        </w:rPr>
        <w:t>20</w:t>
      </w:r>
      <w:r>
        <w:rPr>
          <w:rFonts w:hint="eastAsia"/>
          <w:b/>
          <w:bCs/>
          <w:sz w:val="48"/>
          <w:szCs w:val="48"/>
        </w:rPr>
        <w:t>20年度部门决算情况说明</w:t>
      </w:r>
    </w:p>
    <w:p>
      <w:pPr>
        <w:widowControl/>
        <w:jc w:val="left"/>
        <w:rPr>
          <w:sz w:val="70"/>
          <w:szCs w:val="70"/>
        </w:rPr>
      </w:pPr>
    </w:p>
    <w:p>
      <w:pPr>
        <w:widowControl/>
        <w:ind w:firstLine="628" w:firstLineChars="198"/>
        <w:jc w:val="left"/>
        <w:rPr>
          <w:rFonts w:ascii="黑体" w:eastAsia="黑体" w:cs="黑体"/>
          <w:color w:val="000000"/>
          <w:kern w:val="0"/>
          <w:sz w:val="70"/>
          <w:szCs w:val="70"/>
        </w:rPr>
      </w:pPr>
      <w:r>
        <w:rPr>
          <w:rFonts w:hint="eastAsia" w:ascii="仿宋" w:hAnsi="仿宋" w:eastAsia="仿宋" w:cs="仿宋"/>
          <w:b/>
          <w:sz w:val="32"/>
          <w:szCs w:val="32"/>
        </w:rPr>
        <w:t>一、收入支出决算总体情况说明</w:t>
      </w:r>
    </w:p>
    <w:p>
      <w:pPr>
        <w:pStyle w:val="12"/>
        <w:ind w:firstLine="634" w:firstLineChars="200"/>
        <w:rPr>
          <w:rFonts w:hint="eastAsia" w:ascii="仿宋" w:hAnsi="仿宋" w:eastAsia="仿宋" w:cs="仿宋"/>
          <w:sz w:val="32"/>
          <w:szCs w:val="32"/>
        </w:rPr>
      </w:pPr>
      <w:r>
        <w:rPr>
          <w:rFonts w:hint="eastAsia" w:ascii="仿宋" w:hAnsi="仿宋" w:eastAsia="仿宋" w:cs="仿宋"/>
          <w:sz w:val="32"/>
          <w:szCs w:val="32"/>
        </w:rPr>
        <w:t>2020年度收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支总计</w:t>
      </w:r>
      <w:r>
        <w:rPr>
          <w:rFonts w:hint="eastAsia" w:ascii="仿宋" w:hAnsi="仿宋" w:eastAsia="仿宋" w:cs="仿宋"/>
          <w:sz w:val="32"/>
          <w:szCs w:val="32"/>
        </w:rPr>
        <w:t>1066.08万元，本单位</w:t>
      </w:r>
      <w:r>
        <w:rPr>
          <w:rFonts w:hint="eastAsia" w:ascii="仿宋" w:hAnsi="仿宋" w:eastAsia="仿宋" w:cs="仿宋"/>
          <w:sz w:val="32"/>
          <w:szCs w:val="32"/>
          <w:lang w:val="en-US" w:eastAsia="zh-CN"/>
        </w:rPr>
        <w:t>成立于2019年11月</w:t>
      </w:r>
      <w:r>
        <w:rPr>
          <w:rFonts w:hint="eastAsia" w:ascii="仿宋" w:hAnsi="仿宋" w:eastAsia="仿宋" w:cs="仿宋"/>
          <w:sz w:val="32"/>
          <w:szCs w:val="32"/>
        </w:rPr>
        <w:t>，2020年开始独立核算</w:t>
      </w:r>
      <w:r>
        <w:rPr>
          <w:rFonts w:hint="eastAsia" w:ascii="仿宋" w:hAnsi="仿宋" w:eastAsia="仿宋" w:cs="仿宋"/>
          <w:sz w:val="32"/>
          <w:szCs w:val="32"/>
          <w:lang w:eastAsia="zh-CN"/>
        </w:rPr>
        <w:t>，</w:t>
      </w:r>
      <w:r>
        <w:rPr>
          <w:rFonts w:hint="eastAsia" w:ascii="仿宋" w:hAnsi="仿宋" w:eastAsia="仿宋" w:cs="仿宋"/>
          <w:sz w:val="32"/>
          <w:szCs w:val="32"/>
        </w:rPr>
        <w:t>上年无数据</w:t>
      </w:r>
      <w:r>
        <w:rPr>
          <w:rFonts w:hint="eastAsia" w:ascii="仿宋" w:hAnsi="仿宋" w:eastAsia="仿宋" w:cs="仿宋"/>
          <w:color w:val="auto"/>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二、收入决算情况说明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本年收入合计1066.08万元，其中：财政拨款收入1030.00万元，占96.62%；</w:t>
      </w:r>
      <w:r>
        <w:rPr>
          <w:rFonts w:hint="eastAsia" w:ascii="仿宋" w:hAnsi="仿宋" w:eastAsia="仿宋" w:cs="仿宋"/>
          <w:sz w:val="32"/>
          <w:szCs w:val="32"/>
          <w:lang w:val="en-US" w:eastAsia="zh-CN"/>
        </w:rPr>
        <w:t>上级补助收入、事业收入、经营收入和附属单位上缴收入均为0万元；</w:t>
      </w:r>
      <w:r>
        <w:rPr>
          <w:rFonts w:hint="eastAsia" w:ascii="仿宋" w:hAnsi="仿宋" w:eastAsia="仿宋" w:cs="仿宋"/>
          <w:sz w:val="32"/>
          <w:szCs w:val="32"/>
        </w:rPr>
        <w:t>其他收入36.08万元，占3.38%。</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三、支出决算情况说明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本年支出合计64.62万元，其中：基本支出0万元（本单位为新成立单位，工作人员均为本系统内调入，2020年度工资福利均在原单位发放）</w:t>
      </w:r>
      <w:r>
        <w:rPr>
          <w:rFonts w:hint="eastAsia" w:ascii="仿宋" w:hAnsi="仿宋" w:eastAsia="仿宋" w:cs="仿宋"/>
          <w:sz w:val="32"/>
          <w:szCs w:val="32"/>
          <w:lang w:val="en-US" w:eastAsia="zh-CN"/>
        </w:rPr>
        <w:t>；</w:t>
      </w:r>
      <w:r>
        <w:rPr>
          <w:rFonts w:hint="eastAsia" w:ascii="仿宋" w:hAnsi="仿宋" w:eastAsia="仿宋" w:cs="仿宋"/>
          <w:sz w:val="32"/>
          <w:szCs w:val="32"/>
        </w:rPr>
        <w:t>项目支出64.62万元，占100%</w:t>
      </w:r>
      <w:r>
        <w:rPr>
          <w:rFonts w:hint="eastAsia" w:ascii="仿宋" w:hAnsi="仿宋" w:eastAsia="仿宋" w:cs="仿宋"/>
          <w:sz w:val="32"/>
          <w:szCs w:val="32"/>
          <w:lang w:val="en-US" w:eastAsia="zh-CN"/>
        </w:rPr>
        <w:t>；上缴上级支出、经营支出和对附属单位补助支出均为0万元</w:t>
      </w:r>
      <w:r>
        <w:rPr>
          <w:rFonts w:hint="eastAsia" w:ascii="仿宋" w:hAnsi="仿宋" w:eastAsia="仿宋" w:cs="仿宋"/>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四、财政拨款收入支出决算总体情况说明</w:t>
      </w:r>
    </w:p>
    <w:p>
      <w:pPr>
        <w:pStyle w:val="12"/>
        <w:rPr>
          <w:rFonts w:ascii="仿宋" w:hAnsi="仿宋" w:eastAsia="仿宋" w:cs="仿宋"/>
          <w:color w:val="FF0000"/>
          <w:sz w:val="32"/>
          <w:szCs w:val="32"/>
        </w:rPr>
      </w:pPr>
      <w:r>
        <w:rPr>
          <w:rFonts w:hint="eastAsia" w:ascii="仿宋" w:hAnsi="仿宋" w:eastAsia="仿宋" w:cs="仿宋"/>
          <w:sz w:val="32"/>
          <w:szCs w:val="32"/>
        </w:rPr>
        <w:t xml:space="preserve">    2020年度财政拨款收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支</w:t>
      </w:r>
      <w:r>
        <w:rPr>
          <w:rFonts w:hint="eastAsia" w:ascii="仿宋" w:hAnsi="仿宋" w:eastAsia="仿宋" w:cs="仿宋"/>
          <w:sz w:val="32"/>
          <w:szCs w:val="32"/>
        </w:rPr>
        <w:t>总计1030.00万元， 本单位为新增单位，2020年开始独立核算，上年无数据</w:t>
      </w:r>
      <w:r>
        <w:rPr>
          <w:rFonts w:hint="eastAsia" w:ascii="仿宋" w:hAnsi="仿宋" w:eastAsia="仿宋" w:cs="仿宋"/>
          <w:color w:val="auto"/>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五、一般公共预算财政拨款支出决算情况说明</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（一）财政拨款支出决算总体情况</w:t>
      </w:r>
    </w:p>
    <w:p>
      <w:pPr>
        <w:pStyle w:val="12"/>
        <w:ind w:firstLine="634" w:firstLineChars="200"/>
        <w:rPr>
          <w:rFonts w:ascii="仿宋" w:hAnsi="仿宋" w:eastAsia="仿宋" w:cs="仿宋"/>
          <w:color w:val="FF0000"/>
          <w:sz w:val="32"/>
          <w:szCs w:val="32"/>
        </w:rPr>
      </w:pPr>
      <w:r>
        <w:rPr>
          <w:rFonts w:hint="eastAsia" w:ascii="仿宋" w:hAnsi="仿宋" w:eastAsia="仿宋" w:cs="仿宋"/>
          <w:sz w:val="32"/>
          <w:szCs w:val="32"/>
        </w:rPr>
        <w:t>2020年度财政拨款支出30.00万元，占本年支出合计的46.43%，本单位为新增单位，2020年开始独立核算，上年无数据</w:t>
      </w:r>
      <w:r>
        <w:rPr>
          <w:rFonts w:hint="eastAsia" w:ascii="仿宋" w:hAnsi="仿宋" w:eastAsia="仿宋" w:cs="仿宋"/>
          <w:color w:val="auto"/>
          <w:sz w:val="32"/>
          <w:szCs w:val="32"/>
        </w:rPr>
        <w:t>。</w:t>
      </w:r>
    </w:p>
    <w:p>
      <w:pPr>
        <w:pStyle w:val="12"/>
        <w:ind w:firstLine="476" w:firstLineChars="150"/>
        <w:rPr>
          <w:rFonts w:ascii="仿宋" w:hAnsi="仿宋" w:eastAsia="仿宋" w:cs="仿宋"/>
          <w:b/>
          <w:sz w:val="32"/>
          <w:szCs w:val="32"/>
        </w:rPr>
      </w:pPr>
      <w:r>
        <w:rPr>
          <w:rFonts w:hint="eastAsia" w:ascii="仿宋" w:hAnsi="仿宋" w:eastAsia="仿宋" w:cs="仿宋"/>
          <w:b/>
          <w:sz w:val="32"/>
          <w:szCs w:val="32"/>
        </w:rPr>
        <w:t>（二）财政拨款支出决算结构情况</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2020年度财政拨款支出30万元，主要用于城乡社区支出30万元，占100%。</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（三）财政拨款支出决算具体情况</w:t>
      </w:r>
    </w:p>
    <w:p>
      <w:pPr>
        <w:pStyle w:val="12"/>
        <w:ind w:firstLine="793" w:firstLineChars="250"/>
        <w:rPr>
          <w:rFonts w:ascii="仿宋" w:hAnsi="仿宋" w:eastAsia="仿宋" w:cs="仿宋"/>
          <w:sz w:val="32"/>
          <w:szCs w:val="32"/>
        </w:rPr>
      </w:pPr>
      <w:r>
        <w:rPr>
          <w:rFonts w:hint="eastAsia" w:ascii="仿宋" w:hAnsi="仿宋" w:eastAsia="仿宋" w:cs="仿宋"/>
          <w:sz w:val="32"/>
          <w:szCs w:val="32"/>
        </w:rPr>
        <w:t>2020年度财政拨款支出年初预算数为</w:t>
      </w:r>
      <w:r>
        <w:rPr>
          <w:rFonts w:hint="eastAsia" w:ascii="仿宋" w:hAnsi="仿宋" w:eastAsia="仿宋" w:cs="仿宋"/>
          <w:sz w:val="32"/>
          <w:szCs w:val="32"/>
          <w:lang w:val="en-US" w:eastAsia="zh-CN"/>
        </w:rPr>
        <w:t>30</w:t>
      </w:r>
      <w:r>
        <w:rPr>
          <w:rFonts w:hint="eastAsia" w:ascii="仿宋" w:hAnsi="仿宋" w:eastAsia="仿宋" w:cs="仿宋"/>
          <w:sz w:val="32"/>
          <w:szCs w:val="32"/>
        </w:rPr>
        <w:t>万元，支出决算数为</w:t>
      </w:r>
      <w:r>
        <w:rPr>
          <w:rFonts w:hint="eastAsia" w:ascii="仿宋" w:hAnsi="仿宋" w:eastAsia="仿宋" w:cs="仿宋"/>
          <w:sz w:val="32"/>
          <w:szCs w:val="32"/>
          <w:lang w:val="en-US" w:eastAsia="zh-CN"/>
        </w:rPr>
        <w:t>30</w:t>
      </w:r>
      <w:r>
        <w:rPr>
          <w:rFonts w:hint="eastAsia" w:ascii="仿宋" w:hAnsi="仿宋" w:eastAsia="仿宋" w:cs="仿宋"/>
          <w:sz w:val="32"/>
          <w:szCs w:val="32"/>
        </w:rPr>
        <w:t>万元，完成年初预算的1</w:t>
      </w:r>
      <w:r>
        <w:rPr>
          <w:rFonts w:hint="eastAsia" w:ascii="仿宋" w:hAnsi="仿宋" w:eastAsia="仿宋" w:cs="仿宋"/>
          <w:sz w:val="32"/>
          <w:szCs w:val="32"/>
          <w:lang w:val="en-US" w:eastAsia="zh-CN"/>
        </w:rPr>
        <w:t>00</w:t>
      </w:r>
      <w:r>
        <w:rPr>
          <w:rFonts w:hint="eastAsia" w:ascii="仿宋" w:hAnsi="仿宋" w:eastAsia="仿宋" w:cs="仿宋"/>
          <w:sz w:val="32"/>
          <w:szCs w:val="32"/>
        </w:rPr>
        <w:t>%，其中：城乡社区（类）城乡社区规划与管理（款）城乡社区规划与管理（项），年初预算为30万元，支出决算为30万元，完成年初预算的100%</w:t>
      </w:r>
      <w:r>
        <w:rPr>
          <w:rFonts w:hint="eastAsia" w:ascii="仿宋" w:hAnsi="仿宋" w:eastAsia="仿宋" w:cs="仿宋"/>
          <w:sz w:val="32"/>
          <w:szCs w:val="32"/>
          <w:lang w:eastAsia="zh-CN"/>
        </w:rPr>
        <w:t>，</w:t>
      </w:r>
      <w:r>
        <w:rPr>
          <w:rFonts w:hint="eastAsia" w:ascii="仿宋" w:hAnsi="仿宋" w:eastAsia="仿宋" w:cs="仿宋"/>
          <w:color w:val="000000"/>
          <w:kern w:val="0"/>
          <w:sz w:val="32"/>
          <w:szCs w:val="24"/>
          <w:highlight w:val="white"/>
        </w:rPr>
        <w:t>决算数与预算数持平</w:t>
      </w:r>
      <w:r>
        <w:rPr>
          <w:rFonts w:hint="eastAsia" w:ascii="仿宋" w:hAnsi="仿宋" w:eastAsia="仿宋" w:cs="仿宋"/>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六、一般公共预算财政拨款基本支出决算情况说明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2020年度财政拨款基本支出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万元，其中：人员经费0万元，公用经费0万元，</w:t>
      </w:r>
      <w:r>
        <w:rPr>
          <w:rFonts w:hint="eastAsia" w:ascii="仿宋" w:hAnsi="仿宋" w:eastAsia="仿宋" w:cs="仿宋"/>
          <w:sz w:val="32"/>
          <w:szCs w:val="32"/>
          <w:lang w:val="en-US" w:eastAsia="zh-CN"/>
        </w:rPr>
        <w:t>主要原因为：</w:t>
      </w:r>
      <w:r>
        <w:rPr>
          <w:rFonts w:hint="eastAsia" w:ascii="仿宋" w:hAnsi="仿宋" w:eastAsia="仿宋" w:cs="仿宋"/>
          <w:sz w:val="32"/>
          <w:szCs w:val="32"/>
        </w:rPr>
        <w:t>本单位</w:t>
      </w:r>
      <w:r>
        <w:rPr>
          <w:rFonts w:hint="eastAsia" w:ascii="仿宋" w:hAnsi="仿宋" w:eastAsia="仿宋" w:cs="仿宋"/>
          <w:sz w:val="32"/>
          <w:szCs w:val="32"/>
          <w:lang w:val="en-US" w:eastAsia="zh-CN"/>
        </w:rPr>
        <w:t>成立于2019年11月</w:t>
      </w:r>
      <w:r>
        <w:rPr>
          <w:rFonts w:hint="eastAsia" w:ascii="仿宋" w:hAnsi="仿宋" w:eastAsia="仿宋" w:cs="仿宋"/>
          <w:sz w:val="32"/>
          <w:szCs w:val="32"/>
        </w:rPr>
        <w:t>，2020年开始独立核算，工作人员均为本系统内调入，2020年度工资福利均在原单位发放。</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七、一般公共预算财政拨款三公经费支出决算情况说明</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（一）“三公”经费财政拨款支出决算总体情况说明</w:t>
      </w:r>
    </w:p>
    <w:p>
      <w:pPr>
        <w:pStyle w:val="12"/>
        <w:ind w:firstLine="793" w:firstLineChars="250"/>
        <w:rPr>
          <w:rFonts w:hint="eastAsia" w:ascii="仿宋" w:hAnsi="仿宋" w:eastAsia="仿宋" w:cs="仿宋"/>
          <w:sz w:val="32"/>
          <w:szCs w:val="32"/>
        </w:rPr>
      </w:pPr>
      <w:r>
        <w:rPr>
          <w:rFonts w:hint="eastAsia" w:ascii="仿宋" w:hAnsi="仿宋" w:eastAsia="仿宋" w:cs="仿宋"/>
          <w:sz w:val="32"/>
          <w:szCs w:val="32"/>
        </w:rPr>
        <w:t>“三公”经费财政拨款支出预算为</w:t>
      </w:r>
      <w:r>
        <w:rPr>
          <w:rFonts w:hint="eastAsia" w:ascii="仿宋" w:hAnsi="仿宋" w:eastAsia="仿宋" w:cs="仿宋"/>
          <w:color w:val="auto"/>
          <w:sz w:val="32"/>
          <w:szCs w:val="32"/>
        </w:rPr>
        <w:t>0万</w:t>
      </w:r>
      <w:r>
        <w:rPr>
          <w:rFonts w:hint="eastAsia" w:ascii="仿宋" w:hAnsi="仿宋" w:eastAsia="仿宋" w:cs="仿宋"/>
          <w:sz w:val="32"/>
          <w:szCs w:val="32"/>
        </w:rPr>
        <w:t>元，支出决算为0万元，其中：</w:t>
      </w:r>
    </w:p>
    <w:p>
      <w:pPr>
        <w:pStyle w:val="12"/>
        <w:ind w:firstLine="634" w:firstLineChars="200"/>
        <w:rPr>
          <w:rFonts w:hint="eastAsia" w:ascii="仿宋" w:hAnsi="仿宋" w:eastAsia="仿宋" w:cs="仿宋"/>
          <w:sz w:val="32"/>
          <w:szCs w:val="32"/>
        </w:rPr>
      </w:pPr>
      <w:r>
        <w:rPr>
          <w:rFonts w:hint="eastAsia" w:ascii="仿宋" w:hAnsi="仿宋" w:eastAsia="仿宋" w:cs="仿宋"/>
          <w:sz w:val="32"/>
          <w:szCs w:val="32"/>
        </w:rPr>
        <w:t>公务接待费支出预算为0万元，支出决算为0万元，主要原因是坚持了同城公务不接待开支，外地来岳必有公函方能按标准接待，坚决不超标接待</w:t>
      </w:r>
      <w:r>
        <w:rPr>
          <w:rFonts w:hint="eastAsia" w:ascii="仿宋" w:hAnsi="仿宋" w:eastAsia="仿宋" w:cs="仿宋"/>
          <w:sz w:val="32"/>
          <w:szCs w:val="32"/>
          <w:lang w:val="en-US" w:eastAsia="zh-CN"/>
        </w:rPr>
        <w:t>等制度</w:t>
      </w:r>
      <w:r>
        <w:rPr>
          <w:rFonts w:hint="eastAsia" w:ascii="仿宋" w:hAnsi="仿宋" w:eastAsia="仿宋" w:cs="仿宋"/>
          <w:sz w:val="32"/>
          <w:szCs w:val="32"/>
        </w:rPr>
        <w:t>。本单位</w:t>
      </w:r>
      <w:r>
        <w:rPr>
          <w:rFonts w:hint="eastAsia" w:ascii="仿宋" w:hAnsi="仿宋" w:eastAsia="仿宋" w:cs="仿宋"/>
          <w:sz w:val="32"/>
          <w:szCs w:val="32"/>
          <w:lang w:val="en-US" w:eastAsia="zh-CN"/>
        </w:rPr>
        <w:t>成立于2019年11月</w:t>
      </w:r>
      <w:r>
        <w:rPr>
          <w:rFonts w:hint="eastAsia" w:ascii="仿宋" w:hAnsi="仿宋" w:eastAsia="仿宋" w:cs="仿宋"/>
          <w:sz w:val="32"/>
          <w:szCs w:val="32"/>
        </w:rPr>
        <w:t>，2020年开始独立核算</w:t>
      </w:r>
      <w:r>
        <w:rPr>
          <w:rFonts w:hint="eastAsia" w:ascii="仿宋" w:hAnsi="仿宋" w:eastAsia="仿宋" w:cs="仿宋"/>
          <w:sz w:val="32"/>
          <w:szCs w:val="32"/>
          <w:lang w:eastAsia="zh-CN"/>
        </w:rPr>
        <w:t>，</w:t>
      </w:r>
      <w:r>
        <w:rPr>
          <w:rFonts w:hint="eastAsia" w:ascii="仿宋" w:hAnsi="仿宋" w:eastAsia="仿宋" w:cs="仿宋"/>
          <w:sz w:val="32"/>
          <w:szCs w:val="32"/>
        </w:rPr>
        <w:t>上年无数据</w:t>
      </w:r>
      <w:r>
        <w:rPr>
          <w:rFonts w:hint="eastAsia" w:ascii="仿宋" w:hAnsi="仿宋" w:eastAsia="仿宋" w:cs="仿宋"/>
          <w:color w:val="auto"/>
          <w:sz w:val="32"/>
          <w:szCs w:val="32"/>
        </w:rPr>
        <w:t>。</w:t>
      </w:r>
    </w:p>
    <w:p>
      <w:pPr>
        <w:pStyle w:val="12"/>
        <w:ind w:firstLine="634" w:firstLineChars="200"/>
        <w:rPr>
          <w:rFonts w:hint="eastAsia" w:ascii="仿宋" w:hAnsi="仿宋" w:eastAsia="仿宋" w:cs="仿宋"/>
          <w:sz w:val="32"/>
          <w:szCs w:val="32"/>
        </w:rPr>
      </w:pPr>
      <w:r>
        <w:rPr>
          <w:rFonts w:hint="eastAsia" w:ascii="仿宋" w:hAnsi="仿宋" w:eastAsia="仿宋" w:cs="仿宋"/>
          <w:sz w:val="32"/>
          <w:szCs w:val="32"/>
        </w:rPr>
        <w:t>公务用车购置费及运行维护费支出预算为0万元，支出决算为0万元</w:t>
      </w:r>
      <w:r>
        <w:rPr>
          <w:rFonts w:hint="eastAsia" w:ascii="仿宋" w:hAnsi="仿宋" w:eastAsia="仿宋" w:cs="仿宋"/>
          <w:sz w:val="32"/>
          <w:szCs w:val="32"/>
          <w:lang w:eastAsia="zh-CN"/>
        </w:rPr>
        <w:t>，</w:t>
      </w:r>
      <w:r>
        <w:rPr>
          <w:rFonts w:hint="eastAsia" w:ascii="仿宋" w:hAnsi="仿宋" w:eastAsia="仿宋" w:cs="仿宋"/>
          <w:sz w:val="32"/>
          <w:szCs w:val="32"/>
        </w:rPr>
        <w:t>本单位</w:t>
      </w:r>
      <w:r>
        <w:rPr>
          <w:rFonts w:hint="eastAsia" w:ascii="仿宋" w:hAnsi="仿宋" w:eastAsia="仿宋" w:cs="仿宋"/>
          <w:sz w:val="32"/>
          <w:szCs w:val="32"/>
          <w:lang w:val="en-US" w:eastAsia="zh-CN"/>
        </w:rPr>
        <w:t>成立于2019年11月</w:t>
      </w:r>
      <w:r>
        <w:rPr>
          <w:rFonts w:hint="eastAsia" w:ascii="仿宋" w:hAnsi="仿宋" w:eastAsia="仿宋" w:cs="仿宋"/>
          <w:sz w:val="32"/>
          <w:szCs w:val="32"/>
        </w:rPr>
        <w:t>，2020年开始独立核算</w:t>
      </w:r>
      <w:r>
        <w:rPr>
          <w:rFonts w:hint="eastAsia" w:ascii="仿宋" w:hAnsi="仿宋" w:eastAsia="仿宋" w:cs="仿宋"/>
          <w:sz w:val="32"/>
          <w:szCs w:val="32"/>
          <w:lang w:eastAsia="zh-CN"/>
        </w:rPr>
        <w:t>，</w:t>
      </w:r>
      <w:r>
        <w:rPr>
          <w:rFonts w:hint="eastAsia" w:ascii="仿宋" w:hAnsi="仿宋" w:eastAsia="仿宋" w:cs="仿宋"/>
          <w:sz w:val="32"/>
          <w:szCs w:val="32"/>
        </w:rPr>
        <w:t>上年无数据</w:t>
      </w:r>
      <w:r>
        <w:rPr>
          <w:rFonts w:hint="eastAsia" w:ascii="仿宋" w:hAnsi="仿宋" w:eastAsia="仿宋" w:cs="仿宋"/>
          <w:color w:val="auto"/>
          <w:sz w:val="32"/>
          <w:szCs w:val="32"/>
        </w:rPr>
        <w:t>。</w:t>
      </w:r>
    </w:p>
    <w:p>
      <w:pPr>
        <w:pStyle w:val="12"/>
        <w:ind w:firstLine="634"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因公出国（境）费支出预算和决算均为0万元，</w:t>
      </w:r>
      <w:r>
        <w:rPr>
          <w:rFonts w:hint="eastAsia" w:ascii="仿宋" w:hAnsi="仿宋" w:eastAsia="仿宋" w:cs="仿宋"/>
          <w:sz w:val="32"/>
          <w:szCs w:val="32"/>
        </w:rPr>
        <w:t>本单位</w:t>
      </w:r>
      <w:r>
        <w:rPr>
          <w:rFonts w:hint="eastAsia" w:ascii="仿宋" w:hAnsi="仿宋" w:eastAsia="仿宋" w:cs="仿宋"/>
          <w:sz w:val="32"/>
          <w:szCs w:val="32"/>
          <w:lang w:val="en-US" w:eastAsia="zh-CN"/>
        </w:rPr>
        <w:t>成立于2019年11月</w:t>
      </w:r>
      <w:r>
        <w:rPr>
          <w:rFonts w:hint="eastAsia" w:ascii="仿宋" w:hAnsi="仿宋" w:eastAsia="仿宋" w:cs="仿宋"/>
          <w:sz w:val="32"/>
          <w:szCs w:val="32"/>
        </w:rPr>
        <w:t>，2020年开始独立核算</w:t>
      </w:r>
      <w:r>
        <w:rPr>
          <w:rFonts w:hint="eastAsia" w:ascii="仿宋" w:hAnsi="仿宋" w:eastAsia="仿宋" w:cs="仿宋"/>
          <w:sz w:val="32"/>
          <w:szCs w:val="32"/>
          <w:lang w:eastAsia="zh-CN"/>
        </w:rPr>
        <w:t>，</w:t>
      </w:r>
      <w:r>
        <w:rPr>
          <w:rFonts w:hint="eastAsia" w:ascii="仿宋" w:hAnsi="仿宋" w:eastAsia="仿宋" w:cs="仿宋"/>
          <w:sz w:val="32"/>
          <w:szCs w:val="32"/>
        </w:rPr>
        <w:t>上年无数据</w:t>
      </w:r>
      <w:r>
        <w:rPr>
          <w:rFonts w:hint="eastAsia" w:ascii="仿宋" w:hAnsi="仿宋" w:eastAsia="仿宋" w:cs="仿宋"/>
          <w:color w:val="auto"/>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（二）“三公”经费财政拨款支出决算具体情况说明</w:t>
      </w:r>
    </w:p>
    <w:p>
      <w:pPr>
        <w:numPr>
          <w:ilvl w:val="0"/>
          <w:numId w:val="0"/>
        </w:numPr>
        <w:ind w:firstLine="634" w:firstLineChars="200"/>
        <w:rPr>
          <w:rFonts w:ascii="仿宋" w:hAnsi="仿宋" w:eastAsia="仿宋" w:cs="仿宋"/>
          <w:color w:val="000000"/>
          <w:kern w:val="0"/>
          <w:sz w:val="32"/>
          <w:szCs w:val="32"/>
        </w:rPr>
      </w:pPr>
      <w:r>
        <w:rPr>
          <w:rFonts w:hint="eastAsia" w:ascii="仿宋" w:hAnsi="仿宋" w:eastAsia="仿宋" w:cs="仿宋"/>
          <w:sz w:val="32"/>
          <w:szCs w:val="32"/>
        </w:rPr>
        <w:t>2020年度“三公”经费财政拨款支出决算中，公务接待费支出决算0万元</w:t>
      </w:r>
      <w:r>
        <w:rPr>
          <w:rFonts w:hint="eastAsia" w:ascii="仿宋" w:hAnsi="仿宋" w:eastAsia="仿宋" w:cs="仿宋"/>
          <w:sz w:val="32"/>
          <w:szCs w:val="32"/>
          <w:lang w:eastAsia="zh-CN"/>
        </w:rPr>
        <w:t>、</w:t>
      </w:r>
      <w:r>
        <w:rPr>
          <w:rFonts w:hint="eastAsia" w:ascii="仿宋_GB2312" w:hAnsi="仿宋_GB2312" w:eastAsia="仿宋_GB2312" w:cs="仿宋_GB2312"/>
          <w:kern w:val="0"/>
          <w:sz w:val="32"/>
          <w:szCs w:val="32"/>
          <w:lang w:val="en-US" w:eastAsia="zh-CN"/>
        </w:rPr>
        <w:t>因公出国（境）费支出决算0万元、公务用车购置费及运行维护费支出决算0万元。</w:t>
      </w:r>
      <w:r>
        <w:rPr>
          <w:rFonts w:hint="eastAsia" w:ascii="仿宋" w:hAnsi="仿宋" w:eastAsia="仿宋" w:cs="仿宋"/>
          <w:sz w:val="32"/>
          <w:szCs w:val="32"/>
        </w:rPr>
        <w:t>本单位</w:t>
      </w:r>
      <w:r>
        <w:rPr>
          <w:rFonts w:hint="eastAsia" w:ascii="仿宋" w:hAnsi="仿宋" w:eastAsia="仿宋" w:cs="仿宋"/>
          <w:sz w:val="32"/>
          <w:szCs w:val="32"/>
          <w:lang w:val="en-US" w:eastAsia="zh-CN"/>
        </w:rPr>
        <w:t>成立于2019年11月</w:t>
      </w:r>
      <w:r>
        <w:rPr>
          <w:rFonts w:hint="eastAsia" w:ascii="仿宋" w:hAnsi="仿宋" w:eastAsia="仿宋" w:cs="仿宋"/>
          <w:sz w:val="32"/>
          <w:szCs w:val="32"/>
        </w:rPr>
        <w:t>，2020年开始独立核算</w:t>
      </w:r>
      <w:r>
        <w:rPr>
          <w:rFonts w:hint="eastAsia" w:ascii="仿宋" w:hAnsi="仿宋" w:eastAsia="仿宋" w:cs="仿宋"/>
          <w:sz w:val="32"/>
          <w:szCs w:val="32"/>
          <w:lang w:eastAsia="zh-CN"/>
        </w:rPr>
        <w:t>，</w:t>
      </w:r>
      <w:r>
        <w:rPr>
          <w:rFonts w:hint="eastAsia" w:ascii="仿宋_GB2312" w:hAnsi="仿宋_GB2312" w:eastAsia="仿宋_GB2312" w:cs="仿宋_GB2312"/>
          <w:kern w:val="0"/>
          <w:sz w:val="32"/>
          <w:szCs w:val="32"/>
          <w:lang w:val="en-US" w:eastAsia="zh-CN"/>
        </w:rPr>
        <w:t>未购置公务用车，</w:t>
      </w:r>
      <w:r>
        <w:rPr>
          <w:rFonts w:hint="eastAsia" w:ascii="仿宋" w:hAnsi="仿宋" w:eastAsia="仿宋" w:cs="仿宋"/>
          <w:sz w:val="32"/>
          <w:szCs w:val="32"/>
        </w:rPr>
        <w:t>截止2020年12月31日，本单位开支财政拨款的公务用车保有量为0辆。</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八、政府性基金预算收入支出决算情况</w:t>
      </w:r>
    </w:p>
    <w:p>
      <w:pPr>
        <w:pStyle w:val="12"/>
        <w:rPr>
          <w:rFonts w:ascii="仿宋" w:hAnsi="仿宋" w:eastAsia="仿宋" w:cs="仿宋"/>
          <w:sz w:val="32"/>
          <w:szCs w:val="32"/>
        </w:rPr>
      </w:pPr>
      <w:r>
        <w:rPr>
          <w:rFonts w:hint="eastAsia" w:ascii="仿宋" w:hAnsi="仿宋" w:eastAsia="仿宋" w:cs="仿宋"/>
          <w:sz w:val="32"/>
          <w:szCs w:val="32"/>
        </w:rPr>
        <w:t xml:space="preserve">     2020年度政府性基金预算财政拨款收入0万元；年初结转和结余0万元；支出0万元，其中基本支出0万元，项目支出0万元；年末结转和结余0万元。</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九、国有资本经营预算财政拨款支出决算情况</w:t>
      </w:r>
    </w:p>
    <w:p>
      <w:pPr>
        <w:pStyle w:val="12"/>
        <w:ind w:firstLine="630"/>
        <w:rPr>
          <w:rFonts w:ascii="仿宋" w:hAnsi="仿宋" w:eastAsia="仿宋" w:cs="仿宋"/>
          <w:sz w:val="32"/>
          <w:szCs w:val="32"/>
        </w:rPr>
      </w:pPr>
      <w:r>
        <w:rPr>
          <w:rFonts w:hint="eastAsia" w:ascii="仿宋" w:hAnsi="仿宋" w:eastAsia="仿宋" w:cs="仿宋"/>
          <w:sz w:val="32"/>
          <w:szCs w:val="32"/>
        </w:rPr>
        <w:t>2020年度</w:t>
      </w:r>
      <w:r>
        <w:rPr>
          <w:rFonts w:hint="eastAsia" w:ascii="仿宋" w:hAnsi="仿宋" w:eastAsia="仿宋" w:cs="仿宋"/>
          <w:bCs/>
          <w:sz w:val="32"/>
          <w:szCs w:val="32"/>
        </w:rPr>
        <w:t>国有资本经营预算财政拨款支出</w:t>
      </w:r>
      <w:r>
        <w:rPr>
          <w:rFonts w:hint="eastAsia" w:ascii="仿宋" w:hAnsi="仿宋" w:eastAsia="仿宋" w:cs="仿宋"/>
          <w:sz w:val="32"/>
          <w:szCs w:val="32"/>
        </w:rPr>
        <w:t>0万元，其中基本支出0万元，项目支出0万元（岳阳市静脉产业园管理中心无国有资本经营预算财政拨款支出)。</w:t>
      </w:r>
    </w:p>
    <w:p>
      <w:pPr>
        <w:pStyle w:val="12"/>
        <w:ind w:firstLine="628" w:firstLineChars="198"/>
        <w:rPr>
          <w:rFonts w:ascii="仿宋" w:hAnsi="仿宋" w:eastAsia="仿宋"/>
          <w:b/>
          <w:sz w:val="32"/>
          <w:szCs w:val="32"/>
        </w:rPr>
      </w:pPr>
      <w:r>
        <w:rPr>
          <w:rFonts w:hint="eastAsia" w:ascii="仿宋" w:hAnsi="仿宋" w:eastAsia="仿宋"/>
          <w:b/>
          <w:sz w:val="32"/>
          <w:szCs w:val="32"/>
        </w:rPr>
        <w:t>十、关于机关运行经费支出说明</w:t>
      </w:r>
    </w:p>
    <w:p>
      <w:pPr>
        <w:pStyle w:val="12"/>
        <w:ind w:firstLine="634" w:firstLineChars="200"/>
        <w:rPr>
          <w:rFonts w:ascii="仿宋" w:hAnsi="仿宋" w:eastAsia="仿宋"/>
          <w:sz w:val="32"/>
          <w:szCs w:val="32"/>
        </w:rPr>
      </w:pPr>
      <w:r>
        <w:rPr>
          <w:rFonts w:ascii="仿宋" w:hAnsi="仿宋" w:eastAsia="仿宋"/>
          <w:sz w:val="32"/>
          <w:szCs w:val="32"/>
        </w:rPr>
        <w:t>本单位为全额拨款事业单位</w:t>
      </w:r>
      <w:r>
        <w:rPr>
          <w:rFonts w:hint="eastAsia" w:ascii="仿宋" w:hAnsi="仿宋" w:eastAsia="仿宋"/>
          <w:sz w:val="32"/>
          <w:szCs w:val="32"/>
        </w:rPr>
        <w:t>，2020年度机关运行经费支出0万元</w:t>
      </w:r>
      <w:r>
        <w:rPr>
          <w:rFonts w:ascii="仿宋" w:hAnsi="仿宋" w:eastAsia="仿宋"/>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十一、一般性支出情况</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2020年本</w:t>
      </w:r>
      <w:r>
        <w:rPr>
          <w:rFonts w:hint="eastAsia" w:ascii="仿宋" w:hAnsi="仿宋" w:eastAsia="仿宋" w:cs="仿宋"/>
          <w:sz w:val="32"/>
          <w:szCs w:val="32"/>
          <w:lang w:val="en-US" w:eastAsia="zh-CN"/>
        </w:rPr>
        <w:t>单位</w:t>
      </w:r>
      <w:r>
        <w:rPr>
          <w:rFonts w:hint="eastAsia" w:ascii="仿宋" w:hAnsi="仿宋" w:eastAsia="仿宋" w:cs="仿宋"/>
          <w:sz w:val="32"/>
          <w:szCs w:val="32"/>
        </w:rPr>
        <w:t>开支会议费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培训费均为</w:t>
      </w:r>
      <w:r>
        <w:rPr>
          <w:rFonts w:hint="eastAsia" w:ascii="仿宋" w:hAnsi="仿宋" w:eastAsia="仿宋" w:cs="仿宋"/>
          <w:sz w:val="32"/>
          <w:szCs w:val="32"/>
        </w:rPr>
        <w:t>0万元，</w:t>
      </w:r>
      <w:r>
        <w:rPr>
          <w:rFonts w:hint="eastAsia" w:ascii="仿宋" w:hAnsi="仿宋" w:eastAsia="仿宋" w:cs="仿宋"/>
          <w:sz w:val="32"/>
          <w:szCs w:val="32"/>
          <w:lang w:eastAsia="zh-CN"/>
        </w:rPr>
        <w:t>本年</w:t>
      </w:r>
      <w:r>
        <w:rPr>
          <w:rFonts w:hint="eastAsia" w:ascii="仿宋" w:hAnsi="仿宋" w:eastAsia="仿宋" w:cs="仿宋"/>
          <w:sz w:val="32"/>
          <w:szCs w:val="32"/>
        </w:rPr>
        <w:t>未举办节庆、晚会、论坛、赛事等活动</w:t>
      </w:r>
      <w:r>
        <w:rPr>
          <w:rFonts w:hint="eastAsia" w:ascii="仿宋" w:hAnsi="仿宋" w:eastAsia="仿宋" w:cs="仿宋"/>
          <w:sz w:val="32"/>
          <w:szCs w:val="32"/>
          <w:lang w:eastAsia="zh-CN"/>
        </w:rPr>
        <w:t>，开支</w:t>
      </w:r>
      <w:r>
        <w:rPr>
          <w:rFonts w:hint="eastAsia" w:ascii="仿宋" w:hAnsi="仿宋" w:eastAsia="仿宋" w:cs="仿宋"/>
          <w:sz w:val="32"/>
          <w:szCs w:val="32"/>
          <w:lang w:val="en-US" w:eastAsia="zh-CN"/>
        </w:rPr>
        <w:t>0万元</w:t>
      </w:r>
      <w:r>
        <w:rPr>
          <w:rFonts w:hint="eastAsia" w:ascii="仿宋" w:hAnsi="仿宋" w:eastAsia="仿宋" w:cs="仿宋"/>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十二、关于政府采购支出说明</w:t>
      </w:r>
      <w:bookmarkStart w:id="0" w:name="_GoBack"/>
      <w:bookmarkEnd w:id="0"/>
    </w:p>
    <w:p>
      <w:pPr>
        <w:pStyle w:val="12"/>
        <w:ind w:firstLine="634" w:firstLineChars="200"/>
        <w:rPr>
          <w:rFonts w:ascii="仿宋" w:hAnsi="仿宋" w:eastAsia="仿宋"/>
          <w:sz w:val="32"/>
          <w:szCs w:val="32"/>
        </w:rPr>
      </w:pPr>
      <w:r>
        <w:rPr>
          <w:rFonts w:hint="eastAsia" w:ascii="仿宋" w:hAnsi="仿宋" w:eastAsia="仿宋"/>
          <w:sz w:val="32"/>
          <w:szCs w:val="32"/>
        </w:rPr>
        <w:t>本单位2020年度政府采购支出总额8.51万元，其中：政府采购货物支出8.51万元、政府采购工程支出0万元、政府采购服务支出0万元。授予中小企业合同金额8.51万元，占政府采购支出总额的100%</w:t>
      </w:r>
      <w:r>
        <w:rPr>
          <w:rFonts w:hint="eastAsia" w:ascii="仿宋" w:hAnsi="仿宋" w:eastAsia="仿宋"/>
          <w:sz w:val="32"/>
          <w:szCs w:val="32"/>
          <w:lang w:eastAsia="zh-CN"/>
        </w:rPr>
        <w:t>，</w:t>
      </w:r>
      <w:r>
        <w:rPr>
          <w:rFonts w:hint="eastAsia" w:ascii="仿宋_GB2312" w:hAnsi="仿宋_GB2312" w:eastAsia="仿宋_GB2312" w:cs="仿宋_GB2312"/>
          <w:sz w:val="32"/>
          <w:szCs w:val="32"/>
        </w:rPr>
        <w:t>其中：授予小微企业合同金额</w:t>
      </w:r>
      <w:r>
        <w:rPr>
          <w:rFonts w:hint="eastAsia" w:ascii="仿宋" w:hAnsi="仿宋" w:eastAsia="仿宋"/>
          <w:sz w:val="32"/>
          <w:szCs w:val="32"/>
        </w:rPr>
        <w:t>8.51</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十三、关于国有资产占用情况说明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截至2020年12月31日，本单位共有车辆0辆，单位价值50万元以上通用设备0台（套）；单位价值100万元以上专用设备0台（套）。</w:t>
      </w:r>
    </w:p>
    <w:p>
      <w:pPr>
        <w:pStyle w:val="12"/>
        <w:ind w:firstLine="634" w:firstLineChars="200"/>
        <w:rPr>
          <w:rFonts w:ascii="仿宋" w:hAnsi="仿宋" w:eastAsia="仿宋" w:cs="仿宋"/>
          <w:b/>
          <w:sz w:val="32"/>
          <w:szCs w:val="32"/>
        </w:rPr>
      </w:pPr>
      <w:r>
        <w:rPr>
          <w:rFonts w:hint="eastAsia" w:ascii="仿宋" w:hAnsi="仿宋" w:eastAsia="仿宋" w:cs="仿宋"/>
          <w:b/>
          <w:sz w:val="32"/>
          <w:szCs w:val="32"/>
        </w:rPr>
        <w:t>十四、关于2020年度预算绩效情况的说明</w:t>
      </w:r>
    </w:p>
    <w:p>
      <w:pPr>
        <w:pStyle w:val="12"/>
        <w:ind w:firstLine="634" w:firstLineChars="200"/>
        <w:rPr>
          <w:rFonts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单位</w:t>
      </w:r>
      <w:r>
        <w:rPr>
          <w:rFonts w:hint="eastAsia" w:ascii="仿宋" w:hAnsi="仿宋" w:eastAsia="仿宋" w:cs="仿宋"/>
          <w:sz w:val="32"/>
          <w:szCs w:val="32"/>
        </w:rPr>
        <w:t>预算绩效管理开展情况、绩效目标和绩效评价报告见附件。</w:t>
      </w:r>
    </w:p>
    <w:p>
      <w:pPr>
        <w:pStyle w:val="12"/>
        <w:rPr>
          <w:rFonts w:hAnsi="黑体"/>
          <w:b/>
          <w:sz w:val="32"/>
          <w:szCs w:val="32"/>
        </w:rPr>
      </w:pPr>
    </w:p>
    <w:p>
      <w:pPr>
        <w:pStyle w:val="12"/>
        <w:jc w:val="center"/>
        <w:rPr>
          <w:sz w:val="72"/>
          <w:szCs w:val="72"/>
        </w:rPr>
      </w:pPr>
    </w:p>
    <w:p>
      <w:pPr>
        <w:pStyle w:val="12"/>
        <w:jc w:val="both"/>
        <w:rPr>
          <w:rFonts w:hint="eastAsia"/>
          <w:sz w:val="48"/>
          <w:szCs w:val="48"/>
        </w:rPr>
      </w:pPr>
    </w:p>
    <w:p>
      <w:pPr>
        <w:pStyle w:val="12"/>
        <w:ind w:firstLine="1908" w:firstLineChars="400"/>
        <w:jc w:val="both"/>
        <w:rPr>
          <w:rFonts w:ascii="黑体" w:eastAsia="黑体" w:cs="黑体"/>
          <w:color w:val="000000"/>
          <w:kern w:val="0"/>
          <w:sz w:val="48"/>
          <w:szCs w:val="48"/>
        </w:rPr>
      </w:pPr>
      <w:r>
        <w:rPr>
          <w:rFonts w:hint="eastAsia"/>
          <w:sz w:val="48"/>
          <w:szCs w:val="48"/>
        </w:rPr>
        <w:t>第四部分</w:t>
      </w:r>
      <w:r>
        <w:rPr>
          <w:rFonts w:hint="eastAsia"/>
          <w:sz w:val="48"/>
          <w:szCs w:val="48"/>
          <w:lang w:val="en-US" w:eastAsia="zh-CN"/>
        </w:rPr>
        <w:t xml:space="preserve"> </w:t>
      </w:r>
      <w:r>
        <w:rPr>
          <w:rFonts w:hint="eastAsia" w:ascii="黑体" w:eastAsia="黑体" w:cs="黑体"/>
          <w:color w:val="000000"/>
          <w:kern w:val="0"/>
          <w:sz w:val="48"/>
          <w:szCs w:val="48"/>
        </w:rPr>
        <w:t>名词解释</w:t>
      </w:r>
    </w:p>
    <w:p>
      <w:pPr>
        <w:widowControl/>
        <w:ind w:firstLine="634" w:firstLineChars="200"/>
        <w:jc w:val="left"/>
        <w:rPr>
          <w:rFonts w:asciiTheme="minorEastAsia" w:hAnsiTheme="minorEastAsia" w:cstheme="minorEastAsia"/>
          <w:sz w:val="32"/>
          <w:szCs w:val="32"/>
        </w:rPr>
      </w:pPr>
    </w:p>
    <w:p>
      <w:pPr>
        <w:widowControl/>
        <w:ind w:firstLine="416" w:firstLineChars="131"/>
        <w:jc w:val="left"/>
        <w:rPr>
          <w:rFonts w:ascii="仿宋" w:hAnsi="仿宋" w:eastAsia="仿宋" w:cs="仿宋"/>
          <w:sz w:val="32"/>
          <w:szCs w:val="32"/>
        </w:rPr>
      </w:pPr>
      <w:r>
        <w:rPr>
          <w:rFonts w:hint="eastAsia" w:ascii="仿宋" w:hAnsi="仿宋" w:eastAsia="仿宋" w:cs="仿宋"/>
          <w:sz w:val="32"/>
          <w:szCs w:val="32"/>
        </w:rPr>
        <w:t>财政拨款收入：指本级财政当年拨付的资金。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其他收入：指除上述“财政拨款收入”、“上级补助收入”、“事业收入”、“经营收入”、“附属单位上缴收入”等以外的收入。</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上年结转和结余：指以前年度尚未完成、结转到本年按有关规定继续使用的资金。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年末结转和结余资金：指本年度或以前年度预算安排、因客观条件发生变化无法按原计划实施，需要延迟到以后年度按有关规定继续使用的资金。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社会保障和就业支出（类）：是指用于社会保障和就业方面的出，包括保障机构正常运转、完成日常和特定的工作任务或事业发展目标的支出。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城乡社区支出（类）：是指用于城乡社区事务支出，包括保障机构正常运转、完成日常和特定的工作任务或事业发展目标的支出。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基本支出：指保障机构正常运转、完成支日常工作任务而发生的人员支出和公用支出。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项目支出：指在基本支出之外为完成特定行政任务和事业发展目标所发生的支出。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工资福利支出：反映单位开支的在职职工和编制外长期聘用人员的各类劳动报酬，以及为上述人员缴纳的各项社会保险费等。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奖金：反映机关工作人员年终一次性奖金。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其他社会保障缴费：反映单位为职工缴纳的基本医疗、失业、工伤、生育等社会保险费，残疾人就业保障金，军队（含武警）为军人缴纳的伤亡、退役医疗等社会保险费。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伙食补助费：反映单位发给职工的伙食补助费，如误餐补助等。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绩效工资：反映事业单位工作人员的绩效工资。</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机关事业单位基本养老保险缴费：反映机关事业单位缴纳的基本养老保险费。由单位代扣的工作人员基本养老保险缴费，不在此科目反映。</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职业年金缴费：反映机关事业单位实际缴纳的职业年金支出。由单位代扣的工作人员职业年金缴费，不在此科目反映。</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商品和服务支出：反映单位购买商品和服务的支出（不包括用于购置固定资产的支出、战略性和应急储备支出）。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办公费：反映单位购买按财务会计制度规定不符合固定资产确认标准的日常办公用品、书报杂志等支出。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印刷费：反映单位的印刷费支出。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咨询费：反映单位咨询方面的支出。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手续费：反映单位支付的各类手续费支出。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水费：反映单位支付的水费、污水处理费等支出。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电费：反映单位的电费支出。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邮电费：反映单位开支的信函、包裹、货物等物品的邮寄费及电话费、电报费、传真费、网络通讯费等。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物业管理费：反映单位开支的办公用房以及未实行职工住宅物业服务改革的在职职工和离退休人员宿舍等的物业管理费，包括综合治理、绿化、卫生等方面的支出。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差旅费：反映单位工作人员出差发生的城市间交通费、住宿费、伙食补贴费和市内交通费。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维修(护)费：反映单位日常开支的固定资产（不包括车船等交通工具）修理和维护费用，网络信息系统运行与维护费用，以及按规定提取的修购基金。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租赁费：反映租赁办公用房、宿舍、专用通讯网以及其他设备等方面的费用。</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会议费：反映会议中按规定开支的住宿费、伙食费、会议室租金、交通费、文件印刷费、医药费等。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培训费：反映除因公出国（境）培训费以外的各类培训支出。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公务接待费：反映单位按规定开支的各类公务接待（含外宾接待）费用。</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劳务费：反映支付给单位和个人的劳务费用，如临时聘用人员、钟点工工资，稿费、翻译费，评审费等。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委托业务费：反映因委托外单位办理业务而支付的委托业务费。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工会经费：反映单位按规定提取的工会经费。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福利费：反映单位按规定提取的福利费。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公务用车运行维护费：反映单位按规定保留的公务用车燃料费、维修费、过桥过路费、保险费、安全奖励费用等支出。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其他交通费用：反映单位除公务用车运行维护费以外的其他交通费用。如公务交通补贴，租车费用、出租车费用，飞机、船舶等的燃料费、维修费、保险费等。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其他商品和服务支出：反映上述科目未包括的日常公用支出。如行政赔偿费和诉讼费、国内组织的会员费、来访费、广告宣传、其他劳务费及离休人员特需费、公用经费等。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对个人和家庭的补助：反映政府用于对个人和家庭的补助支出。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离休费：反映行政事业单位和军队移交政府安置的离休人员的离休费、护理费和其他补贴。</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退休费：反映行政事业单位和军队移交政府安置的退休人员的退休费和其他补贴。</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抚恤金：反映按规定开支的烈士遗属、牺牲病故人员遗属的一次性和定期抚恤金，伤残人员的抚恤金，离退休人员等其他人员的各项抚恤金。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奖励金：反映政府各部门的奖励支出，如对个体私营经济的奖励、计划生育目标责任奖励、独生子女父母奖励等。</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住房公积金：反映行政事业单位按人力资源和社会保障部、财政部规定的基本工资和津贴补贴以及规定比例为职工缴纳的住房公积金。</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提租补贴：反映按房改政策规定的标准，行政事业单位向职工（含离退休人员）发放的租金补贴。</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对企事业单位的补贴：反映政府对各类企业、事业单位及民间非营利组织的补贴。</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事业单位补贴：反映对事业单位的补贴支出。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其他资本性支出：反映发展与改革部门以外的其他部门安排的用于购置固定资产、战略性和应急性储备、土地和无形资产，以及购建基础设施、大型修缮和财政支持企业更新改造所发生的支出。</w:t>
      </w:r>
    </w:p>
    <w:p>
      <w:pPr>
        <w:pStyle w:val="6"/>
        <w:widowControl/>
        <w:spacing w:line="33" w:lineRule="atLeast"/>
        <w:ind w:firstLine="420"/>
        <w:jc w:val="both"/>
        <w:rPr>
          <w:rFonts w:ascii="仿宋" w:hAnsi="仿宋" w:eastAsia="仿宋" w:cs="仿宋"/>
          <w:sz w:val="32"/>
          <w:szCs w:val="32"/>
        </w:rPr>
      </w:pPr>
      <w:r>
        <w:rPr>
          <w:rFonts w:hint="eastAsia" w:ascii="仿宋" w:hAnsi="仿宋" w:eastAsia="仿宋" w:cs="仿宋"/>
          <w:sz w:val="32"/>
          <w:szCs w:val="32"/>
        </w:rPr>
        <w:t>办公设备购置：反映用于购置并按财务会计制度规定纳入固定资产核算范围的办公家具和办公设备的支出，以及按规定提取的修购基金。</w:t>
      </w:r>
    </w:p>
    <w:p>
      <w:pPr>
        <w:pStyle w:val="6"/>
        <w:widowControl/>
        <w:spacing w:line="33" w:lineRule="atLeast"/>
        <w:ind w:firstLine="634" w:firstLineChars="200"/>
        <w:jc w:val="both"/>
        <w:rPr>
          <w:rFonts w:ascii="仿宋" w:hAnsi="仿宋" w:eastAsia="仿宋" w:cs="仿宋"/>
          <w:sz w:val="32"/>
          <w:szCs w:val="32"/>
        </w:rPr>
      </w:pPr>
      <w:r>
        <w:rPr>
          <w:rFonts w:hint="eastAsia" w:ascii="仿宋" w:hAnsi="仿宋" w:eastAsia="仿宋" w:cs="仿宋"/>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pStyle w:val="6"/>
        <w:widowControl/>
        <w:spacing w:line="33" w:lineRule="atLeast"/>
        <w:ind w:firstLine="634" w:firstLineChars="200"/>
        <w:jc w:val="both"/>
        <w:rPr>
          <w:rFonts w:ascii="仿宋" w:hAnsi="仿宋" w:eastAsia="仿宋" w:cs="仿宋"/>
          <w:sz w:val="32"/>
          <w:szCs w:val="32"/>
        </w:rPr>
      </w:pPr>
      <w:r>
        <w:rPr>
          <w:rFonts w:hint="eastAsia" w:ascii="仿宋" w:hAnsi="仿宋" w:eastAsia="仿宋" w:cs="仿宋"/>
          <w:sz w:val="32"/>
          <w:szCs w:val="32"/>
        </w:rPr>
        <w:t>其他交通工具购置：反映单位除公务用车外的其他各类交通工具(如船舶、飞机等)购置支出（含车辆购置税）。</w:t>
      </w:r>
    </w:p>
    <w:p>
      <w:pPr>
        <w:pStyle w:val="12"/>
        <w:ind w:firstLine="416" w:firstLineChars="131"/>
        <w:rPr>
          <w:rFonts w:ascii="仿宋" w:hAnsi="仿宋" w:eastAsia="仿宋" w:cs="仿宋"/>
          <w:sz w:val="32"/>
          <w:szCs w:val="32"/>
        </w:rPr>
      </w:pPr>
      <w:r>
        <w:rPr>
          <w:rFonts w:hint="eastAsia" w:ascii="仿宋" w:hAnsi="仿宋" w:eastAsia="仿宋" w:cs="仿宋"/>
          <w:sz w:val="32"/>
          <w:szCs w:val="32"/>
        </w:rPr>
        <w:t>其他资本性支出：反映著作权、商标权、专利权等无形资产购置支出，以及其他上述科目中未包括的资本性支出。如娱乐、文化和艺术原作的使用权、购买国内外影片播映权、购置图书等。</w:t>
      </w:r>
    </w:p>
    <w:p>
      <w:pPr>
        <w:keepNext/>
        <w:keepLines/>
        <w:ind w:firstLine="640"/>
        <w:rPr>
          <w:rFonts w:hint="eastAsia" w:ascii="仿宋_GB2312" w:hAnsi="仿宋_GB2312" w:eastAsia="仿宋_GB2312" w:cs="仿宋_GB2312"/>
          <w:color w:val="000000"/>
          <w:kern w:val="0"/>
          <w:sz w:val="32"/>
          <w:szCs w:val="24"/>
          <w:highlight w:val="white"/>
        </w:rPr>
      </w:pPr>
      <w:r>
        <w:rPr>
          <w:rFonts w:hint="eastAsia" w:ascii="仿宋_GB2312" w:hAnsi="仿宋_GB2312" w:eastAsia="仿宋_GB2312" w:cs="仿宋_GB2312"/>
          <w:color w:val="000000"/>
          <w:kern w:val="0"/>
          <w:sz w:val="32"/>
          <w:szCs w:val="24"/>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pStyle w:val="12"/>
        <w:rPr>
          <w:rFonts w:ascii="仿宋" w:hAnsi="仿宋" w:eastAsia="仿宋" w:cs="仿宋"/>
          <w:sz w:val="32"/>
          <w:szCs w:val="32"/>
        </w:rPr>
      </w:pPr>
    </w:p>
    <w:p>
      <w:pPr>
        <w:pStyle w:val="12"/>
        <w:jc w:val="center"/>
        <w:rPr>
          <w:rFonts w:ascii="仿宋" w:hAnsi="仿宋" w:eastAsia="仿宋" w:cs="仿宋"/>
          <w:sz w:val="72"/>
          <w:szCs w:val="72"/>
        </w:rPr>
      </w:pPr>
    </w:p>
    <w:p>
      <w:pPr>
        <w:pStyle w:val="12"/>
        <w:jc w:val="center"/>
        <w:rPr>
          <w:rFonts w:ascii="仿宋" w:hAnsi="仿宋" w:eastAsia="仿宋" w:cs="仿宋"/>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both"/>
        <w:rPr>
          <w:sz w:val="72"/>
          <w:szCs w:val="72"/>
        </w:rPr>
      </w:pPr>
    </w:p>
    <w:p>
      <w:pPr>
        <w:pStyle w:val="12"/>
        <w:jc w:val="center"/>
        <w:rPr>
          <w:sz w:val="72"/>
          <w:szCs w:val="72"/>
        </w:rPr>
      </w:pPr>
    </w:p>
    <w:p>
      <w:pPr>
        <w:pStyle w:val="12"/>
        <w:jc w:val="center"/>
        <w:rPr>
          <w:sz w:val="72"/>
          <w:szCs w:val="72"/>
        </w:rPr>
      </w:pPr>
    </w:p>
    <w:p>
      <w:pPr>
        <w:pStyle w:val="12"/>
        <w:jc w:val="center"/>
        <w:rPr>
          <w:rFonts w:ascii="黑体" w:eastAsia="黑体" w:cs="黑体"/>
          <w:b/>
          <w:bCs/>
          <w:color w:val="000000"/>
          <w:kern w:val="0"/>
          <w:sz w:val="48"/>
          <w:szCs w:val="48"/>
        </w:rPr>
      </w:pPr>
      <w:r>
        <w:rPr>
          <w:rFonts w:hint="eastAsia"/>
          <w:b/>
          <w:bCs/>
          <w:sz w:val="48"/>
          <w:szCs w:val="48"/>
        </w:rPr>
        <w:t>第五部分</w:t>
      </w:r>
      <w:r>
        <w:rPr>
          <w:rFonts w:hint="eastAsia"/>
          <w:b/>
          <w:bCs/>
          <w:sz w:val="48"/>
          <w:szCs w:val="48"/>
          <w:lang w:val="en-US" w:eastAsia="zh-CN"/>
        </w:rPr>
        <w:t xml:space="preserve">  </w:t>
      </w:r>
      <w:r>
        <w:rPr>
          <w:rFonts w:hint="eastAsia" w:ascii="黑体" w:eastAsia="黑体" w:cs="黑体"/>
          <w:b/>
          <w:bCs/>
          <w:color w:val="000000"/>
          <w:kern w:val="0"/>
          <w:sz w:val="48"/>
          <w:szCs w:val="48"/>
        </w:rPr>
        <w:t>附</w:t>
      </w:r>
      <w:r>
        <w:rPr>
          <w:rFonts w:hint="eastAsia" w:cs="黑体"/>
          <w:b/>
          <w:bCs/>
          <w:color w:val="000000"/>
          <w:kern w:val="0"/>
          <w:sz w:val="48"/>
          <w:szCs w:val="48"/>
          <w:lang w:val="en-US" w:eastAsia="zh-CN"/>
        </w:rPr>
        <w:t xml:space="preserve"> </w:t>
      </w:r>
      <w:r>
        <w:rPr>
          <w:rFonts w:hint="eastAsia" w:ascii="黑体" w:eastAsia="黑体" w:cs="黑体"/>
          <w:b/>
          <w:bCs/>
          <w:color w:val="000000"/>
          <w:kern w:val="0"/>
          <w:sz w:val="48"/>
          <w:szCs w:val="48"/>
        </w:rPr>
        <w:t>件</w:t>
      </w:r>
    </w:p>
    <w:p>
      <w:pPr>
        <w:spacing w:line="348" w:lineRule="auto"/>
        <w:rPr>
          <w:rFonts w:ascii="黑体" w:hAnsi="黑体" w:eastAsia="黑体" w:cs="黑体"/>
          <w:bCs/>
          <w:sz w:val="32"/>
          <w:szCs w:val="32"/>
        </w:rPr>
      </w:pPr>
      <w:r>
        <w:rPr>
          <w:rFonts w:ascii="黑体" w:eastAsia="黑体" w:cs="黑体"/>
          <w:color w:val="000000"/>
          <w:kern w:val="0"/>
          <w:sz w:val="70"/>
          <w:szCs w:val="70"/>
        </w:rPr>
        <w:br w:type="page"/>
      </w:r>
    </w:p>
    <w:p>
      <w:pPr>
        <w:spacing w:line="800" w:lineRule="exact"/>
        <w:jc w:val="center"/>
        <w:rPr>
          <w:rFonts w:eastAsia="方正小标宋简体"/>
          <w:bCs/>
          <w:sz w:val="46"/>
          <w:szCs w:val="46"/>
        </w:rPr>
      </w:pPr>
      <w:r>
        <w:rPr>
          <w:rFonts w:hint="eastAsia" w:eastAsia="方正小标宋简体"/>
          <w:bCs/>
          <w:sz w:val="46"/>
          <w:szCs w:val="46"/>
        </w:rPr>
        <w:t>岳阳市</w:t>
      </w:r>
      <w:r>
        <w:rPr>
          <w:rFonts w:hint="eastAsia" w:eastAsia="方正小标宋简体"/>
          <w:bCs/>
          <w:sz w:val="46"/>
          <w:szCs w:val="46"/>
          <w:u w:color="FFFFFF"/>
        </w:rPr>
        <w:t>20</w:t>
      </w:r>
      <w:r>
        <w:rPr>
          <w:rFonts w:hint="eastAsia" w:eastAsia="方正小标宋简体"/>
          <w:bCs/>
          <w:sz w:val="46"/>
          <w:szCs w:val="46"/>
          <w:u w:val="single" w:color="FFFFFF"/>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岳阳市静脉产业园管理中心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90609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报告日期：2021年5月28日</w:t>
      </w:r>
    </w:p>
    <w:p>
      <w:pPr>
        <w:autoSpaceDN w:val="0"/>
        <w:jc w:val="center"/>
        <w:textAlignment w:val="center"/>
        <w:rPr>
          <w:rFonts w:eastAsia="仿宋_GB2312"/>
          <w:sz w:val="32"/>
          <w:szCs w:val="32"/>
        </w:rPr>
        <w:sectPr>
          <w:footerReference r:id="rId5" w:type="default"/>
          <w:footerReference r:id="rId6" w:type="even"/>
          <w:pgSz w:w="11906" w:h="16838"/>
          <w:pgMar w:top="1588" w:right="1588" w:bottom="1588" w:left="1588" w:header="851" w:footer="992" w:gutter="0"/>
          <w:pgNumType w:fmt="decimal"/>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64"/>
        <w:gridCol w:w="132"/>
        <w:gridCol w:w="1002"/>
        <w:gridCol w:w="741"/>
        <w:gridCol w:w="110"/>
        <w:gridCol w:w="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彭尧</w:t>
            </w:r>
          </w:p>
        </w:tc>
        <w:tc>
          <w:tcPr>
            <w:tcW w:w="1479"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106" w:type="dxa"/>
            <w:gridSpan w:val="7"/>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18627521226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职能职责概述</w:t>
            </w:r>
          </w:p>
        </w:tc>
        <w:tc>
          <w:tcPr>
            <w:tcW w:w="8146" w:type="dxa"/>
            <w:gridSpan w:val="14"/>
            <w:vAlign w:val="center"/>
          </w:tcPr>
          <w:p>
            <w:pPr>
              <w:autoSpaceDN w:val="0"/>
              <w:spacing w:line="500" w:lineRule="exact"/>
              <w:ind w:firstLine="237" w:firstLineChars="100"/>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1：</w:t>
            </w:r>
            <w:r>
              <w:rPr>
                <w:rFonts w:hint="eastAsia" w:ascii="仿宋_GB2312" w:hAnsi="仿宋_GB2312" w:eastAsia="仿宋_GB2312" w:cs="仿宋_GB2312"/>
                <w:color w:val="000000"/>
                <w:sz w:val="24"/>
              </w:rPr>
              <w:t>贯彻落实国家、省、市的方针政策、法律法规，领导和组织园区各项工作，履行园区各项管理和服务职能。</w:t>
            </w:r>
          </w:p>
          <w:p>
            <w:pPr>
              <w:autoSpaceDN w:val="0"/>
              <w:spacing w:line="500" w:lineRule="exact"/>
              <w:ind w:firstLine="237" w:firstLineChars="100"/>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2：</w:t>
            </w:r>
            <w:r>
              <w:rPr>
                <w:rFonts w:hint="eastAsia" w:ascii="仿宋_GB2312" w:hAnsi="仿宋_GB2312" w:eastAsia="仿宋_GB2312" w:cs="仿宋_GB2312"/>
                <w:color w:val="000000"/>
                <w:sz w:val="24"/>
              </w:rPr>
              <w:t>负责园区的总体发展规划、控制性详细规划和规划环评等编制工作，并经批准后组织实施；</w:t>
            </w:r>
          </w:p>
          <w:p>
            <w:pPr>
              <w:autoSpaceDN w:val="0"/>
              <w:spacing w:line="500" w:lineRule="exact"/>
              <w:ind w:firstLine="237" w:firstLineChars="100"/>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3：</w:t>
            </w:r>
            <w:r>
              <w:rPr>
                <w:rFonts w:hint="eastAsia" w:ascii="仿宋_GB2312" w:hAnsi="仿宋_GB2312" w:eastAsia="仿宋_GB2312" w:cs="仿宋_GB2312"/>
                <w:color w:val="000000"/>
                <w:sz w:val="24"/>
              </w:rPr>
              <w:t>统筹、协调、管理园区的项目招商、建设、生产经营工作，组织协调开展园区及园区项目前期工作和各项审批手续办理，为园区企业提供优质服务；</w:t>
            </w:r>
          </w:p>
          <w:p>
            <w:pPr>
              <w:autoSpaceDN w:val="0"/>
              <w:spacing w:line="500" w:lineRule="exact"/>
              <w:ind w:firstLine="237"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4：负责园区政府投资的基础设施建设、管理、维护工作；</w:t>
            </w:r>
          </w:p>
          <w:p>
            <w:pPr>
              <w:autoSpaceDN w:val="0"/>
              <w:spacing w:line="500" w:lineRule="exact"/>
              <w:ind w:firstLine="237"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5：负责考核园区企业生产经营有关指标，协助做好各类扶持政策的申报工作；</w:t>
            </w:r>
          </w:p>
          <w:p>
            <w:pPr>
              <w:autoSpaceDN w:val="0"/>
              <w:spacing w:line="500" w:lineRule="exact"/>
              <w:ind w:firstLine="237"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6：负责园区内企业安全生产、生态环境保护的宣传、监督管理工作；</w:t>
            </w:r>
          </w:p>
          <w:p>
            <w:pPr>
              <w:autoSpaceDN w:val="0"/>
              <w:spacing w:line="500" w:lineRule="exact"/>
              <w:ind w:firstLine="237"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7：完成市委、市政府和主管部门交办的其他事项。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工作内容</w:t>
            </w:r>
          </w:p>
        </w:tc>
        <w:tc>
          <w:tcPr>
            <w:tcW w:w="8146" w:type="dxa"/>
            <w:gridSpan w:val="14"/>
            <w:vAlign w:val="center"/>
          </w:tcPr>
          <w:p>
            <w:pPr>
              <w:autoSpaceDN w:val="0"/>
              <w:spacing w:line="500" w:lineRule="exact"/>
              <w:ind w:left="482"/>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一、加强单位组织建设，建立管理制度和园区办法；</w:t>
            </w:r>
          </w:p>
          <w:p>
            <w:pPr>
              <w:autoSpaceDN w:val="0"/>
              <w:spacing w:line="500" w:lineRule="exact"/>
              <w:ind w:left="482"/>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二、积极推动生活垃圾发电厂试运营，协调上级明确生活垃圾付费主体；</w:t>
            </w:r>
          </w:p>
          <w:p>
            <w:pPr>
              <w:autoSpaceDN w:val="0"/>
              <w:spacing w:line="500" w:lineRule="exact"/>
              <w:ind w:left="482"/>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三、推动医疗废物集中处置项目建设，使其尽早投入运营；</w:t>
            </w:r>
          </w:p>
          <w:p>
            <w:pPr>
              <w:autoSpaceDN w:val="0"/>
              <w:spacing w:line="500" w:lineRule="exact"/>
              <w:ind w:left="482"/>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四、积极推动炉渣综合利用项目投产运营，解决炉渣去向问题；</w:t>
            </w:r>
          </w:p>
          <w:p>
            <w:pPr>
              <w:autoSpaceDN w:val="0"/>
              <w:spacing w:line="500" w:lineRule="exact"/>
              <w:ind w:left="482"/>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五、加快园区基础设施建设；</w:t>
            </w:r>
          </w:p>
          <w:p>
            <w:pPr>
              <w:autoSpaceDN w:val="0"/>
              <w:spacing w:line="500" w:lineRule="exact"/>
              <w:ind w:left="482"/>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六、推进市厨余垃圾处置项目建设；</w:t>
            </w:r>
          </w:p>
          <w:p>
            <w:pPr>
              <w:autoSpaceDN w:val="0"/>
              <w:spacing w:line="500" w:lineRule="exact"/>
              <w:ind w:left="482"/>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七、罗家坳生活垃圾填埋场生态环境问题整改；</w:t>
            </w:r>
          </w:p>
          <w:p>
            <w:pPr>
              <w:autoSpaceDN w:val="0"/>
              <w:spacing w:line="500" w:lineRule="exact"/>
              <w:ind w:left="482"/>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4"/>
              </w:rPr>
              <w:t>八、加强园区安全生产管理。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36"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vAlign w:val="center"/>
          </w:tcPr>
          <w:p>
            <w:pPr>
              <w:autoSpaceDN w:val="0"/>
              <w:spacing w:line="500" w:lineRule="exact"/>
              <w:ind w:firstLine="474"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一、加强了组织建设，2020年7月，经机关党委批准，正式成立了党支部，完善了中心党支部“五化”建设，严格落实党支部“三会一课”制度，深入开展“三表率一模范”整治机关创建工作。</w:t>
            </w:r>
          </w:p>
          <w:p>
            <w:pPr>
              <w:autoSpaceDN w:val="0"/>
              <w:spacing w:line="500" w:lineRule="exact"/>
              <w:ind w:firstLine="474" w:firstLineChars="200"/>
              <w:jc w:val="left"/>
              <w:textAlignment w:val="center"/>
              <w:rPr>
                <w:rFonts w:ascii="仿宋_GB2312" w:hAnsi="仿宋_GB2312" w:eastAsia="仿宋_GB2312" w:cs="仿宋_GB2312"/>
                <w:sz w:val="24"/>
                <w:u w:val="single" w:color="FFFFFF"/>
              </w:rPr>
            </w:pPr>
            <w:r>
              <w:rPr>
                <w:rFonts w:hint="eastAsia" w:ascii="仿宋_GB2312" w:hAnsi="仿宋_GB2312" w:eastAsia="仿宋_GB2312" w:cs="仿宋_GB2312"/>
                <w:sz w:val="24"/>
              </w:rPr>
              <w:t>二、</w:t>
            </w:r>
            <w:r>
              <w:rPr>
                <w:rFonts w:hint="eastAsia" w:ascii="仿宋_GB2312" w:hAnsi="黑体" w:eastAsia="仿宋_GB2312" w:cs="黑体"/>
                <w:kern w:val="0"/>
                <w:sz w:val="24"/>
              </w:rPr>
              <w:t>园区管理工作初有成效。一是</w:t>
            </w:r>
            <w:r>
              <w:rPr>
                <w:rFonts w:hint="eastAsia" w:ascii="仿宋_GB2312" w:hAnsi="楷体_GB2312" w:eastAsia="仿宋_GB2312" w:cs="楷体_GB2312"/>
                <w:kern w:val="0"/>
                <w:sz w:val="24"/>
              </w:rPr>
              <w:t>生活垃圾发电厂启动点火后收益明显，垃圾处理方式得到改变；</w:t>
            </w:r>
            <w:r>
              <w:rPr>
                <w:rFonts w:hint="eastAsia" w:ascii="仿宋_GB2312" w:hAnsi="黑体" w:eastAsia="仿宋_GB2312" w:cs="黑体"/>
                <w:kern w:val="0"/>
                <w:sz w:val="24"/>
              </w:rPr>
              <w:t>二是</w:t>
            </w:r>
            <w:r>
              <w:rPr>
                <w:rFonts w:hint="eastAsia" w:ascii="仿宋_GB2312" w:hAnsi="楷体_GB2312" w:eastAsia="仿宋_GB2312" w:cs="楷体_GB2312"/>
                <w:sz w:val="24"/>
              </w:rPr>
              <w:t>医疗废物集中处置项目的建设，为疫情防控筑牢最后防线；</w:t>
            </w:r>
            <w:r>
              <w:rPr>
                <w:rFonts w:hint="eastAsia" w:ascii="仿宋_GB2312" w:hAnsi="黑体" w:eastAsia="仿宋_GB2312" w:cs="黑体"/>
                <w:kern w:val="0"/>
                <w:sz w:val="24"/>
              </w:rPr>
              <w:t>三是</w:t>
            </w:r>
            <w:r>
              <w:rPr>
                <w:rFonts w:hint="eastAsia" w:ascii="仿宋_GB2312" w:hAnsi="楷体_GB2312" w:eastAsia="仿宋_GB2312" w:cs="楷体_GB2312"/>
                <w:sz w:val="24"/>
              </w:rPr>
              <w:t>炉渣综合利用项目正式投产运营，炉渣利用有去向；</w:t>
            </w:r>
            <w:r>
              <w:rPr>
                <w:rFonts w:hint="eastAsia" w:ascii="仿宋_GB2312" w:hAnsi="黑体" w:eastAsia="仿宋_GB2312" w:cs="黑体"/>
                <w:kern w:val="0"/>
                <w:sz w:val="24"/>
              </w:rPr>
              <w:t>四是</w:t>
            </w:r>
            <w:r>
              <w:rPr>
                <w:rFonts w:hint="eastAsia" w:ascii="仿宋_GB2312" w:hAnsi="华文楷体" w:eastAsia="仿宋_GB2312" w:cs="华文楷体"/>
                <w:sz w:val="24"/>
              </w:rPr>
              <w:t>园区基础设施建设有计划推进，路网建设基本形成；</w:t>
            </w:r>
            <w:r>
              <w:rPr>
                <w:rFonts w:hint="eastAsia" w:ascii="仿宋_GB2312" w:hAnsi="黑体" w:eastAsia="仿宋_GB2312" w:cs="黑体"/>
                <w:kern w:val="0"/>
                <w:sz w:val="24"/>
              </w:rPr>
              <w:t>五是</w:t>
            </w:r>
            <w:r>
              <w:rPr>
                <w:rFonts w:hint="eastAsia" w:ascii="仿宋_GB2312" w:hAnsi="楷体_GB2312" w:eastAsia="仿宋_GB2312" w:cs="楷体_GB2312"/>
                <w:sz w:val="24"/>
              </w:rPr>
              <w:t>市厨余垃圾处置项目经多方协调，稳步推进有成效；</w:t>
            </w:r>
            <w:r>
              <w:rPr>
                <w:rFonts w:hint="eastAsia" w:ascii="仿宋_GB2312" w:hAnsi="黑体" w:eastAsia="仿宋_GB2312" w:cs="黑体"/>
                <w:kern w:val="0"/>
                <w:sz w:val="24"/>
              </w:rPr>
              <w:t>六是</w:t>
            </w:r>
            <w:r>
              <w:rPr>
                <w:rFonts w:hint="eastAsia" w:ascii="仿宋_GB2312" w:hAnsi="楷体_GB2312" w:eastAsia="仿宋_GB2312" w:cs="楷体_GB2312"/>
                <w:sz w:val="24"/>
              </w:rPr>
              <w:t>罗家坳生活垃圾填埋场生态环境问题整改方法得当，按期完成销号工作。</w:t>
            </w:r>
          </w:p>
          <w:p>
            <w:pPr>
              <w:autoSpaceDN w:val="0"/>
              <w:spacing w:line="500" w:lineRule="exact"/>
              <w:ind w:firstLine="474"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三、加强了制度建设，建立了管理制度和园区办法，以制度管人管事，既增强了队伍的</w:t>
            </w:r>
            <w:r>
              <w:rPr>
                <w:rFonts w:hint="eastAsia" w:ascii="仿宋_GB2312" w:hAnsi="楷体_GB2312" w:eastAsia="仿宋_GB2312" w:cs="楷体_GB2312"/>
                <w:sz w:val="24"/>
              </w:rPr>
              <w:t>凝聚力，又确保了园区工作顺利开展</w:t>
            </w:r>
            <w:r>
              <w:rPr>
                <w:rFonts w:hint="eastAsia" w:ascii="仿宋_GB2312" w:hAnsi="仿宋_GB2312" w:eastAsia="仿宋_GB2312" w:cs="仿宋_GB2312"/>
                <w:sz w:val="24"/>
              </w:rPr>
              <w:t>。</w:t>
            </w:r>
          </w:p>
          <w:p>
            <w:pPr>
              <w:pStyle w:val="6"/>
              <w:widowControl/>
              <w:spacing w:line="500" w:lineRule="exact"/>
              <w:ind w:firstLine="200"/>
              <w:jc w:val="both"/>
              <w:rPr>
                <w:rFonts w:ascii="仿宋_GB2312" w:hAnsi="仿宋_GB2312" w:eastAsia="仿宋_GB2312" w:cs="仿宋_GB2312"/>
                <w:kern w:val="2"/>
              </w:rPr>
            </w:pPr>
            <w:r>
              <w:rPr>
                <w:rFonts w:hint="eastAsia" w:ascii="仿宋_GB2312" w:eastAsia="仿宋_GB2312"/>
              </w:rPr>
              <w:t>四、制定了《</w:t>
            </w:r>
            <w:r>
              <w:rPr>
                <w:rFonts w:hint="eastAsia" w:ascii="仿宋_GB2312" w:eastAsia="仿宋_GB2312"/>
                <w:kern w:val="2"/>
              </w:rPr>
              <w:t>岳阳市静脉产业园管理中心安全工作应急预案</w:t>
            </w:r>
            <w:r>
              <w:rPr>
                <w:rFonts w:hint="eastAsia" w:ascii="仿宋_GB2312" w:eastAsia="仿宋_GB2312"/>
              </w:rPr>
              <w:t>》，</w:t>
            </w:r>
            <w:r>
              <w:rPr>
                <w:rFonts w:hint="eastAsia" w:ascii="仿宋_GB2312" w:eastAsia="仿宋_GB2312"/>
                <w:kern w:val="2"/>
              </w:rPr>
              <w:t>严格履行“四个责任”和“三个必须”，落细落实安全防范措施，牢牢守住安全底线。及时消除安全隐患，坚决遏制各类安全事故发生，全年未发生一起安全事故。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19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682"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19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82"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19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82"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1066.08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1030.00</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19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682"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19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82"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338"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682" w:type="dxa"/>
            <w:gridSpan w:val="3"/>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849" w:type="dxa"/>
            <w:gridSpan w:val="5"/>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34"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51" w:type="dxa"/>
            <w:gridSpan w:val="2"/>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31"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76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34"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51" w:type="dxa"/>
            <w:gridSpan w:val="2"/>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31"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6"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6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51"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31"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6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51"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31"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64.62</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76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64.62</w:t>
            </w:r>
          </w:p>
        </w:tc>
        <w:tc>
          <w:tcPr>
            <w:tcW w:w="851"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1001.46</w:t>
            </w:r>
          </w:p>
        </w:tc>
        <w:tc>
          <w:tcPr>
            <w:tcW w:w="831"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1001.46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6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51"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31"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76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81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6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81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6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81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76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81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6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81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5.84</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5.84(净值）</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5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sz w:val="24"/>
              </w:rPr>
              <w:t>加强了组织建设和队伍建设。</w:t>
            </w:r>
          </w:p>
          <w:p>
            <w:pPr>
              <w:autoSpaceDN w:val="0"/>
              <w:spacing w:line="500" w:lineRule="exact"/>
              <w:jc w:val="left"/>
              <w:textAlignment w:val="center"/>
              <w:rPr>
                <w:rFonts w:ascii="仿宋_GB2312" w:hAnsi="仿宋_GB2312" w:eastAsia="仿宋_GB2312" w:cs="仿宋_GB2312"/>
                <w:color w:val="000000"/>
                <w:sz w:val="24"/>
              </w:rPr>
            </w:pPr>
          </w:p>
          <w:p>
            <w:pPr>
              <w:autoSpaceDN w:val="0"/>
              <w:spacing w:line="500" w:lineRule="exact"/>
              <w:jc w:val="left"/>
              <w:textAlignment w:val="center"/>
              <w:rPr>
                <w:rFonts w:ascii="仿宋_GB2312" w:hAnsi="仿宋_GB2312" w:eastAsia="仿宋_GB2312" w:cs="仿宋_GB2312"/>
                <w:color w:val="000000"/>
                <w:sz w:val="24"/>
              </w:rPr>
            </w:pPr>
          </w:p>
          <w:p>
            <w:pPr>
              <w:autoSpaceDN w:val="0"/>
              <w:spacing w:line="500" w:lineRule="exact"/>
              <w:jc w:val="left"/>
              <w:textAlignment w:val="center"/>
              <w:rPr>
                <w:rFonts w:ascii="仿宋_GB2312" w:hAnsi="仿宋_GB2312" w:eastAsia="仿宋_GB2312" w:cs="仿宋_GB2312"/>
                <w:color w:val="000000"/>
                <w:sz w:val="24"/>
              </w:rPr>
            </w:pPr>
          </w:p>
          <w:p>
            <w:pPr>
              <w:autoSpaceDN w:val="0"/>
              <w:spacing w:line="500" w:lineRule="exact"/>
              <w:jc w:val="left"/>
              <w:textAlignment w:val="center"/>
              <w:rPr>
                <w:rFonts w:ascii="仿宋_GB2312" w:hAnsi="黑体" w:eastAsia="仿宋_GB2312" w:cs="黑体"/>
                <w:kern w:val="0"/>
                <w:sz w:val="24"/>
              </w:rPr>
            </w:pPr>
            <w:r>
              <w:rPr>
                <w:rFonts w:hint="eastAsia" w:ascii="仿宋_GB2312" w:hAnsi="仿宋_GB2312" w:eastAsia="仿宋_GB2312" w:cs="仿宋_GB2312"/>
                <w:color w:val="000000"/>
                <w:sz w:val="24"/>
              </w:rPr>
              <w:t>目标2：积极推进</w:t>
            </w:r>
            <w:r>
              <w:rPr>
                <w:rFonts w:hint="eastAsia" w:ascii="仿宋_GB2312" w:hAnsi="黑体" w:eastAsia="仿宋_GB2312" w:cs="黑体"/>
                <w:kern w:val="0"/>
                <w:sz w:val="24"/>
              </w:rPr>
              <w:t>园区各企业投产运行，同时搞好环保建设。</w:t>
            </w:r>
          </w:p>
          <w:p>
            <w:pPr>
              <w:autoSpaceDN w:val="0"/>
              <w:spacing w:line="500" w:lineRule="exact"/>
              <w:jc w:val="left"/>
              <w:textAlignment w:val="center"/>
              <w:rPr>
                <w:rFonts w:ascii="仿宋_GB2312" w:hAnsi="仿宋_GB2312" w:eastAsia="仿宋_GB2312" w:cs="仿宋_GB2312"/>
                <w:color w:val="000000"/>
                <w:sz w:val="24"/>
              </w:rPr>
            </w:pPr>
          </w:p>
          <w:p>
            <w:pPr>
              <w:autoSpaceDN w:val="0"/>
              <w:spacing w:line="500" w:lineRule="exact"/>
              <w:jc w:val="left"/>
              <w:textAlignment w:val="center"/>
              <w:rPr>
                <w:rFonts w:ascii="仿宋_GB2312" w:hAnsi="仿宋_GB2312" w:eastAsia="仿宋_GB2312" w:cs="仿宋_GB2312"/>
                <w:color w:val="000000"/>
                <w:sz w:val="24"/>
              </w:rPr>
            </w:pPr>
          </w:p>
          <w:p>
            <w:pPr>
              <w:autoSpaceDN w:val="0"/>
              <w:spacing w:line="500" w:lineRule="exact"/>
              <w:jc w:val="left"/>
              <w:textAlignment w:val="center"/>
              <w:rPr>
                <w:rFonts w:ascii="仿宋_GB2312" w:hAnsi="仿宋_GB2312" w:eastAsia="仿宋_GB2312" w:cs="仿宋_GB2312"/>
                <w:color w:val="000000"/>
                <w:sz w:val="24"/>
              </w:rPr>
            </w:pPr>
          </w:p>
          <w:p>
            <w:pPr>
              <w:autoSpaceDN w:val="0"/>
              <w:spacing w:line="500" w:lineRule="exact"/>
              <w:jc w:val="left"/>
              <w:textAlignment w:val="center"/>
              <w:rPr>
                <w:rFonts w:ascii="仿宋_GB2312" w:hAnsi="仿宋_GB2312" w:eastAsia="仿宋_GB2312" w:cs="仿宋_GB2312"/>
                <w:color w:val="000000"/>
                <w:sz w:val="24"/>
              </w:rPr>
            </w:pPr>
          </w:p>
          <w:p>
            <w:pPr>
              <w:autoSpaceDN w:val="0"/>
              <w:spacing w:line="5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目标3：加强园区</w:t>
            </w:r>
            <w:r>
              <w:rPr>
                <w:rFonts w:hint="eastAsia" w:ascii="仿宋_GB2312" w:eastAsia="仿宋_GB2312"/>
              </w:rPr>
              <w:t>安全管理，牢牢守住安全底线。</w:t>
            </w:r>
          </w:p>
        </w:tc>
        <w:tc>
          <w:tcPr>
            <w:tcW w:w="4585" w:type="dxa"/>
            <w:gridSpan w:val="8"/>
            <w:vAlign w:val="center"/>
          </w:tcPr>
          <w:p>
            <w:pPr>
              <w:autoSpaceDN w:val="0"/>
              <w:spacing w:line="5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color w:val="000000"/>
                <w:sz w:val="24"/>
              </w:rPr>
              <w:t>目标1完成情况：</w:t>
            </w:r>
            <w:r>
              <w:rPr>
                <w:rFonts w:hint="eastAsia" w:ascii="仿宋_GB2312" w:hAnsi="仿宋_GB2312" w:eastAsia="仿宋_GB2312" w:cs="仿宋_GB2312"/>
                <w:sz w:val="24"/>
              </w:rPr>
              <w:t>正式成立了党支部，完善了中心党支部“五化”建设。以制度管人管事，既增强了队伍的</w:t>
            </w:r>
            <w:r>
              <w:rPr>
                <w:rFonts w:hint="eastAsia" w:ascii="仿宋_GB2312" w:hAnsi="楷体_GB2312" w:eastAsia="仿宋_GB2312" w:cs="楷体_GB2312"/>
                <w:sz w:val="24"/>
              </w:rPr>
              <w:t>凝聚力，又确保了园区工作顺利开展</w:t>
            </w:r>
            <w:r>
              <w:rPr>
                <w:rFonts w:hint="eastAsia" w:ascii="仿宋_GB2312" w:hAnsi="仿宋_GB2312" w:eastAsia="仿宋_GB2312" w:cs="仿宋_GB2312"/>
                <w:sz w:val="24"/>
              </w:rPr>
              <w:t>。</w:t>
            </w:r>
          </w:p>
          <w:p>
            <w:pPr>
              <w:autoSpaceDN w:val="0"/>
              <w:spacing w:line="500" w:lineRule="exact"/>
              <w:textAlignment w:val="center"/>
              <w:rPr>
                <w:rFonts w:ascii="仿宋_GB2312" w:hAnsi="仿宋_GB2312" w:eastAsia="仿宋_GB2312" w:cs="仿宋_GB2312"/>
                <w:sz w:val="24"/>
              </w:rPr>
            </w:pPr>
            <w:r>
              <w:rPr>
                <w:rFonts w:hint="eastAsia" w:ascii="仿宋_GB2312" w:hAnsi="仿宋_GB2312" w:eastAsia="仿宋_GB2312" w:cs="仿宋_GB2312"/>
                <w:color w:val="000000"/>
                <w:sz w:val="24"/>
              </w:rPr>
              <w:t>目标2完成情况：</w:t>
            </w:r>
            <w:r>
              <w:rPr>
                <w:rFonts w:hint="eastAsia" w:ascii="仿宋_GB2312" w:hAnsi="楷体_GB2312" w:eastAsia="仿宋_GB2312" w:cs="楷体_GB2312"/>
                <w:kern w:val="0"/>
                <w:sz w:val="24"/>
              </w:rPr>
              <w:t>生活垃圾发电厂、</w:t>
            </w:r>
            <w:r>
              <w:rPr>
                <w:rFonts w:hint="eastAsia" w:ascii="仿宋_GB2312" w:hAnsi="楷体_GB2312" w:eastAsia="仿宋_GB2312" w:cs="楷体_GB2312"/>
                <w:sz w:val="24"/>
              </w:rPr>
              <w:t>医疗废物集中处置、炉渣综合利用项目均已投入运营，</w:t>
            </w:r>
            <w:r>
              <w:rPr>
                <w:rFonts w:hint="eastAsia" w:ascii="仿宋_GB2312" w:hAnsi="华文楷体" w:eastAsia="仿宋_GB2312" w:cs="华文楷体"/>
                <w:sz w:val="24"/>
              </w:rPr>
              <w:t>园区基础设施建设有序推进，路网建设基本形成，</w:t>
            </w:r>
            <w:r>
              <w:rPr>
                <w:rFonts w:hint="eastAsia" w:ascii="仿宋_GB2312" w:hAnsi="楷体_GB2312" w:eastAsia="仿宋_GB2312" w:cs="楷体_GB2312"/>
                <w:sz w:val="24"/>
              </w:rPr>
              <w:t>市厨余垃圾处置项目稳步推进，罗家坳生活垃圾填埋场生态环境问题整改及时得当。</w:t>
            </w:r>
          </w:p>
          <w:p>
            <w:pPr>
              <w:autoSpaceDN w:val="0"/>
              <w:spacing w:line="50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目标3完成情况：严格落实园区</w:t>
            </w:r>
            <w:r>
              <w:rPr>
                <w:rFonts w:hint="eastAsia" w:ascii="仿宋_GB2312" w:eastAsia="仿宋_GB2312"/>
              </w:rPr>
              <w:t>安全管理及时消除安全隐患，全年未发生一起安全事故。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5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vAlign w:val="center"/>
          </w:tcPr>
          <w:p>
            <w:pPr>
              <w:autoSpaceDN w:val="0"/>
              <w:spacing w:line="5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各类固体废弃物的处置符合环保要求</w:t>
            </w:r>
          </w:p>
        </w:tc>
        <w:tc>
          <w:tcPr>
            <w:tcW w:w="2684" w:type="dxa"/>
            <w:gridSpan w:val="4"/>
            <w:vAlign w:val="center"/>
          </w:tcPr>
          <w:p>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均符合环保要求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500" w:lineRule="exact"/>
              <w:rPr>
                <w:rFonts w:ascii="仿宋_GB2312" w:hAnsi="仿宋_GB2312" w:eastAsia="仿宋_GB2312" w:cs="仿宋_GB2312"/>
                <w:sz w:val="24"/>
              </w:rPr>
            </w:pPr>
          </w:p>
        </w:tc>
        <w:tc>
          <w:tcPr>
            <w:tcW w:w="2709" w:type="dxa"/>
            <w:gridSpan w:val="5"/>
            <w:vAlign w:val="center"/>
          </w:tcPr>
          <w:p>
            <w:pPr>
              <w:autoSpaceDN w:val="0"/>
              <w:spacing w:line="5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生活垃圾填埋符合相关要求，无污染现象。</w:t>
            </w:r>
          </w:p>
        </w:tc>
        <w:tc>
          <w:tcPr>
            <w:tcW w:w="2684" w:type="dxa"/>
            <w:gridSpan w:val="4"/>
            <w:vAlign w:val="center"/>
          </w:tcPr>
          <w:p>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及时合理处置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500" w:lineRule="exact"/>
              <w:rPr>
                <w:rFonts w:ascii="仿宋_GB2312" w:hAnsi="仿宋_GB2312" w:eastAsia="仿宋_GB2312" w:cs="仿宋_GB2312"/>
                <w:sz w:val="24"/>
              </w:rPr>
            </w:pPr>
          </w:p>
        </w:tc>
        <w:tc>
          <w:tcPr>
            <w:tcW w:w="2709" w:type="dxa"/>
            <w:gridSpan w:val="5"/>
            <w:vAlign w:val="center"/>
          </w:tcPr>
          <w:p>
            <w:pPr>
              <w:autoSpaceDN w:val="0"/>
              <w:spacing w:line="5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园区各企业正常运营，无安全生产事故。</w:t>
            </w:r>
          </w:p>
        </w:tc>
        <w:tc>
          <w:tcPr>
            <w:tcW w:w="2684" w:type="dxa"/>
            <w:gridSpan w:val="4"/>
            <w:vAlign w:val="center"/>
          </w:tcPr>
          <w:p>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正常运营，无安全生产事故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5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vAlign w:val="center"/>
          </w:tcPr>
          <w:p>
            <w:pPr>
              <w:autoSpaceDN w:val="0"/>
              <w:spacing w:line="5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生活垃圾发电项目如期启动，并正常运营。</w:t>
            </w:r>
          </w:p>
        </w:tc>
        <w:tc>
          <w:tcPr>
            <w:tcW w:w="2684" w:type="dxa"/>
            <w:gridSpan w:val="4"/>
            <w:vAlign w:val="center"/>
          </w:tcPr>
          <w:p>
            <w:pPr>
              <w:autoSpaceDN w:val="0"/>
              <w:spacing w:line="500" w:lineRule="exac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正常运营，日焚烧量近1200吨。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500" w:lineRule="exact"/>
              <w:jc w:val="center"/>
              <w:textAlignment w:val="center"/>
              <w:rPr>
                <w:rFonts w:ascii="仿宋_GB2312" w:hAnsi="仿宋_GB2312" w:eastAsia="仿宋_GB2312" w:cs="仿宋_GB2312"/>
                <w:sz w:val="24"/>
              </w:rPr>
            </w:pPr>
          </w:p>
        </w:tc>
        <w:tc>
          <w:tcPr>
            <w:tcW w:w="2709" w:type="dxa"/>
            <w:gridSpan w:val="5"/>
            <w:vAlign w:val="center"/>
          </w:tcPr>
          <w:p>
            <w:pPr>
              <w:autoSpaceDN w:val="0"/>
              <w:spacing w:line="5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建成医疗废物集中处置中心</w:t>
            </w:r>
          </w:p>
        </w:tc>
        <w:tc>
          <w:tcPr>
            <w:tcW w:w="2684" w:type="dxa"/>
            <w:gridSpan w:val="4"/>
            <w:vAlign w:val="center"/>
          </w:tcPr>
          <w:p>
            <w:pPr>
              <w:autoSpaceDN w:val="0"/>
              <w:spacing w:line="500" w:lineRule="exact"/>
              <w:jc w:val="center"/>
              <w:textAlignment w:val="center"/>
              <w:rPr>
                <w:rFonts w:ascii="仿宋_GB2312" w:hAnsi="仿宋_GB2312" w:eastAsia="仿宋_GB2312" w:cs="仿宋_GB2312"/>
                <w:b/>
                <w:color w:val="000000"/>
                <w:sz w:val="24"/>
              </w:rPr>
            </w:pPr>
            <w:r>
              <w:rPr>
                <w:rFonts w:hint="eastAsia" w:ascii="仿宋_GB2312" w:hAnsi="宋体" w:eastAsia="仿宋_GB2312" w:cs="宋体"/>
                <w:kern w:val="0"/>
                <w:sz w:val="24"/>
              </w:rPr>
              <w:t>处置新冠病毒医疗废弃物138.62吨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500" w:lineRule="exact"/>
              <w:jc w:val="center"/>
              <w:textAlignment w:val="center"/>
              <w:rPr>
                <w:rFonts w:ascii="仿宋_GB2312" w:hAnsi="仿宋_GB2312" w:eastAsia="仿宋_GB2312" w:cs="仿宋_GB2312"/>
                <w:sz w:val="24"/>
              </w:rPr>
            </w:pPr>
          </w:p>
        </w:tc>
        <w:tc>
          <w:tcPr>
            <w:tcW w:w="2709" w:type="dxa"/>
            <w:gridSpan w:val="5"/>
            <w:vAlign w:val="center"/>
          </w:tcPr>
          <w:p>
            <w:pPr>
              <w:autoSpaceDN w:val="0"/>
              <w:spacing w:line="5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合理处置生活垃圾焚烧后的炉渣</w:t>
            </w:r>
          </w:p>
        </w:tc>
        <w:tc>
          <w:tcPr>
            <w:tcW w:w="2684" w:type="dxa"/>
            <w:gridSpan w:val="4"/>
            <w:vAlign w:val="center"/>
          </w:tcPr>
          <w:p>
            <w:pPr>
              <w:autoSpaceDN w:val="0"/>
              <w:spacing w:line="500" w:lineRule="exac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综合利用处置炉渣11.14万吨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500" w:lineRule="exact"/>
              <w:jc w:val="center"/>
              <w:textAlignment w:val="center"/>
              <w:rPr>
                <w:rFonts w:ascii="仿宋_GB2312" w:hAnsi="仿宋_GB2312" w:eastAsia="仿宋_GB2312" w:cs="仿宋_GB2312"/>
                <w:sz w:val="24"/>
              </w:rPr>
            </w:pPr>
          </w:p>
        </w:tc>
        <w:tc>
          <w:tcPr>
            <w:tcW w:w="2709" w:type="dxa"/>
            <w:gridSpan w:val="5"/>
            <w:vAlign w:val="center"/>
          </w:tcPr>
          <w:p>
            <w:pPr>
              <w:widowControl/>
              <w:spacing w:line="500" w:lineRule="exact"/>
              <w:jc w:val="left"/>
              <w:rPr>
                <w:rFonts w:ascii="仿宋_GB2312" w:hAnsi="宋体" w:eastAsia="仿宋_GB2312" w:cs="宋体"/>
                <w:kern w:val="0"/>
                <w:sz w:val="24"/>
              </w:rPr>
            </w:pPr>
            <w:r>
              <w:rPr>
                <w:rFonts w:hint="eastAsia" w:ascii="仿宋_GB2312" w:hAnsi="宋体" w:eastAsia="仿宋_GB2312" w:cs="宋体"/>
                <w:kern w:val="0"/>
                <w:sz w:val="24"/>
              </w:rPr>
              <w:t>园区基础设施建设按计划如期完成</w:t>
            </w:r>
          </w:p>
        </w:tc>
        <w:tc>
          <w:tcPr>
            <w:tcW w:w="2684" w:type="dxa"/>
            <w:gridSpan w:val="4"/>
            <w:vAlign w:val="center"/>
          </w:tcPr>
          <w:p>
            <w:pPr>
              <w:autoSpaceDN w:val="0"/>
              <w:spacing w:line="500" w:lineRule="exact"/>
              <w:jc w:val="center"/>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已完成物流与垃圾运输通道、自来水管网、园区污水管网、电网并网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500" w:lineRule="exact"/>
              <w:jc w:val="center"/>
              <w:textAlignment w:val="center"/>
              <w:rPr>
                <w:rFonts w:ascii="仿宋_GB2312" w:hAnsi="仿宋_GB2312" w:eastAsia="仿宋_GB2312" w:cs="仿宋_GB2312"/>
                <w:sz w:val="24"/>
              </w:rPr>
            </w:pPr>
          </w:p>
        </w:tc>
        <w:tc>
          <w:tcPr>
            <w:tcW w:w="2709" w:type="dxa"/>
            <w:gridSpan w:val="5"/>
            <w:tcBorders>
              <w:bottom w:val="single" w:color="auto" w:sz="4" w:space="0"/>
            </w:tcBorders>
            <w:vAlign w:val="center"/>
          </w:tcPr>
          <w:p>
            <w:pPr>
              <w:widowControl/>
              <w:spacing w:line="500" w:lineRule="exact"/>
              <w:jc w:val="left"/>
              <w:rPr>
                <w:rFonts w:ascii="仿宋_GB2312" w:hAnsi="宋体" w:eastAsia="仿宋_GB2312" w:cs="宋体"/>
                <w:kern w:val="0"/>
                <w:sz w:val="24"/>
              </w:rPr>
            </w:pPr>
            <w:r>
              <w:rPr>
                <w:rFonts w:hint="eastAsia" w:ascii="仿宋_GB2312" w:hAnsi="宋体" w:eastAsia="仿宋_GB2312" w:cs="宋体"/>
                <w:kern w:val="0"/>
                <w:sz w:val="24"/>
              </w:rPr>
              <w:t>整改生活垃圾填埋场生态环境问题</w:t>
            </w:r>
          </w:p>
        </w:tc>
        <w:tc>
          <w:tcPr>
            <w:tcW w:w="2684" w:type="dxa"/>
            <w:gridSpan w:val="4"/>
            <w:tcBorders>
              <w:bottom w:val="single" w:color="auto" w:sz="4" w:space="0"/>
            </w:tcBorders>
            <w:vAlign w:val="center"/>
          </w:tcPr>
          <w:p>
            <w:pPr>
              <w:autoSpaceDN w:val="0"/>
              <w:spacing w:line="5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整改问题35个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5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tcBorders>
              <w:bottom w:val="single" w:color="auto" w:sz="4" w:space="0"/>
            </w:tcBorders>
            <w:vAlign w:val="center"/>
          </w:tcPr>
          <w:p>
            <w:pPr>
              <w:widowControl/>
              <w:spacing w:line="500" w:lineRule="exact"/>
              <w:jc w:val="left"/>
              <w:rPr>
                <w:rFonts w:ascii="仿宋_GB2312" w:hAnsi="宋体" w:eastAsia="仿宋_GB2312" w:cs="宋体"/>
                <w:kern w:val="0"/>
                <w:sz w:val="24"/>
              </w:rPr>
            </w:pPr>
            <w:r>
              <w:rPr>
                <w:rFonts w:hint="eastAsia" w:ascii="仿宋_GB2312" w:hAnsi="宋体" w:eastAsia="仿宋_GB2312" w:cs="宋体"/>
                <w:kern w:val="0"/>
                <w:sz w:val="24"/>
              </w:rPr>
              <w:t>各类固体废弃物能及时收纳、合理处置。</w:t>
            </w:r>
          </w:p>
        </w:tc>
        <w:tc>
          <w:tcPr>
            <w:tcW w:w="2684" w:type="dxa"/>
            <w:gridSpan w:val="4"/>
            <w:tcBorders>
              <w:bottom w:val="single" w:color="auto" w:sz="4" w:space="0"/>
            </w:tcBorders>
            <w:vAlign w:val="center"/>
          </w:tcPr>
          <w:p>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各类固体废弃物均能及时收纳、合理处置。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500" w:lineRule="exact"/>
              <w:jc w:val="center"/>
              <w:textAlignment w:val="center"/>
              <w:rPr>
                <w:rFonts w:ascii="仿宋_GB2312" w:hAnsi="仿宋_GB2312" w:eastAsia="仿宋_GB2312" w:cs="仿宋_GB2312"/>
                <w:color w:val="000000"/>
                <w:sz w:val="24"/>
              </w:rPr>
            </w:pPr>
          </w:p>
        </w:tc>
        <w:tc>
          <w:tcPr>
            <w:tcW w:w="2709" w:type="dxa"/>
            <w:gridSpan w:val="5"/>
            <w:tcBorders>
              <w:top w:val="single" w:color="auto" w:sz="4" w:space="0"/>
            </w:tcBorders>
            <w:vAlign w:val="center"/>
          </w:tcPr>
          <w:p>
            <w:pPr>
              <w:widowControl/>
              <w:spacing w:line="500" w:lineRule="exact"/>
              <w:jc w:val="left"/>
              <w:rPr>
                <w:rFonts w:ascii="仿宋_GB2312" w:hAnsi="宋体" w:eastAsia="仿宋_GB2312" w:cs="宋体"/>
                <w:kern w:val="0"/>
                <w:sz w:val="24"/>
              </w:rPr>
            </w:pPr>
            <w:r>
              <w:rPr>
                <w:rFonts w:hint="eastAsia" w:ascii="仿宋_GB2312" w:hAnsi="宋体" w:eastAsia="仿宋_GB2312" w:cs="宋体"/>
                <w:kern w:val="0"/>
                <w:sz w:val="24"/>
              </w:rPr>
              <w:t>园区各项建设工作按年初计划如期完成。</w:t>
            </w:r>
          </w:p>
        </w:tc>
        <w:tc>
          <w:tcPr>
            <w:tcW w:w="2684" w:type="dxa"/>
            <w:gridSpan w:val="4"/>
            <w:tcBorders>
              <w:top w:val="single" w:color="auto" w:sz="4" w:space="0"/>
            </w:tcBorders>
            <w:vAlign w:val="center"/>
          </w:tcPr>
          <w:p>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按年初计划如期完成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5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vAlign w:val="center"/>
          </w:tcPr>
          <w:p>
            <w:pPr>
              <w:widowControl/>
              <w:spacing w:line="500" w:lineRule="exact"/>
              <w:jc w:val="left"/>
              <w:rPr>
                <w:rFonts w:ascii="仿宋_GB2312" w:hAnsi="宋体" w:eastAsia="仿宋_GB2312" w:cs="宋体"/>
                <w:kern w:val="0"/>
                <w:sz w:val="24"/>
              </w:rPr>
            </w:pPr>
            <w:r>
              <w:rPr>
                <w:rFonts w:hint="eastAsia" w:ascii="仿宋_GB2312" w:hAnsi="宋体" w:eastAsia="仿宋_GB2312" w:cs="宋体"/>
                <w:kern w:val="0"/>
                <w:sz w:val="24"/>
              </w:rPr>
              <w:t>经费支出控制在年初预算范围内。</w:t>
            </w:r>
          </w:p>
        </w:tc>
        <w:tc>
          <w:tcPr>
            <w:tcW w:w="2684" w:type="dxa"/>
            <w:gridSpan w:val="4"/>
            <w:vAlign w:val="center"/>
          </w:tcPr>
          <w:p>
            <w:pPr>
              <w:autoSpaceDN w:val="0"/>
              <w:spacing w:line="5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无超预算支出情况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5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vAlign w:val="center"/>
          </w:tcPr>
          <w:p>
            <w:pPr>
              <w:autoSpaceDN w:val="0"/>
              <w:spacing w:line="5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是否对城市建设及改善城市环境起到一定的作用。</w:t>
            </w:r>
          </w:p>
        </w:tc>
        <w:tc>
          <w:tcPr>
            <w:tcW w:w="2684" w:type="dxa"/>
            <w:gridSpan w:val="4"/>
            <w:vAlign w:val="center"/>
          </w:tcPr>
          <w:p>
            <w:pPr>
              <w:autoSpaceDN w:val="0"/>
              <w:spacing w:line="500" w:lineRule="exact"/>
              <w:textAlignment w:val="center"/>
              <w:rPr>
                <w:rFonts w:ascii="仿宋_GB2312" w:hAnsi="仿宋_GB2312" w:eastAsia="仿宋_GB2312" w:cs="仿宋_GB2312"/>
                <w:b/>
                <w:color w:val="000000"/>
                <w:sz w:val="24"/>
              </w:rPr>
            </w:pPr>
            <w:r>
              <w:rPr>
                <w:rFonts w:hint="eastAsia" w:ascii="仿宋_GB2312" w:hAnsi="宋体" w:eastAsia="仿宋_GB2312" w:cs="宋体"/>
                <w:kern w:val="0"/>
                <w:sz w:val="24"/>
              </w:rPr>
              <w:t>城市固体废弃物的集中处理、综合利用，既保护了环境又节约了资源。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5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5"/>
            <w:vAlign w:val="center"/>
          </w:tcPr>
          <w:p>
            <w:pPr>
              <w:autoSpaceDN w:val="0"/>
              <w:spacing w:line="5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是否产生一定的经济效益</w:t>
            </w:r>
          </w:p>
        </w:tc>
        <w:tc>
          <w:tcPr>
            <w:tcW w:w="2684" w:type="dxa"/>
            <w:gridSpan w:val="4"/>
            <w:vAlign w:val="center"/>
          </w:tcPr>
          <w:p>
            <w:pPr>
              <w:autoSpaceDN w:val="0"/>
              <w:spacing w:line="500" w:lineRule="exact"/>
              <w:jc w:val="center"/>
              <w:textAlignment w:val="center"/>
              <w:rPr>
                <w:rFonts w:ascii="仿宋_GB2312" w:hAnsi="仿宋_GB2312" w:eastAsia="仿宋_GB2312" w:cs="仿宋_GB2312"/>
                <w:color w:val="000000"/>
                <w:sz w:val="24"/>
              </w:rPr>
            </w:pPr>
            <w:r>
              <w:rPr>
                <w:rFonts w:hint="eastAsia" w:eastAsia="仿宋_GB2312"/>
                <w:kern w:val="0"/>
                <w:sz w:val="24"/>
              </w:rPr>
              <w:t>实施减量化、再循环、资源化的循环经济模式，形成了一定规模的循环经济生态工业链。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5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5"/>
            <w:vAlign w:val="center"/>
          </w:tcPr>
          <w:p>
            <w:pPr>
              <w:autoSpaceDN w:val="0"/>
              <w:spacing w:line="50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是否产生一定的生态效益</w:t>
            </w:r>
          </w:p>
        </w:tc>
        <w:tc>
          <w:tcPr>
            <w:tcW w:w="2684" w:type="dxa"/>
            <w:gridSpan w:val="4"/>
            <w:vAlign w:val="center"/>
          </w:tcPr>
          <w:p>
            <w:pPr>
              <w:autoSpaceDN w:val="0"/>
              <w:spacing w:line="500" w:lineRule="exact"/>
              <w:jc w:val="center"/>
              <w:textAlignment w:val="center"/>
              <w:rPr>
                <w:rFonts w:ascii="仿宋_GB2312" w:hAnsi="仿宋_GB2312" w:eastAsia="仿宋_GB2312" w:cs="仿宋_GB2312"/>
                <w:b/>
                <w:color w:val="000000"/>
                <w:sz w:val="24"/>
              </w:rPr>
            </w:pPr>
            <w:r>
              <w:rPr>
                <w:rFonts w:hint="eastAsia" w:ascii="仿宋_GB2312" w:hAnsi="宋体" w:eastAsia="仿宋_GB2312" w:cs="宋体"/>
                <w:kern w:val="0"/>
                <w:sz w:val="24"/>
              </w:rPr>
              <w:t>减少了环境污染，优化了城市环境。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5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vAlign w:val="center"/>
          </w:tcPr>
          <w:p>
            <w:pPr>
              <w:autoSpaceDN w:val="0"/>
              <w:spacing w:line="5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满意率达90%以上</w:t>
            </w:r>
          </w:p>
        </w:tc>
        <w:tc>
          <w:tcPr>
            <w:tcW w:w="2684" w:type="dxa"/>
            <w:gridSpan w:val="4"/>
            <w:vAlign w:val="center"/>
          </w:tcPr>
          <w:p>
            <w:pPr>
              <w:autoSpaceDN w:val="0"/>
              <w:spacing w:line="500" w:lineRule="exact"/>
              <w:ind w:firstLine="948" w:firstLineChars="4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满意率达94%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何红奎</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主   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eastAsia="仿宋_GB2312"/>
                <w:sz w:val="24"/>
              </w:rPr>
              <w:t>市静脉产业园管理中心</w:t>
            </w:r>
          </w:p>
        </w:tc>
        <w:tc>
          <w:tcPr>
            <w:tcW w:w="310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徐 敖</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eastAsia="仿宋_GB2312"/>
                <w:sz w:val="24"/>
              </w:rPr>
              <w:t>市静脉产业园管理中心</w:t>
            </w:r>
          </w:p>
        </w:tc>
        <w:tc>
          <w:tcPr>
            <w:tcW w:w="310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杜 猛</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eastAsia="仿宋_GB2312"/>
                <w:sz w:val="24"/>
              </w:rPr>
              <w:t>市静脉产业园管理中心</w:t>
            </w:r>
          </w:p>
        </w:tc>
        <w:tc>
          <w:tcPr>
            <w:tcW w:w="310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彭 尧</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eastAsia="仿宋_GB2312"/>
                <w:sz w:val="24"/>
              </w:rPr>
              <w:t>市静脉产业园管理中心</w:t>
            </w:r>
          </w:p>
        </w:tc>
        <w:tc>
          <w:tcPr>
            <w:tcW w:w="310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6"/>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color w:val="FF0000"/>
          <w:sz w:val="28"/>
          <w:szCs w:val="28"/>
        </w:rPr>
      </w:pPr>
      <w:r>
        <w:rPr>
          <w:rFonts w:hint="eastAsia" w:eastAsia="仿宋_GB2312" w:cs="仿宋_GB2312"/>
          <w:bCs/>
          <w:sz w:val="28"/>
          <w:szCs w:val="28"/>
        </w:rPr>
        <w:t>填报人（签名）：</w:t>
      </w:r>
      <w:r>
        <w:rPr>
          <w:rFonts w:hint="eastAsia" w:eastAsia="仿宋_GB2312" w:cs="仿宋_GB2312"/>
          <w:bCs/>
          <w:color w:val="FF0000"/>
          <w:sz w:val="28"/>
          <w:szCs w:val="28"/>
        </w:rPr>
        <w:t xml:space="preserve"> </w:t>
      </w:r>
      <w:r>
        <w:rPr>
          <w:rFonts w:hint="eastAsia" w:eastAsia="仿宋_GB2312" w:cs="仿宋_GB2312"/>
          <w:bCs/>
          <w:sz w:val="28"/>
          <w:szCs w:val="28"/>
        </w:rPr>
        <w:t xml:space="preserve">                联系电话：</w:t>
      </w:r>
      <w:r>
        <w:rPr>
          <w:rFonts w:hint="eastAsia" w:eastAsia="仿宋_GB2312" w:cs="仿宋_GB2312"/>
          <w:bCs/>
          <w:color w:val="FF0000"/>
          <w:sz w:val="28"/>
          <w:szCs w:val="28"/>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exact"/>
              <w:jc w:val="center"/>
              <w:rPr>
                <w:rFonts w:ascii="黑体" w:hAnsi="黑体" w:eastAsia="黑体" w:cs="黑体"/>
                <w:b/>
                <w:bCs/>
                <w:sz w:val="32"/>
                <w:szCs w:val="32"/>
              </w:rPr>
            </w:pPr>
            <w:r>
              <w:rPr>
                <w:rFonts w:hint="eastAsia" w:ascii="黑体" w:hAnsi="黑体" w:eastAsia="黑体" w:cs="黑体"/>
                <w:b/>
                <w:bCs/>
                <w:sz w:val="32"/>
                <w:szCs w:val="32"/>
              </w:rPr>
              <w:t>五、评价报告综述</w:t>
            </w:r>
          </w:p>
          <w:p>
            <w:pPr>
              <w:spacing w:line="560" w:lineRule="exact"/>
              <w:rPr>
                <w:rFonts w:eastAsia="仿宋_GB2312"/>
                <w:sz w:val="28"/>
                <w:szCs w:val="28"/>
              </w:rPr>
            </w:pPr>
          </w:p>
          <w:p>
            <w:pPr>
              <w:spacing w:line="560" w:lineRule="exact"/>
              <w:ind w:firstLine="554" w:firstLineChars="200"/>
              <w:rPr>
                <w:rFonts w:ascii="黑体" w:hAnsi="黑体" w:eastAsia="黑体" w:cs="黑体"/>
                <w:b/>
                <w:bCs/>
                <w:sz w:val="28"/>
                <w:szCs w:val="28"/>
              </w:rPr>
            </w:pPr>
            <w:r>
              <w:rPr>
                <w:rFonts w:hint="eastAsia" w:ascii="黑体" w:hAnsi="黑体" w:eastAsia="黑体" w:cs="黑体"/>
                <w:b/>
                <w:bCs/>
                <w:sz w:val="28"/>
                <w:szCs w:val="28"/>
              </w:rPr>
              <w:t>一、单位概况</w:t>
            </w:r>
          </w:p>
          <w:p>
            <w:pPr>
              <w:spacing w:line="560" w:lineRule="exact"/>
              <w:ind w:firstLine="554"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（一）单位基本情况</w:t>
            </w:r>
          </w:p>
          <w:p>
            <w:pPr>
              <w:spacing w:line="560" w:lineRule="exact"/>
              <w:ind w:firstLine="554" w:firstLineChars="200"/>
              <w:rPr>
                <w:rFonts w:ascii="仿宋_GB2312" w:hAnsi="仿宋_GB2312" w:eastAsia="仿宋_GB2312" w:cs="仿宋_GB2312"/>
                <w:bCs/>
                <w:sz w:val="28"/>
                <w:szCs w:val="28"/>
              </w:rPr>
            </w:pPr>
            <w:r>
              <w:rPr>
                <w:rFonts w:hint="eastAsia" w:eastAsia="仿宋_GB2312"/>
                <w:sz w:val="28"/>
                <w:szCs w:val="28"/>
              </w:rPr>
              <w:t>岳阳市静脉产业园管理中心</w:t>
            </w:r>
            <w:r>
              <w:rPr>
                <w:rFonts w:hint="eastAsia" w:ascii="仿宋_GB2312" w:hAnsi="仿宋_GB2312" w:eastAsia="仿宋_GB2312" w:cs="仿宋_GB2312"/>
                <w:bCs/>
                <w:sz w:val="28"/>
                <w:szCs w:val="28"/>
              </w:rPr>
              <w:t>是岳阳市城市管理和综合执法局下属全额财政拨款二级机构，事业单位编制。编制人数9人，实际人数9人。</w:t>
            </w:r>
          </w:p>
          <w:p>
            <w:pPr>
              <w:spacing w:line="560" w:lineRule="exact"/>
              <w:ind w:firstLine="554" w:firstLineChars="200"/>
              <w:rPr>
                <w:rFonts w:ascii="仿宋_GB2312" w:hAnsi="仿宋_GB2312" w:eastAsia="仿宋_GB2312" w:cs="仿宋_GB2312"/>
                <w:bCs/>
                <w:color w:val="FF0000"/>
                <w:sz w:val="28"/>
                <w:szCs w:val="28"/>
              </w:rPr>
            </w:pPr>
            <w:r>
              <w:rPr>
                <w:rFonts w:hint="eastAsia" w:eastAsia="仿宋_GB2312"/>
                <w:sz w:val="28"/>
                <w:szCs w:val="28"/>
              </w:rPr>
              <w:t>市静脉产业园管理中心</w:t>
            </w:r>
            <w:r>
              <w:rPr>
                <w:rFonts w:hint="eastAsia" w:ascii="仿宋_GB2312" w:hAnsi="仿宋_GB2312" w:eastAsia="仿宋_GB2312" w:cs="仿宋_GB2312"/>
                <w:bCs/>
                <w:sz w:val="28"/>
                <w:szCs w:val="28"/>
              </w:rPr>
              <w:t>主要职能有：贯彻落实国家、省、市的方针政策、法律法规，领导和组织园区各项工作，履行园区各项管理和服务职能。负责园区的总体发展规划、控制性详细规划和规划环评等编制工作，并经批准后组织实施；统筹、协调、管理园区的项目招商、建设、生产经营工作，组织协调开展园区及园区项目前期工作和各项审批手续办理，为园区企业提供优质服务；负责园区政府投资的基础设施建设、管理、维护工作；负责考核园区企业生产经营有关指标，协助做好各类扶持政策的申报工作；负责园区内企业安全生产、生态环境保护的宣传、监督管理工作；完成市委、市政府和主管部门交办的其他事项。</w:t>
            </w:r>
          </w:p>
          <w:p>
            <w:pPr>
              <w:spacing w:line="560" w:lineRule="exact"/>
              <w:ind w:firstLine="554"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（二）整体支出规模、使用方向和主要内容、涉及范围等</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2020年度，单位实际支出 64.62万元，其中基本支出0万元，项目支出64.62万元。2020年无基本支出的原因为新成立单位，人员工资在局系统内原调入单位发放，项目支出主要列支</w:t>
            </w:r>
            <w:r>
              <w:rPr>
                <w:rFonts w:hint="eastAsia" w:eastAsia="仿宋_GB2312"/>
                <w:kern w:val="0"/>
                <w:sz w:val="28"/>
                <w:szCs w:val="28"/>
              </w:rPr>
              <w:t>园区管理和罗家坳生活垃圾填埋场环境综合整治经费。</w:t>
            </w:r>
          </w:p>
          <w:p>
            <w:pPr>
              <w:spacing w:line="560" w:lineRule="exact"/>
              <w:ind w:firstLine="554" w:firstLineChars="200"/>
              <w:rPr>
                <w:rFonts w:ascii="黑体" w:hAnsi="黑体" w:eastAsia="黑体" w:cs="黑体"/>
                <w:b/>
                <w:bCs/>
                <w:sz w:val="28"/>
                <w:szCs w:val="28"/>
              </w:rPr>
            </w:pPr>
            <w:r>
              <w:rPr>
                <w:rFonts w:hint="eastAsia" w:ascii="黑体" w:hAnsi="黑体" w:eastAsia="黑体" w:cs="黑体"/>
                <w:b/>
                <w:bCs/>
                <w:sz w:val="28"/>
                <w:szCs w:val="28"/>
              </w:rPr>
              <w:t>二、单位整体支出管理及使用情况</w:t>
            </w:r>
          </w:p>
          <w:p>
            <w:pPr>
              <w:spacing w:line="560" w:lineRule="exact"/>
              <w:ind w:firstLine="554"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（一）基本支出</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本单位为新成立单位，人员工资在局系统内原调入单位发放，2020年度基本支出0万元。</w:t>
            </w:r>
          </w:p>
          <w:p>
            <w:pPr>
              <w:spacing w:line="560" w:lineRule="exact"/>
              <w:ind w:firstLine="554"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（二）专项支出</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1、专项资金安排落实、总投入和实际使用等情况分析</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2020年，项目资金预算1066.08 万元，项目支出 64.62万元，主要用于</w:t>
            </w:r>
            <w:r>
              <w:rPr>
                <w:rFonts w:hint="eastAsia" w:eastAsia="仿宋_GB2312"/>
                <w:kern w:val="0"/>
                <w:sz w:val="28"/>
                <w:szCs w:val="28"/>
              </w:rPr>
              <w:t>园区管理和罗家坳生活垃圾填埋场环境综合整治经费</w:t>
            </w:r>
            <w:r>
              <w:rPr>
                <w:rFonts w:hint="eastAsia" w:ascii="仿宋_GB2312" w:hAnsi="仿宋_GB2312" w:eastAsia="仿宋_GB2312" w:cs="仿宋_GB2312"/>
                <w:bCs/>
                <w:sz w:val="28"/>
                <w:szCs w:val="28"/>
              </w:rPr>
              <w:t>（由于</w:t>
            </w:r>
            <w:r>
              <w:rPr>
                <w:rFonts w:hint="eastAsia" w:eastAsia="仿宋_GB2312"/>
                <w:kern w:val="0"/>
                <w:sz w:val="28"/>
                <w:szCs w:val="28"/>
              </w:rPr>
              <w:t>罗家坳生活垃圾填埋场</w:t>
            </w:r>
            <w:r>
              <w:rPr>
                <w:rFonts w:hint="eastAsia" w:ascii="仿宋_GB2312" w:hAnsi="仿宋_GB2312" w:eastAsia="仿宋_GB2312" w:cs="仿宋_GB2312"/>
                <w:bCs/>
                <w:sz w:val="28"/>
                <w:szCs w:val="28"/>
              </w:rPr>
              <w:t>项目正在建设期未达到付款条件，该笔2020年12月拨入的项目资金1000万元结转下年支付）。预算执行过程中严格控制各专项支出规模，未出现超预算开支的情况。</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2、专项资金管理情况分析</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结合本单位实际情况，运用《财务制度》、《预算业务管理制度》，从预算管理职责，预算编制，预算审批与分解下达流程，预算的执行、控制与调整、决算与绩效评价等方面对专项资金进行管理。做到专项资金预算编制有目标、预算执行有监控、预算完成有评价、评价结果有反馈、反馈结果有应用。</w:t>
            </w:r>
          </w:p>
          <w:p>
            <w:pPr>
              <w:spacing w:line="560" w:lineRule="exact"/>
              <w:ind w:firstLine="554" w:firstLineChars="200"/>
              <w:rPr>
                <w:rFonts w:ascii="黑体" w:hAnsi="黑体" w:eastAsia="黑体" w:cs="黑体"/>
                <w:b/>
                <w:bCs/>
                <w:sz w:val="28"/>
                <w:szCs w:val="28"/>
              </w:rPr>
            </w:pPr>
            <w:r>
              <w:rPr>
                <w:rFonts w:hint="eastAsia" w:ascii="黑体" w:hAnsi="黑体" w:eastAsia="黑体" w:cs="黑体"/>
                <w:b/>
                <w:bCs/>
                <w:sz w:val="28"/>
                <w:szCs w:val="28"/>
              </w:rPr>
              <w:t>三、单位专项组织实施情况</w:t>
            </w:r>
          </w:p>
          <w:p>
            <w:pPr>
              <w:spacing w:line="560" w:lineRule="exact"/>
              <w:ind w:firstLine="554"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（一）专项组织情况分析</w:t>
            </w:r>
          </w:p>
          <w:p>
            <w:pPr>
              <w:spacing w:line="560" w:lineRule="exact"/>
              <w:ind w:firstLine="554"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2020年，项目主要有</w:t>
            </w:r>
            <w:r>
              <w:rPr>
                <w:rFonts w:hint="eastAsia" w:eastAsia="仿宋_GB2312"/>
                <w:kern w:val="0"/>
                <w:sz w:val="28"/>
                <w:szCs w:val="28"/>
              </w:rPr>
              <w:t>园区管理和罗家坳生活垃圾填埋场环境综合整治，</w:t>
            </w:r>
          </w:p>
          <w:p>
            <w:pPr>
              <w:spacing w:line="560" w:lineRule="exact"/>
              <w:rPr>
                <w:rFonts w:ascii="仿宋_GB2312" w:hAnsi="仿宋_GB2312" w:eastAsia="仿宋_GB2312" w:cs="仿宋_GB2312"/>
                <w:bCs/>
                <w:color w:val="FF0000"/>
                <w:sz w:val="28"/>
                <w:szCs w:val="28"/>
              </w:rPr>
            </w:pPr>
            <w:r>
              <w:rPr>
                <w:rFonts w:hint="eastAsia" w:ascii="仿宋_GB2312" w:hAnsi="仿宋_GB2312" w:eastAsia="仿宋_GB2312" w:cs="仿宋_GB2312"/>
                <w:sz w:val="28"/>
                <w:szCs w:val="28"/>
              </w:rPr>
              <w:t>各项目支出按照年初预算，并结合各项目实际按《</w:t>
            </w:r>
            <w:r>
              <w:rPr>
                <w:rFonts w:hint="eastAsia" w:ascii="仿宋_GB2312" w:hAnsi="仿宋_GB2312" w:eastAsia="仿宋_GB2312" w:cs="仿宋_GB2312"/>
                <w:bCs/>
                <w:sz w:val="28"/>
                <w:szCs w:val="28"/>
              </w:rPr>
              <w:t>政府采购业务管理制度》、</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内控管理制度》等制度组织了采购，严格按照政府采购程序办理手续。</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pStyle w:val="6"/>
              <w:widowControl/>
              <w:spacing w:line="560" w:lineRule="exact"/>
              <w:ind w:firstLine="474" w:firstLineChars="200"/>
              <w:rPr>
                <w:rFonts w:ascii="黑体" w:hAnsi="黑体" w:eastAsia="黑体" w:cs="黑体"/>
                <w:color w:val="333333"/>
                <w:sz w:val="32"/>
                <w:szCs w:val="32"/>
              </w:rPr>
            </w:pPr>
            <w:r>
              <w:rPr>
                <w:rFonts w:hint="eastAsia"/>
              </w:rPr>
              <w:t xml:space="preserve">    </w:t>
            </w:r>
            <w:r>
              <w:rPr>
                <w:rFonts w:hint="eastAsia" w:ascii="仿宋_GB2312" w:eastAsia="仿宋_GB2312"/>
                <w:sz w:val="28"/>
                <w:szCs w:val="28"/>
              </w:rPr>
              <w:t>为规范园区服务与管理，全面推进招商引资和产业项目建设，着力把园区建设成为</w:t>
            </w:r>
            <w:r>
              <w:rPr>
                <w:rFonts w:hint="eastAsia" w:ascii="仿宋_GB2312" w:hAnsi="仿宋" w:eastAsia="仿宋_GB2312" w:cs="仿宋"/>
                <w:sz w:val="28"/>
                <w:szCs w:val="28"/>
              </w:rPr>
              <w:t>湖南地区的资源循环和环保产业的示范基地，打造国家级城市废弃物资源化产业聚集区</w:t>
            </w:r>
            <w:r>
              <w:rPr>
                <w:rFonts w:hint="eastAsia" w:ascii="仿宋_GB2312" w:eastAsia="仿宋_GB2312"/>
                <w:sz w:val="28"/>
                <w:szCs w:val="28"/>
              </w:rPr>
              <w:t>的现代化专业园区，结合岳阳市实际制订了《</w:t>
            </w:r>
            <w:r>
              <w:rPr>
                <w:rFonts w:hint="eastAsia" w:ascii="仿宋_GB2312" w:hAnsi="方正小标宋简体" w:eastAsia="仿宋_GB2312" w:cs="方正小标宋简体"/>
                <w:color w:val="000000"/>
                <w:sz w:val="28"/>
                <w:szCs w:val="28"/>
              </w:rPr>
              <w:t>岳阳市静脉产业园区管理办法</w:t>
            </w:r>
            <w:r>
              <w:rPr>
                <w:rFonts w:hint="eastAsia" w:ascii="仿宋_GB2312" w:hAnsi="仿宋" w:eastAsia="仿宋_GB2312" w:cs="仿宋"/>
                <w:sz w:val="28"/>
                <w:szCs w:val="28"/>
              </w:rPr>
              <w:t>》，对园区</w:t>
            </w:r>
            <w:r>
              <w:rPr>
                <w:rFonts w:hint="eastAsia" w:ascii="仿宋_GB2312" w:hAnsi="黑体" w:eastAsia="仿宋_GB2312" w:cs="黑体"/>
                <w:color w:val="333333"/>
                <w:sz w:val="28"/>
                <w:szCs w:val="28"/>
              </w:rPr>
              <w:t>环保、土地、公共基础设施建设与管理、项目准入条件、安全生产和社会治安管理等方面加强了管理。</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单位制定了《财务管理制度》、《政府采购业务管理制度》和《建设项目管理制度》等制度，按程序对项目进行管理，加强项目监管和验收。</w:t>
            </w:r>
          </w:p>
          <w:p>
            <w:pPr>
              <w:spacing w:line="560" w:lineRule="exact"/>
              <w:ind w:firstLine="554" w:firstLineChars="200"/>
              <w:rPr>
                <w:rFonts w:ascii="黑体" w:hAnsi="黑体" w:eastAsia="黑体" w:cs="黑体"/>
                <w:b/>
                <w:bCs/>
                <w:sz w:val="28"/>
                <w:szCs w:val="28"/>
              </w:rPr>
            </w:pPr>
            <w:r>
              <w:rPr>
                <w:rFonts w:hint="eastAsia" w:ascii="黑体" w:hAnsi="黑体" w:eastAsia="黑体" w:cs="黑体"/>
                <w:b/>
                <w:bCs/>
                <w:sz w:val="28"/>
                <w:szCs w:val="28"/>
              </w:rPr>
              <w:t>四、单位整体支出绩效情况</w:t>
            </w:r>
          </w:p>
          <w:p>
            <w:pPr>
              <w:spacing w:line="560" w:lineRule="exact"/>
              <w:ind w:firstLine="554" w:firstLineChars="200"/>
              <w:rPr>
                <w:rFonts w:ascii="仿宋_GB2312" w:hAnsi="宋体" w:eastAsia="仿宋_GB2312"/>
                <w:color w:val="000000"/>
                <w:sz w:val="28"/>
                <w:szCs w:val="28"/>
              </w:rPr>
            </w:pPr>
            <w:r>
              <w:rPr>
                <w:rFonts w:hint="eastAsia" w:ascii="仿宋_GB2312" w:hAnsi="黑体" w:eastAsia="仿宋_GB2312" w:cs="黑体"/>
                <w:b/>
                <w:kern w:val="0"/>
                <w:sz w:val="28"/>
                <w:szCs w:val="28"/>
              </w:rPr>
              <w:t>（一）园区管理工作初有成效。</w:t>
            </w:r>
            <w:r>
              <w:rPr>
                <w:rFonts w:hint="eastAsia" w:ascii="仿宋_GB2312" w:hAnsi="楷体_GB2312" w:eastAsia="仿宋_GB2312" w:cs="楷体_GB2312"/>
                <w:b/>
                <w:kern w:val="0"/>
                <w:sz w:val="28"/>
                <w:szCs w:val="28"/>
              </w:rPr>
              <w:t>一是生活垃圾发电厂启动点火后收益明显，垃圾处理方式得到改变。</w:t>
            </w:r>
            <w:r>
              <w:rPr>
                <w:rFonts w:hint="eastAsia" w:ascii="仿宋_GB2312" w:hAnsi="仿宋_GB2312" w:eastAsia="仿宋_GB2312" w:cs="仿宋_GB2312"/>
                <w:sz w:val="28"/>
                <w:szCs w:val="28"/>
              </w:rPr>
              <w:t>生活垃圾发电项目自试运营以来，共焚烧处置生活垃圾45.2万吨（日焚烧量近1200吨），年发电量1.47亿度，发电收益7788万元，补贴处置费3122万元，一定程度避免了垃圾积压的风险，有效化解了“垃圾围城”危机。为明确生活垃圾付费主体，我中心拿出具体方案，在市领导和局党组的协调与支持下，明确了生活垃圾付费主体，有力保障了发电企业的正常运行，收到了社会效益、经济效益和生态效益三丰收。</w:t>
            </w:r>
            <w:r>
              <w:rPr>
                <w:rFonts w:hint="eastAsia" w:ascii="仿宋_GB2312" w:hAnsi="仿宋_GB2312" w:eastAsia="仿宋_GB2312" w:cs="仿宋_GB2312"/>
                <w:b/>
                <w:sz w:val="28"/>
                <w:szCs w:val="28"/>
              </w:rPr>
              <w:t>二是</w:t>
            </w:r>
            <w:r>
              <w:rPr>
                <w:rFonts w:hint="eastAsia" w:ascii="仿宋_GB2312" w:hAnsi="楷体_GB2312" w:eastAsia="仿宋_GB2312" w:cs="楷体_GB2312"/>
                <w:b/>
                <w:sz w:val="28"/>
                <w:szCs w:val="28"/>
              </w:rPr>
              <w:t>医疗废物集中处置项目的建设，为疫情防控筑牢最后防线。</w:t>
            </w:r>
            <w:r>
              <w:rPr>
                <w:rFonts w:hint="eastAsia" w:ascii="仿宋_GB2312" w:hAnsi="仿宋_GB2312" w:eastAsia="仿宋_GB2312" w:cs="仿宋_GB2312"/>
                <w:sz w:val="28"/>
                <w:szCs w:val="28"/>
              </w:rPr>
              <w:t>我市医疗废物集中处置中心的建成运营，结束了我市医疗废物异地处置的历史，实现了医疗废物就近、高效、安全处置。特别是我市新冠肺炎疫情发生后，共处置新冠病毒医疗废弃物138.62吨，全力守好疫情防控最后一道防线，为我市打赢疫情防控阻击战取到了关键作用。</w:t>
            </w:r>
            <w:r>
              <w:rPr>
                <w:rFonts w:hint="eastAsia" w:ascii="仿宋_GB2312" w:hAnsi="仿宋_GB2312" w:eastAsia="仿宋_GB2312" w:cs="仿宋_GB2312"/>
                <w:b/>
                <w:sz w:val="28"/>
                <w:szCs w:val="28"/>
              </w:rPr>
              <w:t>三是</w:t>
            </w:r>
            <w:r>
              <w:rPr>
                <w:rFonts w:hint="eastAsia" w:ascii="仿宋_GB2312" w:hAnsi="楷体_GB2312" w:eastAsia="仿宋_GB2312" w:cs="楷体_GB2312"/>
                <w:b/>
                <w:sz w:val="28"/>
                <w:szCs w:val="28"/>
              </w:rPr>
              <w:t>炉渣综合利用项目正式投产运营，炉渣利用有去向。</w:t>
            </w:r>
            <w:r>
              <w:rPr>
                <w:rFonts w:hint="eastAsia" w:ascii="仿宋_GB2312" w:hAnsi="仿宋_GB2312" w:eastAsia="仿宋_GB2312" w:cs="仿宋_GB2312"/>
                <w:sz w:val="28"/>
                <w:szCs w:val="28"/>
              </w:rPr>
              <w:t>该项目于2020年5月投产运营，有效解决了生活垃圾焚烧后炉渣的去向和处理问题，自投产以来共综合利用处置炉渣11.14万吨。</w:t>
            </w:r>
            <w:r>
              <w:rPr>
                <w:rFonts w:hint="eastAsia" w:ascii="仿宋_GB2312" w:hAnsi="仿宋_GB2312" w:eastAsia="仿宋_GB2312" w:cs="仿宋_GB2312"/>
                <w:b/>
                <w:sz w:val="28"/>
                <w:szCs w:val="28"/>
              </w:rPr>
              <w:t>四是</w:t>
            </w:r>
            <w:r>
              <w:rPr>
                <w:rFonts w:hint="eastAsia" w:ascii="仿宋_GB2312" w:hAnsi="华文楷体" w:eastAsia="仿宋_GB2312" w:cs="华文楷体"/>
                <w:b/>
                <w:sz w:val="28"/>
                <w:szCs w:val="28"/>
              </w:rPr>
              <w:t>园区基础设施建设有计划推进，路网建设基本形成。</w:t>
            </w:r>
            <w:r>
              <w:rPr>
                <w:rStyle w:val="15"/>
                <w:rFonts w:hint="eastAsia" w:ascii="仿宋_GB2312" w:hAnsi="仿宋_GB2312" w:eastAsia="仿宋_GB2312"/>
                <w:sz w:val="28"/>
                <w:szCs w:val="28"/>
              </w:rPr>
              <w:t>目前完成了基础设“二进二出”的建设（物流与垃圾运输通道、自来水管网、园区污水管网、电网并网）。另</w:t>
            </w:r>
            <w:r>
              <w:rPr>
                <w:rFonts w:hint="eastAsia" w:ascii="仿宋_GB2312" w:hAnsi="仿宋_GB2312" w:eastAsia="仿宋_GB2312" w:cs="仿宋_GB2312"/>
                <w:sz w:val="28"/>
                <w:szCs w:val="28"/>
              </w:rPr>
              <w:t>园区纵二路：根据会议要求和园区实际需要，</w:t>
            </w:r>
            <w:r>
              <w:rPr>
                <w:rFonts w:hint="eastAsia" w:ascii="仿宋_GB2312" w:hAnsi="仿宋_GB2312" w:eastAsia="仿宋_GB2312" w:cs="仿宋_GB2312"/>
                <w:color w:val="000000"/>
                <w:sz w:val="28"/>
                <w:szCs w:val="28"/>
              </w:rPr>
              <w:t>对原设计方案进行调整，完成初步设计方案的审查及修改，目前正在编制施工图，待相关手续审批后进行招标施工建设。</w:t>
            </w:r>
            <w:r>
              <w:rPr>
                <w:rFonts w:hint="eastAsia" w:ascii="仿宋_GB2312" w:hAnsi="仿宋_GB2312" w:eastAsia="仿宋_GB2312" w:cs="仿宋_GB2312"/>
                <w:b/>
                <w:sz w:val="28"/>
                <w:szCs w:val="28"/>
              </w:rPr>
              <w:t>五是</w:t>
            </w:r>
            <w:r>
              <w:rPr>
                <w:rFonts w:hint="eastAsia" w:ascii="仿宋_GB2312" w:hAnsi="楷体_GB2312" w:eastAsia="仿宋_GB2312" w:cs="楷体_GB2312"/>
                <w:b/>
                <w:sz w:val="28"/>
                <w:szCs w:val="28"/>
              </w:rPr>
              <w:t>市厨余垃圾处置项目经多方协调，稳步推进有成效。</w:t>
            </w:r>
            <w:r>
              <w:rPr>
                <w:rFonts w:hint="eastAsia" w:ascii="仿宋_GB2312" w:hAnsi="仿宋_GB2312" w:eastAsia="仿宋_GB2312" w:cs="仿宋_GB2312"/>
                <w:sz w:val="28"/>
                <w:szCs w:val="28"/>
              </w:rPr>
              <w:t>根据发改委批复，目前已启动一期的开工建设工作，现</w:t>
            </w:r>
            <w:r>
              <w:rPr>
                <w:rFonts w:hint="eastAsia" w:ascii="仿宋_GB2312" w:hAnsi="仿宋_GB2312" w:eastAsia="仿宋_GB2312" w:cs="仿宋_GB2312"/>
                <w:color w:val="000000"/>
                <w:sz w:val="28"/>
                <w:szCs w:val="28"/>
              </w:rPr>
              <w:t>已完成项目可研报告立项批复、初步设计已评审并批复。多次协调云溪区政府</w:t>
            </w:r>
            <w:r>
              <w:rPr>
                <w:rFonts w:hint="eastAsia" w:ascii="仿宋_GB2312" w:hAnsi="仿宋_GB2312" w:eastAsia="仿宋_GB2312" w:cs="仿宋_GB2312"/>
                <w:sz w:val="28"/>
                <w:szCs w:val="28"/>
              </w:rPr>
              <w:t>落实项目选址工作，完成了</w:t>
            </w:r>
            <w:r>
              <w:rPr>
                <w:rFonts w:hint="eastAsia" w:ascii="仿宋_GB2312" w:hAnsi="仿宋_GB2312" w:eastAsia="仿宋_GB2312" w:cs="仿宋_GB2312"/>
                <w:color w:val="000000"/>
                <w:sz w:val="28"/>
                <w:szCs w:val="28"/>
              </w:rPr>
              <w:t>地勘和三通一平等相应工作。</w:t>
            </w:r>
            <w:r>
              <w:rPr>
                <w:rFonts w:hint="eastAsia" w:ascii="仿宋_GB2312" w:hAnsi="仿宋_GB2312" w:eastAsia="仿宋_GB2312" w:cs="仿宋_GB2312"/>
                <w:sz w:val="28"/>
                <w:szCs w:val="28"/>
              </w:rPr>
              <w:t>根据市政府工作部署，</w:t>
            </w:r>
            <w:r>
              <w:rPr>
                <w:rFonts w:hint="eastAsia" w:ascii="仿宋_GB2312" w:hAnsi="宋体" w:eastAsia="仿宋_GB2312"/>
                <w:sz w:val="28"/>
                <w:szCs w:val="28"/>
              </w:rPr>
              <w:t>为加快推进市厨余垃圾处置项目</w:t>
            </w:r>
            <w:r>
              <w:rPr>
                <w:rFonts w:hint="eastAsia" w:ascii="仿宋_GB2312" w:hAnsi="仿宋_GB2312" w:eastAsia="仿宋_GB2312" w:cs="仿宋_GB2312"/>
                <w:sz w:val="28"/>
                <w:szCs w:val="28"/>
              </w:rPr>
              <w:t>，</w:t>
            </w:r>
            <w:r>
              <w:rPr>
                <w:rFonts w:hint="eastAsia" w:ascii="仿宋_GB2312" w:hAnsi="仿宋" w:eastAsia="仿宋_GB2312" w:cs="仿宋"/>
                <w:sz w:val="28"/>
                <w:szCs w:val="28"/>
              </w:rPr>
              <w:t>积极借鉴外地厨余垃圾管理先进经验，</w:t>
            </w:r>
            <w:r>
              <w:rPr>
                <w:rFonts w:hint="eastAsia" w:ascii="仿宋_GB2312" w:hAnsi="仿宋_GB2312" w:eastAsia="仿宋_GB2312" w:cs="仿宋_GB2312"/>
                <w:sz w:val="28"/>
                <w:szCs w:val="28"/>
              </w:rPr>
              <w:t>更加准确地把握政策、理清思路、我局会同</w:t>
            </w:r>
            <w:r>
              <w:rPr>
                <w:rFonts w:hint="eastAsia" w:ascii="仿宋_GB2312" w:hAnsi="宋体" w:eastAsia="仿宋_GB2312"/>
                <w:sz w:val="28"/>
                <w:szCs w:val="28"/>
              </w:rPr>
              <w:t>市发改委、市财政局、市审计局、市生态环境局、市交投集团等部门相关负责人</w:t>
            </w:r>
            <w:r>
              <w:rPr>
                <w:rFonts w:hint="eastAsia" w:ascii="仿宋_GB2312" w:hAnsi="仿宋_GB2312" w:eastAsia="仿宋_GB2312" w:cs="仿宋_GB2312"/>
                <w:sz w:val="28"/>
                <w:szCs w:val="28"/>
              </w:rPr>
              <w:t>，赴长沙、衡阳、佛山3地考察学习。考察结束后，及时形成具体汇报方案，为确定补贴费标准、拟定特许经营协议、明确付费主体及后续运营管理等事项提供参考依据。</w:t>
            </w:r>
            <w:r>
              <w:rPr>
                <w:rFonts w:hint="eastAsia" w:ascii="仿宋_GB2312" w:hAnsi="仿宋_GB2312" w:eastAsia="仿宋_GB2312" w:cs="仿宋_GB2312"/>
                <w:b/>
                <w:sz w:val="28"/>
                <w:szCs w:val="28"/>
              </w:rPr>
              <w:t>六是</w:t>
            </w:r>
            <w:r>
              <w:rPr>
                <w:rFonts w:hint="eastAsia" w:ascii="仿宋_GB2312" w:hAnsi="楷体_GB2312" w:eastAsia="仿宋_GB2312" w:cs="楷体_GB2312"/>
                <w:b/>
                <w:sz w:val="28"/>
                <w:szCs w:val="28"/>
              </w:rPr>
              <w:t>罗家坳生活垃圾填埋场生态环境问题整改方法得当，按期完成销号工作。</w:t>
            </w:r>
            <w:r>
              <w:rPr>
                <w:rFonts w:hint="eastAsia" w:ascii="仿宋_GB2312" w:hAnsi="宋体" w:eastAsia="仿宋_GB2312"/>
                <w:sz w:val="28"/>
                <w:szCs w:val="28"/>
              </w:rPr>
              <w:t>面对国家长江办、省住建厅、市委市政府和相关单位对罗家坳生活垃圾填埋场检查指出了35个整改问题，在局领导的多次出面协调和决策下，明确了整改主体、时间及要求，为我中心整改工作能按期完成起到了强大支撑作用。期间，我中心主动邀请省、市环保部门及专家对现场进行检查和指导，立行立改。在一个月时间内按期完成了渗滤液设备维修改造、填埋区雨污分流改造工程、加强填埋场护坡底部池塘的监测监管力度和资料台账的收集整理、完成了填埋场环境的综合整治。12月18日，省住建厅、省生态环境厅、省发改委及3名专家再次对罗家坳生态环境问题整改进行销号核查，一致同意对罗家坳生活垃圾填埋场生态环境问题整改并进行销号，并对本次整改成效给予了高度肯定，特提出表扬。</w:t>
            </w:r>
          </w:p>
          <w:p>
            <w:pPr>
              <w:autoSpaceDN w:val="0"/>
              <w:spacing w:line="560" w:lineRule="exact"/>
              <w:ind w:firstLine="554" w:firstLineChars="200"/>
              <w:jc w:val="left"/>
              <w:textAlignment w:val="center"/>
              <w:rPr>
                <w:rFonts w:ascii="仿宋_GB2312" w:eastAsia="仿宋_GB2312"/>
                <w:spacing w:val="-2"/>
                <w:sz w:val="28"/>
                <w:szCs w:val="28"/>
              </w:rPr>
            </w:pPr>
            <w:r>
              <w:rPr>
                <w:rFonts w:hint="eastAsia" w:ascii="仿宋_GB2312" w:hAnsi="黑体" w:eastAsia="仿宋_GB2312" w:cs="黑体"/>
                <w:b/>
                <w:kern w:val="0"/>
                <w:sz w:val="28"/>
                <w:szCs w:val="28"/>
              </w:rPr>
              <w:t>（二）狠抓队伍建设，增强中心活力。一是</w:t>
            </w:r>
            <w:r>
              <w:rPr>
                <w:rFonts w:hint="eastAsia" w:ascii="仿宋_GB2312" w:hAnsi="仿宋_GB2312" w:eastAsia="仿宋_GB2312" w:cs="仿宋_GB2312"/>
                <w:b/>
                <w:sz w:val="28"/>
                <w:szCs w:val="28"/>
              </w:rPr>
              <w:t>加强了组织建设</w:t>
            </w:r>
            <w:r>
              <w:rPr>
                <w:rFonts w:hint="eastAsia" w:ascii="仿宋_GB2312" w:hAnsi="仿宋_GB2312" w:eastAsia="仿宋_GB2312" w:cs="仿宋_GB2312"/>
                <w:sz w:val="28"/>
                <w:szCs w:val="28"/>
              </w:rPr>
              <w:t>。2020年7月，经机关党委批准，正式成立了党支部，完善了中心党支部“五化”建设，严格落实党支部“三会一课”制度，深入开展“三表率一模范”整治机关创建工作。</w:t>
            </w:r>
            <w:r>
              <w:rPr>
                <w:rFonts w:hint="eastAsia" w:ascii="仿宋_GB2312" w:hAnsi="仿宋_GB2312" w:eastAsia="仿宋_GB2312" w:cs="仿宋_GB2312"/>
                <w:b/>
                <w:sz w:val="28"/>
                <w:szCs w:val="28"/>
              </w:rPr>
              <w:t>二是</w:t>
            </w:r>
            <w:r>
              <w:rPr>
                <w:rFonts w:hint="eastAsia" w:ascii="仿宋_GB2312" w:hAnsi="楷体_GB2312" w:eastAsia="仿宋_GB2312" w:cs="楷体_GB2312"/>
                <w:b/>
                <w:sz w:val="28"/>
                <w:szCs w:val="28"/>
              </w:rPr>
              <w:t>建立管理制度和园区办法</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建立了中心各项人事、财务、股室等管理制度，用制度管人，靠制度管事，切实把权力关进制度的笼子。</w:t>
            </w:r>
            <w:r>
              <w:rPr>
                <w:rFonts w:hint="eastAsia" w:ascii="仿宋_GB2312" w:hAnsi="仿宋_GB2312" w:eastAsia="仿宋_GB2312" w:cs="仿宋_GB2312"/>
                <w:b/>
                <w:sz w:val="28"/>
                <w:szCs w:val="28"/>
              </w:rPr>
              <w:t>三是</w:t>
            </w:r>
            <w:r>
              <w:rPr>
                <w:rFonts w:hint="eastAsia" w:ascii="仿宋_GB2312" w:hAnsi="楷体_GB2312" w:eastAsia="仿宋_GB2312" w:cs="楷体_GB2312"/>
                <w:b/>
                <w:sz w:val="28"/>
                <w:szCs w:val="28"/>
              </w:rPr>
              <w:t>增强队伍凝聚力，强化群团建设。</w:t>
            </w:r>
            <w:r>
              <w:rPr>
                <w:rFonts w:hint="eastAsia" w:ascii="仿宋_GB2312" w:hAnsi="仿宋_GB2312" w:eastAsia="仿宋_GB2312" w:cs="仿宋_GB2312"/>
                <w:color w:val="000000"/>
                <w:spacing w:val="15"/>
                <w:sz w:val="28"/>
                <w:szCs w:val="28"/>
              </w:rPr>
              <w:t>为</w:t>
            </w:r>
            <w:r>
              <w:rPr>
                <w:rFonts w:hint="eastAsia" w:ascii="仿宋_GB2312" w:hAnsi="仿宋_GB2312" w:eastAsia="仿宋_GB2312" w:cs="仿宋_GB2312"/>
                <w:spacing w:val="-2"/>
                <w:sz w:val="28"/>
                <w:szCs w:val="28"/>
              </w:rPr>
              <w:t>进一步</w:t>
            </w:r>
            <w:r>
              <w:rPr>
                <w:rFonts w:hint="eastAsia" w:ascii="仿宋_GB2312" w:hAnsi="仿宋_GB2312" w:eastAsia="仿宋_GB2312" w:cs="仿宋_GB2312"/>
                <w:sz w:val="28"/>
                <w:szCs w:val="28"/>
              </w:rPr>
              <w:t>加强对工、青、妇工作的领导，在局党组和局工会的关心支持下，组织召开了第一次会员大会，经大会选举产生中心工会第一届委员会委员。开展了一系统的工会活动，既丰富了职工文化生活，又</w:t>
            </w:r>
            <w:r>
              <w:rPr>
                <w:rFonts w:hint="eastAsia" w:ascii="仿宋_GB2312" w:hAnsi="楷体_GB2312" w:eastAsia="仿宋_GB2312" w:cs="楷体_GB2312"/>
                <w:sz w:val="28"/>
                <w:szCs w:val="28"/>
              </w:rPr>
              <w:t>增强了队伍的凝聚力和战斗力</w:t>
            </w:r>
            <w:r>
              <w:rPr>
                <w:rFonts w:hint="eastAsia" w:ascii="仿宋_GB2312" w:hAnsi="仿宋_GB2312" w:eastAsia="仿宋_GB2312" w:cs="仿宋_GB2312"/>
                <w:sz w:val="28"/>
                <w:szCs w:val="28"/>
              </w:rPr>
              <w:t>。</w:t>
            </w:r>
            <w:r>
              <w:rPr>
                <w:rFonts w:hint="eastAsia" w:ascii="仿宋_GB2312" w:hAnsi="仿宋_GB2312" w:eastAsia="仿宋_GB2312" w:cs="仿宋_GB2312"/>
                <w:b/>
                <w:sz w:val="28"/>
                <w:szCs w:val="28"/>
              </w:rPr>
              <w:t>四是</w:t>
            </w:r>
            <w:r>
              <w:rPr>
                <w:rFonts w:hint="eastAsia" w:ascii="仿宋_GB2312" w:hAnsi="楷体_GB2312" w:eastAsia="仿宋_GB2312" w:cs="楷体_GB2312"/>
                <w:b/>
                <w:sz w:val="28"/>
                <w:szCs w:val="28"/>
              </w:rPr>
              <w:t>维稳工作有成效</w:t>
            </w:r>
            <w:r>
              <w:rPr>
                <w:rFonts w:hint="eastAsia" w:ascii="仿宋_GB2312" w:eastAsia="仿宋_GB2312"/>
                <w:b/>
                <w:bCs/>
                <w:spacing w:val="-2"/>
                <w:sz w:val="28"/>
                <w:szCs w:val="28"/>
              </w:rPr>
              <w:t>。</w:t>
            </w:r>
            <w:r>
              <w:rPr>
                <w:rFonts w:hint="eastAsia" w:ascii="仿宋_GB2312" w:eastAsia="仿宋_GB2312"/>
                <w:spacing w:val="-2"/>
                <w:sz w:val="28"/>
                <w:szCs w:val="28"/>
              </w:rPr>
              <w:t>因园区企业正式运营后，村民自我保护意识不断增强，对企业运营存在一定程度的误解，当地村民多次堵路，给企业的正常运营带来诸多的不便。我中心多次会同局领导认真做好政策解说和协调工作，对合理诉求及时上报，并尽力解决，不合理要求给予正面拒绝，力争把矛盾化解在萌芽状态。</w:t>
            </w:r>
          </w:p>
          <w:p>
            <w:pPr>
              <w:autoSpaceDN w:val="0"/>
              <w:spacing w:line="560" w:lineRule="exact"/>
              <w:jc w:val="left"/>
              <w:textAlignment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（三）安全工作不懈怠。一是</w:t>
            </w:r>
            <w:r>
              <w:rPr>
                <w:rFonts w:hint="eastAsia" w:ascii="仿宋_GB2312" w:hAnsi="楷体_GB2312" w:eastAsia="仿宋_GB2312" w:cs="楷体_GB2312"/>
                <w:b/>
                <w:sz w:val="28"/>
                <w:szCs w:val="28"/>
              </w:rPr>
              <w:t>提高政治站位，及时领会和传达上级要求</w:t>
            </w:r>
            <w:r>
              <w:rPr>
                <w:rFonts w:hint="eastAsia" w:ascii="仿宋_GB2312" w:hAnsi="楷体_GB2312" w:eastAsia="仿宋_GB2312" w:cs="楷体_GB2312"/>
                <w:sz w:val="28"/>
                <w:szCs w:val="28"/>
              </w:rPr>
              <w:t>。</w:t>
            </w:r>
            <w:r>
              <w:rPr>
                <w:rFonts w:hint="eastAsia" w:ascii="仿宋_GB2312" w:hAnsi="仿宋_GB2312" w:eastAsia="仿宋_GB2312" w:cs="仿宋_GB2312"/>
                <w:sz w:val="28"/>
                <w:szCs w:val="28"/>
              </w:rPr>
              <w:t>我中心深入学习贯彻习近平总书记重要论述和考察湖南重要讲话精神，深刻领会省、市、局会议要求，制定了《岳阳市静脉产业园管理中心安全工作应急预案》，严格履行“四个责任”和“三个必须”，落细落实安全防范措施，牢牢守住安全底线。</w:t>
            </w:r>
            <w:r>
              <w:rPr>
                <w:rFonts w:hint="eastAsia" w:ascii="仿宋_GB2312" w:hAnsi="仿宋_GB2312" w:eastAsia="仿宋_GB2312" w:cs="仿宋_GB2312"/>
                <w:b/>
                <w:sz w:val="28"/>
                <w:szCs w:val="28"/>
              </w:rPr>
              <w:t>二是</w:t>
            </w:r>
            <w:r>
              <w:rPr>
                <w:rFonts w:hint="eastAsia" w:ascii="仿宋_GB2312" w:hAnsi="楷体_GB2312" w:eastAsia="仿宋_GB2312" w:cs="楷体_GB2312"/>
                <w:b/>
                <w:sz w:val="28"/>
                <w:szCs w:val="28"/>
              </w:rPr>
              <w:t>坚持问题导向，全面开展排查整治。</w:t>
            </w:r>
            <w:r>
              <w:rPr>
                <w:rFonts w:hint="eastAsia" w:ascii="仿宋_GB2312" w:hAnsi="仿宋_GB2312" w:eastAsia="仿宋_GB2312" w:cs="仿宋_GB2312"/>
                <w:sz w:val="28"/>
                <w:szCs w:val="28"/>
              </w:rPr>
              <w:t>我中心定期组织开展园区企业和行业领域安全隐患大排查，对排查出来的安全风险隐患，按照整改措施、责任、资金、时限、预案“五到位”的原则进行整改抓落实。及时消除安全隐患，坚决遏制各类安全事故发生，全年未发生一起安全事故</w:t>
            </w:r>
            <w:r>
              <w:rPr>
                <w:rFonts w:hint="eastAsia" w:ascii="仿宋_GB2312" w:hAnsi="仿宋_GB2312" w:eastAsia="仿宋_GB2312" w:cs="仿宋_GB2312"/>
                <w:b/>
                <w:sz w:val="28"/>
                <w:szCs w:val="28"/>
              </w:rPr>
              <w:t>。</w:t>
            </w:r>
          </w:p>
          <w:p>
            <w:pPr>
              <w:spacing w:line="560" w:lineRule="exact"/>
              <w:ind w:firstLine="554" w:firstLineChars="200"/>
              <w:rPr>
                <w:rFonts w:ascii="仿宋_GB2312" w:eastAsia="仿宋_GB2312"/>
                <w:sz w:val="28"/>
                <w:szCs w:val="28"/>
              </w:rPr>
            </w:pPr>
            <w:r>
              <w:rPr>
                <w:rFonts w:hint="eastAsia" w:ascii="仿宋_GB2312" w:eastAsia="仿宋_GB2312"/>
                <w:sz w:val="28"/>
                <w:szCs w:val="28"/>
              </w:rPr>
              <w:t>静脉产业园管理中心全面推进招商引资和产业项目建设，目前，园区已经启动生活垃圾发电，有效解决了传统垃圾填埋消纳难、后期环保处置难等问题；医疗</w:t>
            </w:r>
            <w:r>
              <w:rPr>
                <w:rFonts w:hint="eastAsia" w:ascii="仿宋_GB2312" w:hAnsi="楷体_GB2312" w:eastAsia="仿宋_GB2312" w:cs="楷体_GB2312"/>
                <w:bCs/>
                <w:sz w:val="28"/>
                <w:szCs w:val="28"/>
              </w:rPr>
              <w:t>废物集中处置</w:t>
            </w:r>
            <w:r>
              <w:rPr>
                <w:rFonts w:hint="eastAsia" w:ascii="仿宋_GB2312" w:hAnsi="仿宋_GB2312" w:eastAsia="仿宋_GB2312" w:cs="仿宋_GB2312"/>
                <w:bCs/>
                <w:sz w:val="28"/>
                <w:szCs w:val="28"/>
              </w:rPr>
              <w:t>中</w:t>
            </w:r>
            <w:r>
              <w:rPr>
                <w:rFonts w:hint="eastAsia" w:ascii="仿宋_GB2312" w:hAnsi="仿宋_GB2312" w:eastAsia="仿宋_GB2312" w:cs="仿宋_GB2312"/>
                <w:sz w:val="28"/>
                <w:szCs w:val="28"/>
              </w:rPr>
              <w:t>心的建成运营，结束了我市医疗废物异地处置的历史，实现了医疗废物就近、高效、安全处置，降低了处置成本。下一步中心将积极推进</w:t>
            </w:r>
            <w:r>
              <w:rPr>
                <w:rFonts w:hint="eastAsia" w:ascii="仿宋_GB2312" w:hAnsi="楷体_GB2312" w:eastAsia="仿宋_GB2312" w:cs="楷体_GB2312"/>
                <w:bCs/>
                <w:sz w:val="28"/>
                <w:szCs w:val="28"/>
              </w:rPr>
              <w:t>厨余垃圾处置项目，有效解决城区厨余垃圾处置难问题。</w:t>
            </w:r>
          </w:p>
          <w:p>
            <w:pPr>
              <w:spacing w:line="560" w:lineRule="exact"/>
              <w:ind w:firstLine="554" w:firstLineChars="200"/>
              <w:rPr>
                <w:rFonts w:ascii="黑体" w:hAnsi="黑体" w:eastAsia="仿宋_GB2312" w:cs="黑体"/>
                <w:b/>
                <w:bCs/>
                <w:color w:val="FF0000"/>
                <w:sz w:val="28"/>
                <w:szCs w:val="28"/>
              </w:rPr>
            </w:pPr>
            <w:r>
              <w:rPr>
                <w:rFonts w:hint="eastAsia" w:ascii="仿宋_GB2312" w:hAnsi="宋体" w:eastAsia="仿宋_GB2312" w:cs="宋体"/>
                <w:kern w:val="0"/>
                <w:sz w:val="28"/>
                <w:szCs w:val="28"/>
              </w:rPr>
              <w:t>城市固体废弃物的集中处理、综合利用，既保护了环境又节约了资源,实施</w:t>
            </w:r>
            <w:r>
              <w:rPr>
                <w:rFonts w:hint="eastAsia" w:eastAsia="仿宋_GB2312"/>
                <w:kern w:val="0"/>
                <w:sz w:val="28"/>
                <w:szCs w:val="28"/>
              </w:rPr>
              <w:t>减量化、再循环、资源化的循环经济模式，形成了一定规模的循环经济生态工业链。</w:t>
            </w:r>
          </w:p>
          <w:p>
            <w:pPr>
              <w:spacing w:line="560" w:lineRule="exact"/>
              <w:ind w:firstLine="554" w:firstLineChars="200"/>
              <w:rPr>
                <w:rFonts w:ascii="黑体" w:hAnsi="黑体" w:eastAsia="黑体" w:cs="黑体"/>
                <w:b/>
                <w:bCs/>
                <w:sz w:val="28"/>
                <w:szCs w:val="28"/>
              </w:rPr>
            </w:pPr>
            <w:r>
              <w:rPr>
                <w:rFonts w:hint="eastAsia" w:ascii="黑体" w:hAnsi="黑体" w:eastAsia="黑体" w:cs="黑体"/>
                <w:b/>
                <w:bCs/>
                <w:sz w:val="28"/>
                <w:szCs w:val="28"/>
              </w:rPr>
              <w:t>五、存在的主要问题</w:t>
            </w:r>
          </w:p>
          <w:p>
            <w:pPr>
              <w:spacing w:line="560" w:lineRule="exact"/>
              <w:ind w:left="607" w:leftChars="228" w:hanging="136" w:hangingChars="49"/>
              <w:rPr>
                <w:rFonts w:ascii="仿宋_GB2312" w:hAnsi="仿宋" w:eastAsia="仿宋_GB2312" w:cs="仿宋"/>
                <w:bCs/>
                <w:sz w:val="28"/>
                <w:szCs w:val="28"/>
              </w:rPr>
            </w:pPr>
            <w:r>
              <w:rPr>
                <w:rFonts w:hint="eastAsia" w:ascii="仿宋_GB2312" w:hAnsi="楷体" w:eastAsia="仿宋_GB2312" w:cs="楷体"/>
                <w:bCs/>
                <w:sz w:val="28"/>
                <w:szCs w:val="28"/>
              </w:rPr>
              <w:t>（一）</w:t>
            </w:r>
            <w:r>
              <w:rPr>
                <w:rFonts w:hint="eastAsia" w:ascii="仿宋_GB2312" w:hAnsi="楷体" w:eastAsia="仿宋_GB2312" w:cs="楷体"/>
                <w:b/>
                <w:bCs/>
                <w:sz w:val="28"/>
                <w:szCs w:val="28"/>
              </w:rPr>
              <w:t>、</w:t>
            </w:r>
            <w:r>
              <w:rPr>
                <w:rFonts w:hint="eastAsia" w:ascii="仿宋_GB2312" w:hAnsi="楷体" w:eastAsia="仿宋_GB2312" w:cs="楷体"/>
                <w:bCs/>
                <w:sz w:val="28"/>
                <w:szCs w:val="28"/>
              </w:rPr>
              <w:t>预算执行度有待进一步提高，</w:t>
            </w:r>
            <w:r>
              <w:rPr>
                <w:rFonts w:hint="eastAsia" w:ascii="仿宋_GB2312" w:hAnsi="仿宋" w:eastAsia="仿宋_GB2312" w:cs="仿宋"/>
                <w:bCs/>
                <w:sz w:val="28"/>
                <w:szCs w:val="28"/>
              </w:rPr>
              <w:t>年末财政指标结转资金金额较大。</w:t>
            </w:r>
          </w:p>
          <w:p>
            <w:pPr>
              <w:spacing w:line="560" w:lineRule="exact"/>
              <w:ind w:firstLine="554"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（二）园区周边</w:t>
            </w:r>
            <w:r>
              <w:rPr>
                <w:rFonts w:hint="eastAsia" w:ascii="仿宋_GB2312" w:eastAsia="仿宋_GB2312"/>
                <w:spacing w:val="-2"/>
                <w:sz w:val="28"/>
                <w:szCs w:val="28"/>
              </w:rPr>
              <w:t>村民自我保护意识不断增强，对企业运营存在一定程度的误解，当地村民多次堵路，给企业的正常运营带来诸多的不便。</w:t>
            </w:r>
          </w:p>
          <w:p>
            <w:pPr>
              <w:spacing w:line="560" w:lineRule="exact"/>
              <w:ind w:firstLine="554" w:firstLineChars="200"/>
              <w:rPr>
                <w:rFonts w:ascii="黑体" w:hAnsi="黑体" w:eastAsia="黑体" w:cs="黑体"/>
                <w:b/>
                <w:bCs/>
                <w:sz w:val="28"/>
                <w:szCs w:val="28"/>
              </w:rPr>
            </w:pPr>
            <w:r>
              <w:rPr>
                <w:rFonts w:hint="eastAsia" w:ascii="黑体" w:hAnsi="黑体" w:eastAsia="黑体" w:cs="黑体"/>
                <w:b/>
                <w:bCs/>
                <w:sz w:val="28"/>
                <w:szCs w:val="28"/>
              </w:rPr>
              <w:t>六、改进措施和有关建议</w:t>
            </w:r>
          </w:p>
          <w:p>
            <w:pPr>
              <w:spacing w:line="560" w:lineRule="exact"/>
              <w:ind w:firstLine="554" w:firstLineChars="200"/>
              <w:rPr>
                <w:rFonts w:ascii="仿宋_GB2312" w:hAnsi="仿宋" w:eastAsia="仿宋_GB2312" w:cs="仿宋"/>
                <w:sz w:val="28"/>
                <w:szCs w:val="28"/>
              </w:rPr>
            </w:pPr>
            <w:r>
              <w:rPr>
                <w:rFonts w:hint="eastAsia" w:ascii="仿宋_GB2312" w:hAnsi="楷体" w:eastAsia="仿宋_GB2312" w:cs="楷体"/>
                <w:bCs/>
                <w:sz w:val="28"/>
                <w:szCs w:val="28"/>
              </w:rPr>
              <w:t>（一）</w:t>
            </w:r>
            <w:r>
              <w:rPr>
                <w:rFonts w:hint="eastAsia" w:ascii="仿宋_GB2312" w:hAnsi="仿宋" w:eastAsia="仿宋_GB2312" w:cs="仿宋"/>
                <w:sz w:val="28"/>
                <w:szCs w:val="28"/>
              </w:rPr>
              <w:t>督促加快项目实施进度，加快资金结算进度，严控项目结转结余。</w:t>
            </w:r>
          </w:p>
          <w:p>
            <w:pPr>
              <w:spacing w:line="560" w:lineRule="exact"/>
              <w:ind w:firstLine="554" w:firstLineChars="200"/>
              <w:rPr>
                <w:rFonts w:ascii="仿宋_GB2312" w:eastAsia="仿宋_GB2312"/>
                <w:bCs/>
                <w:sz w:val="28"/>
                <w:szCs w:val="28"/>
              </w:rPr>
            </w:pPr>
            <w:r>
              <w:rPr>
                <w:rFonts w:hint="eastAsia" w:ascii="仿宋_GB2312" w:eastAsia="仿宋_GB2312"/>
                <w:bCs/>
                <w:sz w:val="28"/>
                <w:szCs w:val="28"/>
              </w:rPr>
              <w:t>（二）加强园区企业管理，</w:t>
            </w:r>
            <w:r>
              <w:rPr>
                <w:rFonts w:hint="eastAsia" w:ascii="仿宋_GB2312" w:eastAsia="仿宋_GB2312"/>
                <w:kern w:val="0"/>
                <w:sz w:val="28"/>
                <w:szCs w:val="28"/>
              </w:rPr>
              <w:t>邀请第三方进行环保监测，</w:t>
            </w:r>
            <w:r>
              <w:rPr>
                <w:rFonts w:hint="eastAsia" w:ascii="仿宋_GB2312" w:eastAsia="仿宋_GB2312"/>
                <w:bCs/>
                <w:sz w:val="28"/>
                <w:szCs w:val="28"/>
              </w:rPr>
              <w:t>确保项目运营符合环保要求。</w:t>
            </w:r>
          </w:p>
          <w:p>
            <w:pPr>
              <w:spacing w:line="560" w:lineRule="exact"/>
              <w:ind w:firstLine="683" w:firstLineChars="250"/>
              <w:rPr>
                <w:rFonts w:ascii="仿宋_GB2312" w:eastAsia="仿宋_GB2312"/>
                <w:bCs/>
                <w:sz w:val="28"/>
                <w:szCs w:val="28"/>
              </w:rPr>
            </w:pPr>
            <w:r>
              <w:rPr>
                <w:rFonts w:hint="eastAsia" w:ascii="仿宋_GB2312" w:eastAsia="仿宋_GB2312"/>
                <w:spacing w:val="-2"/>
                <w:sz w:val="28"/>
                <w:szCs w:val="28"/>
              </w:rPr>
              <w:t>（三）认真做好政策解说和协调工作，争取园区周边村民们的理解和支持。</w:t>
            </w:r>
            <w:r>
              <w:rPr>
                <w:rFonts w:hint="eastAsia" w:ascii="仿宋_GB2312" w:eastAsia="仿宋_GB2312"/>
                <w:kern w:val="0"/>
                <w:sz w:val="28"/>
                <w:szCs w:val="28"/>
              </w:rPr>
              <w:t>　</w:t>
            </w:r>
          </w:p>
          <w:p>
            <w:pPr>
              <w:spacing w:line="560" w:lineRule="exact"/>
              <w:ind w:firstLine="416" w:firstLineChars="150"/>
              <w:rPr>
                <w:rFonts w:eastAsia="楷体_GB2312"/>
                <w:bCs/>
                <w:sz w:val="28"/>
                <w:szCs w:val="28"/>
              </w:rPr>
            </w:pPr>
          </w:p>
        </w:tc>
      </w:tr>
    </w:tbl>
    <w:p>
      <w:pPr>
        <w:spacing w:line="560" w:lineRule="exact"/>
        <w:rPr>
          <w:sz w:val="28"/>
          <w:szCs w:val="28"/>
        </w:rPr>
      </w:pPr>
    </w:p>
    <w:sectPr>
      <w:pgSz w:w="11906" w:h="16838"/>
      <w:pgMar w:top="1588" w:right="1588" w:bottom="1588" w:left="1588" w:header="851" w:footer="992" w:gutter="0"/>
      <w:pgNumType w:fmt="decimal"/>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w:rPr>
        <w:sz w:val="21"/>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2</w:t>
                </w:r>
                <w:r>
                  <w:rPr>
                    <w:sz w:val="24"/>
                    <w:szCs w:val="24"/>
                  </w:rPr>
                  <w:fldChar w:fldCharType="end"/>
                </w:r>
                <w:r>
                  <w:rPr>
                    <w:rStyle w:val="9"/>
                    <w:rFonts w:hint="eastAsia"/>
                    <w:sz w:val="24"/>
                    <w:szCs w:val="24"/>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IwYjE2NzhkNDM2Y2Y5NzI2YzFkODFmZGY5MzM4MWUifQ=="/>
  </w:docVars>
  <w:rsids>
    <w:rsidRoot w:val="004506F9"/>
    <w:rsid w:val="0002229B"/>
    <w:rsid w:val="000273BD"/>
    <w:rsid w:val="000415B7"/>
    <w:rsid w:val="00041E3F"/>
    <w:rsid w:val="00043919"/>
    <w:rsid w:val="00050CBA"/>
    <w:rsid w:val="00055DAA"/>
    <w:rsid w:val="00060CE8"/>
    <w:rsid w:val="00061F7B"/>
    <w:rsid w:val="000658A3"/>
    <w:rsid w:val="00074155"/>
    <w:rsid w:val="000A3F69"/>
    <w:rsid w:val="000E3EB2"/>
    <w:rsid w:val="000F48C2"/>
    <w:rsid w:val="00103957"/>
    <w:rsid w:val="00143F74"/>
    <w:rsid w:val="00152C6D"/>
    <w:rsid w:val="00162D39"/>
    <w:rsid w:val="001678BD"/>
    <w:rsid w:val="00185DB4"/>
    <w:rsid w:val="001A0FB7"/>
    <w:rsid w:val="001A67DB"/>
    <w:rsid w:val="001B7865"/>
    <w:rsid w:val="001C3C29"/>
    <w:rsid w:val="001D4F1A"/>
    <w:rsid w:val="001D51E5"/>
    <w:rsid w:val="001E080D"/>
    <w:rsid w:val="001E53D0"/>
    <w:rsid w:val="001F0C3B"/>
    <w:rsid w:val="00202C82"/>
    <w:rsid w:val="00210B4D"/>
    <w:rsid w:val="00214427"/>
    <w:rsid w:val="00226CB7"/>
    <w:rsid w:val="00233BC8"/>
    <w:rsid w:val="00264552"/>
    <w:rsid w:val="00264EF9"/>
    <w:rsid w:val="00265724"/>
    <w:rsid w:val="0027426B"/>
    <w:rsid w:val="002D7169"/>
    <w:rsid w:val="002E0A30"/>
    <w:rsid w:val="002F2572"/>
    <w:rsid w:val="00305D33"/>
    <w:rsid w:val="003130C4"/>
    <w:rsid w:val="00315170"/>
    <w:rsid w:val="00316C4B"/>
    <w:rsid w:val="0032192B"/>
    <w:rsid w:val="003343C4"/>
    <w:rsid w:val="003479BD"/>
    <w:rsid w:val="00353197"/>
    <w:rsid w:val="00357E59"/>
    <w:rsid w:val="003641DA"/>
    <w:rsid w:val="0037197D"/>
    <w:rsid w:val="003768D5"/>
    <w:rsid w:val="00390458"/>
    <w:rsid w:val="003B36E5"/>
    <w:rsid w:val="003B67F1"/>
    <w:rsid w:val="003C2988"/>
    <w:rsid w:val="003C47E6"/>
    <w:rsid w:val="003C4FC2"/>
    <w:rsid w:val="003F0C26"/>
    <w:rsid w:val="00404A2E"/>
    <w:rsid w:val="00416E61"/>
    <w:rsid w:val="004228BF"/>
    <w:rsid w:val="0042790C"/>
    <w:rsid w:val="004506F9"/>
    <w:rsid w:val="004717A2"/>
    <w:rsid w:val="00473DF3"/>
    <w:rsid w:val="00487911"/>
    <w:rsid w:val="00491741"/>
    <w:rsid w:val="004B461B"/>
    <w:rsid w:val="004C77F5"/>
    <w:rsid w:val="00500E5F"/>
    <w:rsid w:val="005122EF"/>
    <w:rsid w:val="0051441A"/>
    <w:rsid w:val="00517C33"/>
    <w:rsid w:val="00523644"/>
    <w:rsid w:val="0054069E"/>
    <w:rsid w:val="00544866"/>
    <w:rsid w:val="005767CC"/>
    <w:rsid w:val="00590D9F"/>
    <w:rsid w:val="00595D26"/>
    <w:rsid w:val="005A74E6"/>
    <w:rsid w:val="005B404E"/>
    <w:rsid w:val="005B4265"/>
    <w:rsid w:val="005B74B2"/>
    <w:rsid w:val="005D4D55"/>
    <w:rsid w:val="005E2CFB"/>
    <w:rsid w:val="005F3D1C"/>
    <w:rsid w:val="006023CB"/>
    <w:rsid w:val="0062378F"/>
    <w:rsid w:val="00632704"/>
    <w:rsid w:val="00641842"/>
    <w:rsid w:val="006512AF"/>
    <w:rsid w:val="00651EEC"/>
    <w:rsid w:val="00682F41"/>
    <w:rsid w:val="00691E8C"/>
    <w:rsid w:val="0069335D"/>
    <w:rsid w:val="006A22C4"/>
    <w:rsid w:val="006A351B"/>
    <w:rsid w:val="006B0422"/>
    <w:rsid w:val="006C1B53"/>
    <w:rsid w:val="006D7730"/>
    <w:rsid w:val="006E5284"/>
    <w:rsid w:val="006F3EB5"/>
    <w:rsid w:val="00702E34"/>
    <w:rsid w:val="00704395"/>
    <w:rsid w:val="00717006"/>
    <w:rsid w:val="00717621"/>
    <w:rsid w:val="00720FF1"/>
    <w:rsid w:val="007259B9"/>
    <w:rsid w:val="00727A53"/>
    <w:rsid w:val="00770C9A"/>
    <w:rsid w:val="0077165A"/>
    <w:rsid w:val="00787B42"/>
    <w:rsid w:val="007A1A8E"/>
    <w:rsid w:val="007C4539"/>
    <w:rsid w:val="007C574E"/>
    <w:rsid w:val="007F3657"/>
    <w:rsid w:val="00812ED5"/>
    <w:rsid w:val="008277D9"/>
    <w:rsid w:val="0084478C"/>
    <w:rsid w:val="0086638C"/>
    <w:rsid w:val="008729C1"/>
    <w:rsid w:val="008A3E8D"/>
    <w:rsid w:val="008B576E"/>
    <w:rsid w:val="008D45ED"/>
    <w:rsid w:val="008F227A"/>
    <w:rsid w:val="008F22B6"/>
    <w:rsid w:val="00911212"/>
    <w:rsid w:val="0092138B"/>
    <w:rsid w:val="009237C4"/>
    <w:rsid w:val="00944C48"/>
    <w:rsid w:val="00950252"/>
    <w:rsid w:val="00966179"/>
    <w:rsid w:val="00967F5D"/>
    <w:rsid w:val="009711A1"/>
    <w:rsid w:val="009A0F95"/>
    <w:rsid w:val="009B3ADF"/>
    <w:rsid w:val="009C3B52"/>
    <w:rsid w:val="009E6817"/>
    <w:rsid w:val="009E6E9A"/>
    <w:rsid w:val="00A01D2B"/>
    <w:rsid w:val="00A42218"/>
    <w:rsid w:val="00A70249"/>
    <w:rsid w:val="00A70B02"/>
    <w:rsid w:val="00A71D9F"/>
    <w:rsid w:val="00A90F75"/>
    <w:rsid w:val="00A92E16"/>
    <w:rsid w:val="00A92E9F"/>
    <w:rsid w:val="00AF100B"/>
    <w:rsid w:val="00B07778"/>
    <w:rsid w:val="00B33BEA"/>
    <w:rsid w:val="00B57C9F"/>
    <w:rsid w:val="00B63572"/>
    <w:rsid w:val="00B845B3"/>
    <w:rsid w:val="00B85D8B"/>
    <w:rsid w:val="00BB4A40"/>
    <w:rsid w:val="00BD6C3E"/>
    <w:rsid w:val="00BE3674"/>
    <w:rsid w:val="00C10681"/>
    <w:rsid w:val="00C3049A"/>
    <w:rsid w:val="00C31B1E"/>
    <w:rsid w:val="00C77645"/>
    <w:rsid w:val="00C818E2"/>
    <w:rsid w:val="00C86A55"/>
    <w:rsid w:val="00CB222B"/>
    <w:rsid w:val="00CE04C3"/>
    <w:rsid w:val="00CE278E"/>
    <w:rsid w:val="00CE76A0"/>
    <w:rsid w:val="00D05F0E"/>
    <w:rsid w:val="00D13A21"/>
    <w:rsid w:val="00D148C6"/>
    <w:rsid w:val="00D17A8A"/>
    <w:rsid w:val="00D370A4"/>
    <w:rsid w:val="00D415BA"/>
    <w:rsid w:val="00D644EE"/>
    <w:rsid w:val="00D73238"/>
    <w:rsid w:val="00D766F9"/>
    <w:rsid w:val="00DD06FF"/>
    <w:rsid w:val="00DD5FE9"/>
    <w:rsid w:val="00DE43F5"/>
    <w:rsid w:val="00E00C7A"/>
    <w:rsid w:val="00E37D6C"/>
    <w:rsid w:val="00E55B68"/>
    <w:rsid w:val="00E67BE6"/>
    <w:rsid w:val="00E8683C"/>
    <w:rsid w:val="00E95BA3"/>
    <w:rsid w:val="00EA2B72"/>
    <w:rsid w:val="00EC3F14"/>
    <w:rsid w:val="00ED32FE"/>
    <w:rsid w:val="00F74360"/>
    <w:rsid w:val="00FA1A96"/>
    <w:rsid w:val="00FB462F"/>
    <w:rsid w:val="00FE16FA"/>
    <w:rsid w:val="00FE328A"/>
    <w:rsid w:val="00FE6269"/>
    <w:rsid w:val="0131792B"/>
    <w:rsid w:val="019404F8"/>
    <w:rsid w:val="02FE359F"/>
    <w:rsid w:val="034D095F"/>
    <w:rsid w:val="04C62FED"/>
    <w:rsid w:val="04F92E94"/>
    <w:rsid w:val="05651985"/>
    <w:rsid w:val="0578110E"/>
    <w:rsid w:val="06393A67"/>
    <w:rsid w:val="06E9531A"/>
    <w:rsid w:val="075E6A93"/>
    <w:rsid w:val="08A75190"/>
    <w:rsid w:val="090146C5"/>
    <w:rsid w:val="09F61725"/>
    <w:rsid w:val="0ACB4191"/>
    <w:rsid w:val="0AE64C3E"/>
    <w:rsid w:val="0B3A05CD"/>
    <w:rsid w:val="0D7E5469"/>
    <w:rsid w:val="0DE713F5"/>
    <w:rsid w:val="0F29227F"/>
    <w:rsid w:val="0F5A7B56"/>
    <w:rsid w:val="10997B4C"/>
    <w:rsid w:val="109B7355"/>
    <w:rsid w:val="11431292"/>
    <w:rsid w:val="12324185"/>
    <w:rsid w:val="12524B4E"/>
    <w:rsid w:val="12AE418E"/>
    <w:rsid w:val="12CA057C"/>
    <w:rsid w:val="135831C1"/>
    <w:rsid w:val="13CF2271"/>
    <w:rsid w:val="14107B7F"/>
    <w:rsid w:val="14232FF3"/>
    <w:rsid w:val="1455098D"/>
    <w:rsid w:val="14CC6C3C"/>
    <w:rsid w:val="14D44188"/>
    <w:rsid w:val="15331437"/>
    <w:rsid w:val="164D0F49"/>
    <w:rsid w:val="16DA5437"/>
    <w:rsid w:val="16EA6376"/>
    <w:rsid w:val="19257F5C"/>
    <w:rsid w:val="19A22389"/>
    <w:rsid w:val="1AD21F08"/>
    <w:rsid w:val="1B005E7F"/>
    <w:rsid w:val="1B167399"/>
    <w:rsid w:val="1B237403"/>
    <w:rsid w:val="1BD63657"/>
    <w:rsid w:val="1D6D6826"/>
    <w:rsid w:val="1D740087"/>
    <w:rsid w:val="1D83687A"/>
    <w:rsid w:val="1EC93989"/>
    <w:rsid w:val="1F5C1589"/>
    <w:rsid w:val="20583080"/>
    <w:rsid w:val="20D50D15"/>
    <w:rsid w:val="21AD5522"/>
    <w:rsid w:val="22A65CD3"/>
    <w:rsid w:val="22B9510A"/>
    <w:rsid w:val="24EF26D8"/>
    <w:rsid w:val="25797F62"/>
    <w:rsid w:val="265D4093"/>
    <w:rsid w:val="270F2F03"/>
    <w:rsid w:val="28126C71"/>
    <w:rsid w:val="28B03F94"/>
    <w:rsid w:val="29125FB3"/>
    <w:rsid w:val="29352AA9"/>
    <w:rsid w:val="293D0EAC"/>
    <w:rsid w:val="2A39129B"/>
    <w:rsid w:val="2A7845B8"/>
    <w:rsid w:val="2AF5434D"/>
    <w:rsid w:val="2C4D04DB"/>
    <w:rsid w:val="2CDB03E3"/>
    <w:rsid w:val="2D9612A7"/>
    <w:rsid w:val="313910A4"/>
    <w:rsid w:val="31802E7F"/>
    <w:rsid w:val="31B31A0E"/>
    <w:rsid w:val="33352F17"/>
    <w:rsid w:val="33F82636"/>
    <w:rsid w:val="34956FFA"/>
    <w:rsid w:val="370F1F8F"/>
    <w:rsid w:val="3AB94E4B"/>
    <w:rsid w:val="3C614E9A"/>
    <w:rsid w:val="3C8D5475"/>
    <w:rsid w:val="3C8E17C8"/>
    <w:rsid w:val="3CAA4EA0"/>
    <w:rsid w:val="3E825815"/>
    <w:rsid w:val="3FC510C7"/>
    <w:rsid w:val="40942E06"/>
    <w:rsid w:val="418A27AE"/>
    <w:rsid w:val="41EA0E93"/>
    <w:rsid w:val="421603E1"/>
    <w:rsid w:val="4285165F"/>
    <w:rsid w:val="44705F60"/>
    <w:rsid w:val="448E2DBC"/>
    <w:rsid w:val="46AB13FB"/>
    <w:rsid w:val="490A0502"/>
    <w:rsid w:val="49DB3E9C"/>
    <w:rsid w:val="4A016F83"/>
    <w:rsid w:val="4B451150"/>
    <w:rsid w:val="4DDF5C24"/>
    <w:rsid w:val="4DF23195"/>
    <w:rsid w:val="4EBF14B0"/>
    <w:rsid w:val="4EC767A6"/>
    <w:rsid w:val="4EDF237F"/>
    <w:rsid w:val="4F2459EF"/>
    <w:rsid w:val="504F19F1"/>
    <w:rsid w:val="50964CC0"/>
    <w:rsid w:val="543B500B"/>
    <w:rsid w:val="55210D27"/>
    <w:rsid w:val="552A28AD"/>
    <w:rsid w:val="55F75E41"/>
    <w:rsid w:val="56144903"/>
    <w:rsid w:val="56342061"/>
    <w:rsid w:val="567732F5"/>
    <w:rsid w:val="57081E33"/>
    <w:rsid w:val="57347846"/>
    <w:rsid w:val="581E6DC6"/>
    <w:rsid w:val="58D27A43"/>
    <w:rsid w:val="595E6DC9"/>
    <w:rsid w:val="5AE93B97"/>
    <w:rsid w:val="5B5C60A7"/>
    <w:rsid w:val="5B952B2C"/>
    <w:rsid w:val="5C0C562C"/>
    <w:rsid w:val="5C78104E"/>
    <w:rsid w:val="5CFC164A"/>
    <w:rsid w:val="5D1216CF"/>
    <w:rsid w:val="5D2B4DC7"/>
    <w:rsid w:val="5D750343"/>
    <w:rsid w:val="5DE772F1"/>
    <w:rsid w:val="5EFB4FA5"/>
    <w:rsid w:val="5FE665A9"/>
    <w:rsid w:val="60A51D88"/>
    <w:rsid w:val="60AE19C2"/>
    <w:rsid w:val="61565DA5"/>
    <w:rsid w:val="61673133"/>
    <w:rsid w:val="61BE3C6D"/>
    <w:rsid w:val="61C36D5A"/>
    <w:rsid w:val="61DD0F78"/>
    <w:rsid w:val="62AF203C"/>
    <w:rsid w:val="63533BA0"/>
    <w:rsid w:val="638E5492"/>
    <w:rsid w:val="640677B1"/>
    <w:rsid w:val="643A7F3B"/>
    <w:rsid w:val="64B35F0A"/>
    <w:rsid w:val="64F74362"/>
    <w:rsid w:val="650A372B"/>
    <w:rsid w:val="655069A4"/>
    <w:rsid w:val="65D52300"/>
    <w:rsid w:val="661020BC"/>
    <w:rsid w:val="673D38C3"/>
    <w:rsid w:val="675A36A1"/>
    <w:rsid w:val="67C908A7"/>
    <w:rsid w:val="6861575B"/>
    <w:rsid w:val="697C7A22"/>
    <w:rsid w:val="69855A9E"/>
    <w:rsid w:val="698D4CAC"/>
    <w:rsid w:val="6C1257BE"/>
    <w:rsid w:val="6C282EC0"/>
    <w:rsid w:val="6DDC295E"/>
    <w:rsid w:val="6E21076F"/>
    <w:rsid w:val="70564D02"/>
    <w:rsid w:val="70723FAB"/>
    <w:rsid w:val="716D728B"/>
    <w:rsid w:val="72684C8A"/>
    <w:rsid w:val="739905B6"/>
    <w:rsid w:val="739B6D41"/>
    <w:rsid w:val="747B7CED"/>
    <w:rsid w:val="76706F2C"/>
    <w:rsid w:val="76892497"/>
    <w:rsid w:val="76EB7C5D"/>
    <w:rsid w:val="79774793"/>
    <w:rsid w:val="7AF63DB6"/>
    <w:rsid w:val="7BAD3447"/>
    <w:rsid w:val="7D3207CB"/>
    <w:rsid w:val="7D6346E8"/>
    <w:rsid w:val="7D9639AA"/>
    <w:rsid w:val="7E212D64"/>
    <w:rsid w:val="7E524E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sz w:val="28"/>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jc w:val="left"/>
    </w:pPr>
    <w:rPr>
      <w:rFonts w:cs="Times New Roman"/>
      <w:kern w:val="0"/>
      <w:sz w:val="24"/>
    </w:rPr>
  </w:style>
  <w:style w:type="character" w:styleId="9">
    <w:name w:val="page number"/>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0"/>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 w:type="character" w:customStyle="1" w:styleId="15">
    <w:name w:val="NormalCharacter"/>
    <w:semiHidden/>
    <w:qFormat/>
    <w:uiPriority w:val="0"/>
    <w:rPr>
      <w:rFonts w:ascii="Calibri" w:hAnsi="Calibri" w:eastAsia="宋体"/>
      <w:kern w:val="2"/>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12019</Words>
  <Characters>12395</Characters>
  <Lines>92</Lines>
  <Paragraphs>26</Paragraphs>
  <TotalTime>0</TotalTime>
  <ScaleCrop>false</ScaleCrop>
  <LinksUpToDate>false</LinksUpToDate>
  <CharactersWithSpaces>12830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AOC</cp:lastModifiedBy>
  <cp:lastPrinted>2021-07-28T00:12:00Z</cp:lastPrinted>
  <dcterms:modified xsi:type="dcterms:W3CDTF">2022-08-25T03:18:47Z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A7A8866D6DB54D819A31FFEB85B9B428</vt:lpwstr>
  </property>
  <property fmtid="{D5CDD505-2E9C-101B-9397-08002B2CF9AE}" pid="4" name="commondata">
    <vt:lpwstr>eyJoZGlkIjoiMzViOWEwOTFlZGU2OGM5YmQxNzdlNzY0NWNlZTEzZGMifQ==</vt:lpwstr>
  </property>
</Properties>
</file>