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center"/>
        <w:rPr>
          <w:sz w:val="56"/>
          <w:szCs w:val="56"/>
        </w:rPr>
      </w:pPr>
    </w:p>
    <w:p>
      <w:pPr>
        <w:pStyle w:val="12"/>
        <w:jc w:val="center"/>
        <w:rPr>
          <w:sz w:val="56"/>
          <w:szCs w:val="56"/>
        </w:rPr>
      </w:pPr>
    </w:p>
    <w:p>
      <w:pPr>
        <w:pStyle w:val="12"/>
        <w:jc w:val="center"/>
        <w:rPr>
          <w:sz w:val="84"/>
          <w:szCs w:val="84"/>
        </w:rPr>
      </w:pPr>
    </w:p>
    <w:p>
      <w:pPr>
        <w:pStyle w:val="12"/>
        <w:jc w:val="center"/>
        <w:rPr>
          <w:sz w:val="84"/>
          <w:szCs w:val="84"/>
        </w:rPr>
      </w:pPr>
    </w:p>
    <w:p>
      <w:pPr>
        <w:pStyle w:val="12"/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2020年度</w:t>
      </w:r>
    </w:p>
    <w:p>
      <w:pPr>
        <w:pStyle w:val="12"/>
        <w:jc w:val="center"/>
        <w:rPr>
          <w:sz w:val="84"/>
          <w:szCs w:val="84"/>
        </w:rPr>
      </w:pPr>
      <w:r>
        <w:rPr>
          <w:rFonts w:hint="eastAsia"/>
          <w:sz w:val="84"/>
          <w:szCs w:val="84"/>
          <w:lang w:eastAsia="zh-CN"/>
        </w:rPr>
        <w:t>岳阳市生态环境局汨罗分局</w:t>
      </w:r>
      <w:r>
        <w:rPr>
          <w:rFonts w:hint="eastAsia"/>
          <w:sz w:val="84"/>
          <w:szCs w:val="84"/>
        </w:rPr>
        <w:t>部门决算</w:t>
      </w:r>
    </w:p>
    <w:p>
      <w:pPr>
        <w:pStyle w:val="12"/>
        <w:jc w:val="center"/>
        <w:rPr>
          <w:sz w:val="56"/>
          <w:szCs w:val="56"/>
        </w:rPr>
      </w:pPr>
    </w:p>
    <w:p>
      <w:pPr>
        <w:pStyle w:val="12"/>
        <w:jc w:val="center"/>
        <w:rPr>
          <w:sz w:val="56"/>
          <w:szCs w:val="56"/>
        </w:rPr>
      </w:pPr>
    </w:p>
    <w:p>
      <w:pPr>
        <w:pStyle w:val="12"/>
        <w:jc w:val="center"/>
        <w:rPr>
          <w:sz w:val="56"/>
          <w:szCs w:val="56"/>
        </w:rPr>
      </w:pPr>
    </w:p>
    <w:p>
      <w:pPr>
        <w:pStyle w:val="12"/>
        <w:jc w:val="center"/>
        <w:rPr>
          <w:sz w:val="56"/>
          <w:szCs w:val="56"/>
        </w:rPr>
      </w:pPr>
    </w:p>
    <w:p>
      <w:pPr>
        <w:pStyle w:val="12"/>
        <w:rPr>
          <w:sz w:val="32"/>
          <w:szCs w:val="32"/>
        </w:rPr>
      </w:pPr>
    </w:p>
    <w:p>
      <w:pPr>
        <w:pStyle w:val="12"/>
        <w:rPr>
          <w:sz w:val="32"/>
          <w:szCs w:val="32"/>
        </w:rPr>
      </w:pPr>
    </w:p>
    <w:p>
      <w:pPr>
        <w:pStyle w:val="12"/>
        <w:spacing w:line="50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目</w:t>
      </w:r>
      <w:r>
        <w:rPr>
          <w:rFonts w:hint="eastAsia"/>
          <w:b/>
          <w:sz w:val="36"/>
          <w:szCs w:val="28"/>
          <w:lang w:val="en-US" w:eastAsia="zh-CN"/>
        </w:rPr>
        <w:t xml:space="preserve">   </w:t>
      </w:r>
      <w:r>
        <w:rPr>
          <w:rFonts w:hint="eastAsia"/>
          <w:b/>
          <w:sz w:val="36"/>
          <w:szCs w:val="28"/>
        </w:rPr>
        <w:t>录</w:t>
      </w:r>
    </w:p>
    <w:p>
      <w:pPr>
        <w:pStyle w:val="12"/>
        <w:spacing w:line="500" w:lineRule="exact"/>
        <w:rPr>
          <w:rFonts w:hint="eastAsia"/>
          <w:b/>
          <w:sz w:val="28"/>
          <w:szCs w:val="28"/>
        </w:rPr>
      </w:pPr>
    </w:p>
    <w:p>
      <w:pPr>
        <w:pStyle w:val="12"/>
        <w:spacing w:line="500" w:lineRule="exact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第一部分</w:t>
      </w:r>
      <w:r>
        <w:rPr>
          <w:rFonts w:hint="eastAsia"/>
          <w:b/>
          <w:sz w:val="28"/>
          <w:szCs w:val="28"/>
          <w:lang w:eastAsia="zh-CN"/>
        </w:rPr>
        <w:t>岳阳市生态环境局汨罗分局</w:t>
      </w:r>
      <w:r>
        <w:rPr>
          <w:rFonts w:hint="eastAsia"/>
          <w:b/>
          <w:sz w:val="28"/>
          <w:szCs w:val="28"/>
        </w:rPr>
        <w:t>概况</w:t>
      </w:r>
    </w:p>
    <w:p>
      <w:pPr>
        <w:pStyle w:val="12"/>
        <w:spacing w:line="50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一、部门职责</w:t>
      </w:r>
    </w:p>
    <w:p>
      <w:pPr>
        <w:pStyle w:val="12"/>
        <w:spacing w:line="50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二、机构设置</w:t>
      </w:r>
    </w:p>
    <w:p>
      <w:pPr>
        <w:pStyle w:val="12"/>
        <w:spacing w:line="500" w:lineRule="exact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 w:hAnsi="仿宋_GB2312"/>
          <w:b/>
          <w:sz w:val="28"/>
          <w:szCs w:val="28"/>
        </w:rPr>
        <w:t>第二部分</w:t>
      </w:r>
      <w:r>
        <w:rPr>
          <w:rFonts w:hAnsi="仿宋_GB2312"/>
          <w:b/>
          <w:sz w:val="28"/>
          <w:szCs w:val="28"/>
        </w:rPr>
        <w:t>20</w:t>
      </w:r>
      <w:r>
        <w:rPr>
          <w:rFonts w:hint="eastAsia" w:hAnsi="仿宋_GB2312"/>
          <w:b/>
          <w:sz w:val="28"/>
          <w:szCs w:val="28"/>
        </w:rPr>
        <w:t>20年度部门决算表</w:t>
      </w:r>
    </w:p>
    <w:p>
      <w:pPr>
        <w:pStyle w:val="12"/>
        <w:spacing w:line="50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一、收入支出决算总表</w:t>
      </w:r>
    </w:p>
    <w:p>
      <w:pPr>
        <w:pStyle w:val="12"/>
        <w:spacing w:line="50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二、收入决算表</w:t>
      </w:r>
    </w:p>
    <w:p>
      <w:pPr>
        <w:pStyle w:val="12"/>
        <w:spacing w:line="50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三、支出决算表</w:t>
      </w:r>
    </w:p>
    <w:p>
      <w:pPr>
        <w:pStyle w:val="12"/>
        <w:spacing w:line="50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四、财政拨款收入支出决算总表</w:t>
      </w:r>
    </w:p>
    <w:p>
      <w:pPr>
        <w:pStyle w:val="12"/>
        <w:spacing w:line="50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五、一般公共预算财政拨款支出决算表</w:t>
      </w:r>
    </w:p>
    <w:p>
      <w:pPr>
        <w:pStyle w:val="12"/>
        <w:spacing w:line="50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六、一般公共预算财政拨款基本支出决算表</w:t>
      </w:r>
    </w:p>
    <w:p>
      <w:pPr>
        <w:pStyle w:val="12"/>
        <w:spacing w:line="50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七、一般公共预算财政拨款“三公”经费支出决算表</w:t>
      </w:r>
    </w:p>
    <w:p>
      <w:pPr>
        <w:pStyle w:val="12"/>
        <w:spacing w:line="50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八、政府性基金预算财政拨款收入支出决算表</w:t>
      </w:r>
    </w:p>
    <w:p>
      <w:pPr>
        <w:pStyle w:val="12"/>
        <w:spacing w:line="50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>九、国有资本经营预算财政拨款支出决算表</w:t>
      </w:r>
    </w:p>
    <w:p>
      <w:pPr>
        <w:pStyle w:val="12"/>
        <w:spacing w:line="500" w:lineRule="exact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 w:hAnsi="仿宋_GB2312"/>
          <w:b/>
          <w:sz w:val="28"/>
          <w:szCs w:val="28"/>
        </w:rPr>
        <w:t>第三部分</w:t>
      </w:r>
      <w:r>
        <w:rPr>
          <w:rFonts w:hAnsi="仿宋_GB2312"/>
          <w:b/>
          <w:sz w:val="28"/>
          <w:szCs w:val="28"/>
        </w:rPr>
        <w:t>20</w:t>
      </w:r>
      <w:r>
        <w:rPr>
          <w:rFonts w:hint="eastAsia" w:hAnsi="仿宋_GB2312"/>
          <w:b/>
          <w:sz w:val="28"/>
          <w:szCs w:val="28"/>
        </w:rPr>
        <w:t>20年度部门决算情况说明</w:t>
      </w:r>
    </w:p>
    <w:p>
      <w:pPr>
        <w:pStyle w:val="12"/>
        <w:spacing w:line="50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一、收入支出决算总体情况说明</w:t>
      </w:r>
    </w:p>
    <w:p>
      <w:pPr>
        <w:spacing w:line="500" w:lineRule="exact"/>
        <w:ind w:firstLine="700" w:firstLineChars="250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t>二、收入决算情况说明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三、支出决算情况说明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四、财政拨款收入支出决算总体情况说明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五、一般公共预算财政拨款支出决算情况说明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六、一般公共预算财政拨款基本支出决算情况说明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七、一般公共预算财政拨款三公经费支出决算情况说明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八</w:t>
      </w:r>
      <w:r>
        <w:rPr>
          <w:rFonts w:ascii="仿宋_GB2312" w:hAnsi="仿宋_GB2312" w:cs="仿宋_GB2312"/>
          <w:color w:val="000000"/>
          <w:kern w:val="0"/>
          <w:sz w:val="28"/>
          <w:szCs w:val="28"/>
        </w:rPr>
        <w:t>、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政府性基金预算收入支出决算情况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 xml:space="preserve">     九、国有资本经营预算财政拨款支出决算情况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 xml:space="preserve">     十、关于机关运行经费支出说明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 xml:space="preserve">     十一、一般性支出情况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 xml:space="preserve">     十二、关于政府采购支出说明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 xml:space="preserve">     十三、关于国有资产占用情况说明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 xml:space="preserve">     十四、关于2020年度预算绩效情况的说明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ascii="黑体" w:hAnsi="黑体" w:eastAsia="黑体" w:cs="黑体"/>
          <w:b/>
          <w:color w:val="000000"/>
          <w:kern w:val="0"/>
          <w:sz w:val="28"/>
          <w:szCs w:val="28"/>
        </w:rPr>
      </w:pPr>
      <w:r>
        <w:rPr>
          <w:rFonts w:ascii="黑体" w:hAnsi="黑体" w:eastAsia="黑体" w:cs="黑体"/>
          <w:b/>
          <w:color w:val="000000"/>
          <w:kern w:val="0"/>
          <w:sz w:val="28"/>
          <w:szCs w:val="28"/>
        </w:rPr>
        <w:t>第四部分名词解释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ascii="黑体" w:hAnsi="黑体" w:eastAsia="黑体" w:cs="仿宋_GB2312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</w:rPr>
        <w:t>第五部分附件</w:t>
      </w: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pStyle w:val="2"/>
        <w:rPr>
          <w:sz w:val="72"/>
          <w:szCs w:val="72"/>
        </w:rPr>
      </w:pPr>
    </w:p>
    <w:p>
      <w:pPr>
        <w:pStyle w:val="2"/>
        <w:rPr>
          <w:sz w:val="72"/>
          <w:szCs w:val="72"/>
        </w:rPr>
      </w:pPr>
    </w:p>
    <w:p>
      <w:pPr>
        <w:pStyle w:val="2"/>
        <w:rPr>
          <w:sz w:val="72"/>
          <w:szCs w:val="72"/>
        </w:rPr>
      </w:pPr>
    </w:p>
    <w:p>
      <w:pPr>
        <w:pStyle w:val="2"/>
        <w:rPr>
          <w:sz w:val="72"/>
          <w:szCs w:val="72"/>
        </w:rPr>
      </w:pPr>
    </w:p>
    <w:p>
      <w:pPr>
        <w:pStyle w:val="2"/>
        <w:rPr>
          <w:sz w:val="72"/>
          <w:szCs w:val="72"/>
        </w:rPr>
      </w:pPr>
    </w:p>
    <w:p>
      <w:pPr>
        <w:pStyle w:val="2"/>
        <w:rPr>
          <w:sz w:val="72"/>
          <w:szCs w:val="72"/>
        </w:rPr>
      </w:pPr>
    </w:p>
    <w:p>
      <w:pPr>
        <w:pStyle w:val="2"/>
        <w:rPr>
          <w:sz w:val="72"/>
          <w:szCs w:val="72"/>
        </w:rPr>
      </w:pPr>
    </w:p>
    <w:p>
      <w:pPr>
        <w:pStyle w:val="2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pStyle w:val="2"/>
      </w:pPr>
    </w:p>
    <w:p>
      <w:pPr>
        <w:rPr>
          <w:sz w:val="72"/>
          <w:szCs w:val="72"/>
        </w:rPr>
      </w:pPr>
    </w:p>
    <w:p>
      <w:pPr>
        <w:pStyle w:val="12"/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第一部分</w:t>
      </w:r>
      <w:r>
        <w:rPr>
          <w:sz w:val="84"/>
          <w:szCs w:val="84"/>
        </w:rPr>
        <w:t xml:space="preserve"> </w:t>
      </w:r>
    </w:p>
    <w:p>
      <w:pPr>
        <w:pStyle w:val="12"/>
        <w:jc w:val="center"/>
        <w:rPr>
          <w:sz w:val="84"/>
          <w:szCs w:val="84"/>
        </w:rPr>
      </w:pPr>
    </w:p>
    <w:p>
      <w:pPr>
        <w:pStyle w:val="12"/>
        <w:jc w:val="center"/>
        <w:rPr>
          <w:sz w:val="84"/>
          <w:szCs w:val="84"/>
        </w:rPr>
      </w:pPr>
      <w:r>
        <w:rPr>
          <w:rFonts w:hint="eastAsia"/>
          <w:sz w:val="84"/>
          <w:szCs w:val="84"/>
          <w:lang w:eastAsia="zh-CN"/>
        </w:rPr>
        <w:t>岳阳市生态环境局汨罗分局</w:t>
      </w:r>
      <w:r>
        <w:rPr>
          <w:rFonts w:hint="eastAsia"/>
          <w:sz w:val="84"/>
          <w:szCs w:val="84"/>
        </w:rPr>
        <w:t>概况</w:t>
      </w: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pStyle w:val="2"/>
        <w:rPr>
          <w:sz w:val="72"/>
          <w:szCs w:val="72"/>
        </w:rPr>
      </w:pPr>
    </w:p>
    <w:p>
      <w:pPr>
        <w:pStyle w:val="2"/>
        <w:rPr>
          <w:sz w:val="72"/>
          <w:szCs w:val="72"/>
        </w:rPr>
      </w:pPr>
    </w:p>
    <w:p>
      <w:pPr>
        <w:pStyle w:val="13"/>
        <w:ind w:left="0" w:leftChars="0" w:firstLine="0" w:firstLineChars="0"/>
        <w:jc w:val="left"/>
        <w:rPr>
          <w:rFonts w:ascii="黑体" w:hAnsi="黑体" w:eastAsia="黑体"/>
          <w:sz w:val="32"/>
          <w:szCs w:val="32"/>
        </w:rPr>
      </w:pPr>
    </w:p>
    <w:p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部门职责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贯彻执行国家、省、岳阳市关于环境保护的方针、政策和法律法规；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负责全市重大环境问题的统筹协调和监督管理，负责污染纠纷和事故调处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依法负责排污权有偿使用费的征收、稽查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负责环境监察和环境保护行政稽查和执法检查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负责环境监测、统计、信息工作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负责全市辐射环境、放射性废物、电磁辐射、核污染等污染防治工作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组织、指导和协调全市环境保护宣传教育工作，推动公众和非政府组织参与环境保护。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二、机构设置及决算单位构成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Cs/>
          <w:kern w:val="0"/>
          <w:sz w:val="32"/>
          <w:szCs w:val="32"/>
        </w:rPr>
        <w:t>（一）内设机构设置。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我局环保系统共有干部职工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125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人，其中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在职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人数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108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名，离退人员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人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核定编制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人数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125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人，大专以上学历占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92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%。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汨罗分局下设17个股室：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办公室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  <w:t>、信息中心、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生态环境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  <w:t>督察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股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法规与标准股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自然生态保护与土壤环境股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水生态环境股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大气环境与应对气候变化股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固体废物与化学品及核与辐射管理股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环评和污染排放股（行政审批办公室）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宣教与监测股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科技与财务股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人事股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  <w:t>、机关党建室、纪检联络室、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综合行政执法大队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监测站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机关工会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驻工业园执法大队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Cs/>
          <w:kern w:val="0"/>
          <w:sz w:val="32"/>
          <w:szCs w:val="32"/>
        </w:rPr>
        <w:t>（二）决算单位构成。</w:t>
      </w:r>
      <w:r>
        <w:rPr>
          <w:rFonts w:hint="eastAsia" w:ascii="宋体" w:hAnsi="宋体" w:eastAsia="宋体" w:cs="宋体"/>
          <w:bCs/>
          <w:kern w:val="0"/>
          <w:sz w:val="32"/>
          <w:szCs w:val="32"/>
          <w:lang w:eastAsia="zh-CN"/>
        </w:rPr>
        <w:t>岳阳市生态环境局汨罗分局</w:t>
      </w:r>
      <w:r>
        <w:rPr>
          <w:rFonts w:hint="eastAsia" w:ascii="宋体" w:hAnsi="宋体" w:eastAsia="宋体" w:cs="宋体"/>
          <w:bCs/>
          <w:kern w:val="0"/>
          <w:sz w:val="32"/>
          <w:szCs w:val="32"/>
        </w:rPr>
        <w:t>2020年部门决算汇总公开单位构成包括：</w:t>
      </w:r>
      <w:r>
        <w:rPr>
          <w:rFonts w:hint="eastAsia" w:ascii="宋体" w:hAnsi="宋体" w:eastAsia="宋体" w:cs="宋体"/>
          <w:bCs/>
          <w:kern w:val="0"/>
          <w:sz w:val="32"/>
          <w:szCs w:val="32"/>
          <w:lang w:eastAsia="zh-CN"/>
        </w:rPr>
        <w:t>岳阳市生态环境局汨罗分局本级。</w:t>
      </w:r>
    </w:p>
    <w:p>
      <w:pPr>
        <w:jc w:val="left"/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pStyle w:val="2"/>
        <w:rPr>
          <w:rFonts w:ascii="黑体" w:hAnsi="黑体" w:eastAsia="黑体"/>
          <w:sz w:val="28"/>
          <w:szCs w:val="28"/>
        </w:rPr>
      </w:pPr>
    </w:p>
    <w:p>
      <w:pPr>
        <w:pStyle w:val="2"/>
        <w:rPr>
          <w:rFonts w:ascii="黑体" w:hAnsi="黑体" w:eastAsia="黑体"/>
          <w:sz w:val="28"/>
          <w:szCs w:val="28"/>
        </w:rPr>
      </w:pPr>
    </w:p>
    <w:p>
      <w:pPr>
        <w:pStyle w:val="2"/>
        <w:rPr>
          <w:rFonts w:ascii="黑体" w:hAnsi="黑体" w:eastAsia="黑体"/>
          <w:sz w:val="28"/>
          <w:szCs w:val="28"/>
        </w:rPr>
      </w:pPr>
    </w:p>
    <w:p>
      <w:pPr>
        <w:pStyle w:val="2"/>
        <w:rPr>
          <w:rFonts w:ascii="黑体" w:hAnsi="黑体" w:eastAsia="黑体"/>
          <w:sz w:val="28"/>
          <w:szCs w:val="28"/>
        </w:rPr>
      </w:pPr>
    </w:p>
    <w:p>
      <w:pPr>
        <w:pStyle w:val="2"/>
        <w:rPr>
          <w:rFonts w:ascii="黑体" w:hAnsi="黑体" w:eastAsia="黑体"/>
          <w:sz w:val="28"/>
          <w:szCs w:val="28"/>
        </w:rPr>
      </w:pPr>
    </w:p>
    <w:p>
      <w:pPr>
        <w:pStyle w:val="2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rFonts w:hint="eastAsia" w:ascii="黑体" w:eastAsia="黑体" w:cs="黑体" w:hAnsiTheme="minorHAnsi"/>
          <w:color w:val="000000"/>
          <w:kern w:val="0"/>
          <w:sz w:val="84"/>
          <w:szCs w:val="84"/>
          <w:lang w:val="en-US" w:eastAsia="zh-CN" w:bidi="ar-SA"/>
        </w:rPr>
      </w:pPr>
    </w:p>
    <w:p>
      <w:pPr>
        <w:jc w:val="center"/>
        <w:rPr>
          <w:rFonts w:hint="eastAsia" w:ascii="黑体" w:eastAsia="黑体" w:cs="黑体" w:hAnsiTheme="minorHAnsi"/>
          <w:color w:val="000000"/>
          <w:kern w:val="0"/>
          <w:sz w:val="84"/>
          <w:szCs w:val="84"/>
          <w:lang w:val="en-US" w:eastAsia="zh-CN" w:bidi="ar-SA"/>
        </w:rPr>
      </w:pPr>
    </w:p>
    <w:p>
      <w:pPr>
        <w:jc w:val="center"/>
        <w:rPr>
          <w:rFonts w:hint="eastAsia" w:ascii="黑体" w:eastAsia="黑体" w:cs="黑体" w:hAnsiTheme="minorHAnsi"/>
          <w:color w:val="000000"/>
          <w:kern w:val="0"/>
          <w:sz w:val="84"/>
          <w:szCs w:val="84"/>
          <w:lang w:val="en-US" w:eastAsia="zh-CN" w:bidi="ar-SA"/>
        </w:rPr>
      </w:pPr>
      <w:r>
        <w:rPr>
          <w:rFonts w:hint="eastAsia" w:ascii="黑体" w:eastAsia="黑体" w:cs="黑体" w:hAnsiTheme="minorHAnsi"/>
          <w:color w:val="000000"/>
          <w:kern w:val="0"/>
          <w:sz w:val="84"/>
          <w:szCs w:val="84"/>
          <w:lang w:val="en-US" w:eastAsia="zh-CN" w:bidi="ar-SA"/>
        </w:rPr>
        <w:t>第二部分</w:t>
      </w:r>
    </w:p>
    <w:p>
      <w:pPr>
        <w:jc w:val="center"/>
        <w:rPr>
          <w:rFonts w:hint="eastAsia" w:ascii="黑体" w:eastAsia="黑体" w:cs="黑体" w:hAnsiTheme="minorHAnsi"/>
          <w:color w:val="000000"/>
          <w:kern w:val="0"/>
          <w:sz w:val="84"/>
          <w:szCs w:val="84"/>
          <w:lang w:val="en-US" w:eastAsia="zh-CN" w:bidi="ar-SA"/>
        </w:rPr>
      </w:pPr>
    </w:p>
    <w:p>
      <w:pPr>
        <w:jc w:val="center"/>
        <w:rPr>
          <w:sz w:val="72"/>
          <w:szCs w:val="72"/>
        </w:rPr>
      </w:pPr>
      <w:r>
        <w:rPr>
          <w:rFonts w:hint="eastAsia" w:ascii="黑体" w:eastAsia="黑体" w:cs="黑体" w:hAnsiTheme="minorHAnsi"/>
          <w:color w:val="000000"/>
          <w:kern w:val="0"/>
          <w:sz w:val="84"/>
          <w:szCs w:val="84"/>
          <w:lang w:val="en-US" w:eastAsia="zh-CN" w:bidi="ar-SA"/>
        </w:rPr>
        <w:t>部门决算表</w:t>
      </w: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left"/>
        <w:rPr>
          <w:rFonts w:asciiTheme="minorEastAsia" w:hAnsiTheme="minorEastAsia"/>
          <w:sz w:val="32"/>
          <w:szCs w:val="32"/>
        </w:rPr>
      </w:pPr>
    </w:p>
    <w:p>
      <w:pPr>
        <w:pStyle w:val="2"/>
        <w:rPr>
          <w:rFonts w:asciiTheme="minorEastAsia" w:hAnsiTheme="minorEastAsia"/>
          <w:sz w:val="32"/>
          <w:szCs w:val="32"/>
        </w:rPr>
      </w:pPr>
    </w:p>
    <w:p>
      <w:pPr>
        <w:pStyle w:val="2"/>
        <w:rPr>
          <w:rFonts w:asciiTheme="minorEastAsia" w:hAnsiTheme="minorEastAsia"/>
          <w:sz w:val="32"/>
          <w:szCs w:val="32"/>
        </w:rPr>
      </w:pPr>
    </w:p>
    <w:p>
      <w:pPr>
        <w:pStyle w:val="2"/>
        <w:rPr>
          <w:rFonts w:asciiTheme="minorEastAsia" w:hAnsiTheme="minorEastAsia"/>
          <w:sz w:val="32"/>
          <w:szCs w:val="32"/>
        </w:rPr>
      </w:pPr>
    </w:p>
    <w:p>
      <w:pPr>
        <w:pStyle w:val="2"/>
        <w:rPr>
          <w:rFonts w:asciiTheme="minorEastAsia" w:hAnsiTheme="minorEastAsia"/>
          <w:sz w:val="32"/>
          <w:szCs w:val="32"/>
        </w:rPr>
      </w:pPr>
    </w:p>
    <w:p>
      <w:pPr>
        <w:pStyle w:val="2"/>
        <w:rPr>
          <w:rFonts w:asciiTheme="minorEastAsia" w:hAnsiTheme="minorEastAsia"/>
          <w:sz w:val="32"/>
          <w:szCs w:val="32"/>
        </w:rPr>
      </w:pPr>
    </w:p>
    <w:p>
      <w:pPr>
        <w:pStyle w:val="2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1、收入支出决算总表</w:t>
      </w:r>
    </w:p>
    <w:p>
      <w:pPr>
        <w:pStyle w:val="2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2、收入决算表</w:t>
      </w:r>
    </w:p>
    <w:p>
      <w:pPr>
        <w:pStyle w:val="2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3、支出决算表</w:t>
      </w:r>
    </w:p>
    <w:p>
      <w:pPr>
        <w:pStyle w:val="2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4、财政拨款收入支出决算总表</w:t>
      </w:r>
    </w:p>
    <w:p>
      <w:pPr>
        <w:pStyle w:val="2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5、一般公共预算财政拨款支出决算表</w:t>
      </w:r>
    </w:p>
    <w:p>
      <w:pPr>
        <w:pStyle w:val="2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6、一般公共预算财政拨款基本支出决算表</w:t>
      </w:r>
    </w:p>
    <w:p>
      <w:pPr>
        <w:pStyle w:val="2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7、一般公共预算财政拨款“三公</w:t>
      </w:r>
      <w:r>
        <w:rPr>
          <w:rFonts w:hint="default" w:asciiTheme="minorEastAsia" w:hAnsiTheme="minorEastAsia"/>
          <w:sz w:val="32"/>
          <w:szCs w:val="32"/>
          <w:lang w:val="en-US" w:eastAsia="zh-CN"/>
        </w:rPr>
        <w:t>”</w:t>
      </w:r>
      <w:r>
        <w:rPr>
          <w:rFonts w:hint="eastAsia" w:asciiTheme="minorEastAsia" w:hAnsiTheme="minorEastAsia"/>
          <w:sz w:val="32"/>
          <w:szCs w:val="32"/>
        </w:rPr>
        <w:t>经费支出决算表</w:t>
      </w:r>
    </w:p>
    <w:p>
      <w:pPr>
        <w:pStyle w:val="2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8、政府性基金预算财政拨款收入支出决算表</w:t>
      </w:r>
    </w:p>
    <w:p>
      <w:pPr>
        <w:pStyle w:val="2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9</w:t>
      </w:r>
      <w:r>
        <w:rPr>
          <w:rFonts w:hint="eastAsia" w:asciiTheme="minorEastAsia" w:hAnsiTheme="minorEastAsia"/>
          <w:sz w:val="32"/>
          <w:szCs w:val="32"/>
        </w:rPr>
        <w:t>、</w:t>
      </w:r>
      <w:r>
        <w:rPr>
          <w:rFonts w:hint="eastAsia" w:asciiTheme="minorEastAsia" w:hAnsiTheme="minorEastAsia"/>
          <w:sz w:val="32"/>
          <w:szCs w:val="32"/>
          <w:lang w:eastAsia="zh-CN"/>
        </w:rPr>
        <w:t>国有资本经营预算财政拨款支出决算表</w:t>
      </w:r>
    </w:p>
    <w:p>
      <w:pPr>
        <w:pStyle w:val="2"/>
        <w:rPr>
          <w:rFonts w:asciiTheme="minorEastAsia" w:hAnsiTheme="minorEastAsia"/>
          <w:sz w:val="32"/>
          <w:szCs w:val="32"/>
        </w:rPr>
        <w:sectPr>
          <w:pgSz w:w="11906" w:h="16838"/>
          <w:pgMar w:top="1984" w:right="1701" w:bottom="1701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  <w:sz w:val="32"/>
          <w:szCs w:val="32"/>
        </w:rPr>
        <w:t>公开表格附后</w:t>
      </w:r>
    </w:p>
    <w:p>
      <w:pPr>
        <w:widowControl/>
        <w:jc w:val="left"/>
        <w:rPr>
          <w:sz w:val="72"/>
          <w:szCs w:val="72"/>
        </w:rPr>
        <w:sectPr>
          <w:pgSz w:w="11906" w:h="16838"/>
          <w:pgMar w:top="1417" w:right="1134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bookmarkStart w:id="0" w:name="RANGE!A1:I22"/>
      <w:bookmarkEnd w:id="0"/>
    </w:p>
    <w:p>
      <w:pPr>
        <w:pStyle w:val="12"/>
        <w:jc w:val="center"/>
        <w:rPr>
          <w:sz w:val="72"/>
          <w:szCs w:val="72"/>
        </w:rPr>
      </w:pPr>
    </w:p>
    <w:p>
      <w:pPr>
        <w:pStyle w:val="12"/>
        <w:jc w:val="center"/>
        <w:rPr>
          <w:sz w:val="72"/>
          <w:szCs w:val="72"/>
        </w:rPr>
      </w:pPr>
    </w:p>
    <w:p>
      <w:pPr>
        <w:pStyle w:val="12"/>
        <w:jc w:val="center"/>
        <w:rPr>
          <w:sz w:val="72"/>
          <w:szCs w:val="72"/>
        </w:rPr>
      </w:pPr>
    </w:p>
    <w:p>
      <w:pPr>
        <w:pStyle w:val="12"/>
        <w:jc w:val="center"/>
        <w:rPr>
          <w:sz w:val="72"/>
          <w:szCs w:val="72"/>
        </w:rPr>
      </w:pPr>
    </w:p>
    <w:p>
      <w:pPr>
        <w:pStyle w:val="12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第三部分</w:t>
      </w:r>
    </w:p>
    <w:p>
      <w:pPr>
        <w:pStyle w:val="12"/>
        <w:jc w:val="center"/>
        <w:rPr>
          <w:sz w:val="70"/>
          <w:szCs w:val="70"/>
        </w:rPr>
      </w:pPr>
    </w:p>
    <w:p>
      <w:pPr>
        <w:pStyle w:val="12"/>
        <w:jc w:val="center"/>
        <w:rPr>
          <w:sz w:val="70"/>
          <w:szCs w:val="70"/>
        </w:rPr>
      </w:pPr>
      <w:r>
        <w:rPr>
          <w:sz w:val="70"/>
          <w:szCs w:val="70"/>
        </w:rPr>
        <w:t>20</w:t>
      </w:r>
      <w:r>
        <w:rPr>
          <w:rFonts w:hint="eastAsia"/>
          <w:sz w:val="70"/>
          <w:szCs w:val="70"/>
        </w:rPr>
        <w:t>20年度部门决算情况说明</w:t>
      </w:r>
    </w:p>
    <w:p>
      <w:pPr>
        <w:widowControl/>
        <w:jc w:val="left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sz w:val="70"/>
          <w:szCs w:val="70"/>
        </w:rPr>
        <w:br w:type="page"/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一、收入支出决算总体情况说明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line="240" w:lineRule="auto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2020年我部门整体收入为5626.88万元，2019年我部门整体收入为5821.42万元，</w:t>
      </w:r>
      <w:r>
        <w:rPr>
          <w:rFonts w:hint="eastAsia" w:ascii="宋体" w:hAnsi="宋体" w:eastAsia="宋体" w:cs="宋体"/>
          <w:sz w:val="32"/>
          <w:szCs w:val="32"/>
        </w:rPr>
        <w:t>与上年相比，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194.54</w:t>
      </w:r>
      <w:r>
        <w:rPr>
          <w:rFonts w:hint="eastAsia" w:ascii="宋体" w:hAnsi="宋体" w:eastAsia="宋体" w:cs="宋体"/>
          <w:sz w:val="32"/>
          <w:szCs w:val="32"/>
        </w:rPr>
        <w:t>万元，减少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3.5%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主要是因为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32"/>
          <w:szCs w:val="32"/>
          <w:shd w:val="clear" w:fill="FFFFFF"/>
        </w:rPr>
        <w:t>在职退休人员退休，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上级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项目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资金收入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减少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2020年我部门整体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支出为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5626.88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万元，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2019年我部门整体支出5820.82万元，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与上年相比，减少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193.94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万元，减少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3.3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%，主要是因为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在职退休人员退休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和上级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项目资金支出的减少。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二、收入决算情况说明</w:t>
      </w:r>
    </w:p>
    <w:p>
      <w:pPr>
        <w:pStyle w:val="12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本年收入合计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2389.15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万元，其中：财政拨款收入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1667.43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70</w:t>
      </w:r>
      <w:r>
        <w:rPr>
          <w:rFonts w:hint="eastAsia" w:asciiTheme="minorEastAsia" w:hAnsiTheme="minorEastAsia" w:eastAsiaTheme="minorEastAsia"/>
          <w:sz w:val="32"/>
          <w:szCs w:val="32"/>
        </w:rPr>
        <w:t>%；其他收入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721.72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sz w:val="32"/>
          <w:szCs w:val="32"/>
        </w:rPr>
        <w:t>%。</w:t>
      </w:r>
    </w:p>
    <w:p>
      <w:pPr>
        <w:pStyle w:val="12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三、支出决算情况说明</w:t>
      </w:r>
    </w:p>
    <w:p>
      <w:pPr>
        <w:pStyle w:val="12"/>
        <w:ind w:firstLine="640" w:firstLineChars="20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本年支出合计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4887.06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万元，其中：基本支出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969.91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sz w:val="32"/>
          <w:szCs w:val="32"/>
        </w:rPr>
        <w:t>%；项目支出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3917.15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80</w:t>
      </w:r>
      <w:r>
        <w:rPr>
          <w:rFonts w:hint="eastAsia" w:asciiTheme="minorEastAsia" w:hAnsiTheme="minorEastAsia" w:eastAsiaTheme="minorEastAsia"/>
          <w:sz w:val="32"/>
          <w:szCs w:val="32"/>
        </w:rPr>
        <w:t>%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。</w:t>
      </w:r>
    </w:p>
    <w:p>
      <w:pPr>
        <w:pStyle w:val="12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四、财政拨款收入支出决算总体情况说明</w:t>
      </w:r>
    </w:p>
    <w:p>
      <w:pPr>
        <w:pStyle w:val="12"/>
        <w:ind w:firstLine="640"/>
        <w:rPr>
          <w:rFonts w:hint="default" w:asciiTheme="minorEastAsia" w:hAnsiTheme="minorEastAsia" w:eastAsiaTheme="minorEastAsia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2020年度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岳阳</w:t>
      </w:r>
      <w:r>
        <w:rPr>
          <w:rFonts w:hint="eastAsia" w:asciiTheme="minorEastAsia" w:hAnsiTheme="minorEastAsia" w:eastAsiaTheme="minorEastAsia"/>
          <w:sz w:val="32"/>
          <w:szCs w:val="32"/>
        </w:rPr>
        <w:t>财政拨款收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入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1667.43万元，支出1662.01</w:t>
      </w:r>
      <w:r>
        <w:rPr>
          <w:rFonts w:hint="eastAsia" w:asciiTheme="minorEastAsia" w:hAnsiTheme="minorEastAsia" w:eastAsiaTheme="minorEastAsia"/>
          <w:sz w:val="32"/>
          <w:szCs w:val="32"/>
        </w:rPr>
        <w:t>万元，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2020年垂改上收后，汨罗财政资金全部做其他收入科目。</w:t>
      </w:r>
    </w:p>
    <w:p>
      <w:pPr>
        <w:pStyle w:val="12"/>
        <w:ind w:firstLine="640"/>
        <w:rPr>
          <w:rFonts w:hAnsi="黑体"/>
          <w:b/>
          <w:color w:val="auto"/>
          <w:sz w:val="32"/>
          <w:szCs w:val="32"/>
        </w:rPr>
      </w:pPr>
      <w:r>
        <w:rPr>
          <w:rFonts w:hint="eastAsia" w:hAnsi="黑体"/>
          <w:b/>
          <w:color w:val="auto"/>
          <w:sz w:val="32"/>
          <w:szCs w:val="32"/>
        </w:rPr>
        <w:t>五、一般公共预算财政拨款支出决算情况说明</w:t>
      </w:r>
    </w:p>
    <w:p>
      <w:pPr>
        <w:pStyle w:val="12"/>
        <w:ind w:firstLine="640" w:firstLineChars="200"/>
        <w:rPr>
          <w:rFonts w:asciiTheme="minorEastAsia" w:hAnsiTheme="minorEastAsia" w:eastAsiaTheme="minorEastAsia"/>
          <w:b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color w:val="auto"/>
          <w:sz w:val="32"/>
          <w:szCs w:val="32"/>
        </w:rPr>
        <w:t>（一）财政拨款支出决算总体情况</w:t>
      </w:r>
    </w:p>
    <w:p>
      <w:pPr>
        <w:pStyle w:val="12"/>
        <w:ind w:firstLine="640" w:firstLineChars="200"/>
        <w:rPr>
          <w:rFonts w:hint="default" w:asciiTheme="minorEastAsia" w:hAnsiTheme="minorEastAsia" w:eastAsiaTheme="minorEastAsia"/>
          <w:color w:val="auto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2020年度财政拨款支出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1662.01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万元，占本年支出合计的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34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%，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 xml:space="preserve">2020年垂改上收后，汨罗财政资金全部做项目支出科目。 </w:t>
      </w:r>
    </w:p>
    <w:p>
      <w:pPr>
        <w:pStyle w:val="12"/>
        <w:ind w:firstLine="480" w:firstLineChars="15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（二）财政拨款支出决算结构情况</w:t>
      </w:r>
    </w:p>
    <w:p>
      <w:pPr>
        <w:pStyle w:val="12"/>
        <w:ind w:firstLine="640" w:firstLineChars="20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2020年度财政拨款支出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1662.01</w:t>
      </w:r>
      <w:r>
        <w:rPr>
          <w:rFonts w:hint="eastAsia" w:asciiTheme="minorEastAsia" w:hAnsiTheme="minorEastAsia" w:eastAsiaTheme="minorEastAsia"/>
          <w:sz w:val="32"/>
          <w:szCs w:val="32"/>
        </w:rPr>
        <w:t>万元，主要用于以下方面：一般公共服务（类）支出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331.80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sz w:val="32"/>
          <w:szCs w:val="32"/>
        </w:rPr>
        <w:t>%；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社会保障和就业支出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99.91万元，占6</w:t>
      </w:r>
      <w:r>
        <w:rPr>
          <w:rFonts w:hint="eastAsia" w:asciiTheme="minorEastAsia" w:hAnsiTheme="minorEastAsia" w:eastAsiaTheme="minorEastAsia"/>
          <w:sz w:val="32"/>
          <w:szCs w:val="32"/>
        </w:rPr>
        <w:t>%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；卫生健康支出46.24万元，占3</w:t>
      </w:r>
      <w:r>
        <w:rPr>
          <w:rFonts w:hint="eastAsia" w:asciiTheme="minorEastAsia" w:hAnsiTheme="minorEastAsia" w:eastAsiaTheme="minorEastAsia"/>
          <w:sz w:val="32"/>
          <w:szCs w:val="32"/>
        </w:rPr>
        <w:t>%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；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节能环保</w:t>
      </w:r>
      <w:r>
        <w:rPr>
          <w:rFonts w:hint="eastAsia" w:asciiTheme="minorEastAsia" w:hAnsiTheme="minorEastAsia" w:eastAsiaTheme="minorEastAsia"/>
          <w:sz w:val="32"/>
          <w:szCs w:val="32"/>
        </w:rPr>
        <w:t>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1184.06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71</w:t>
      </w:r>
      <w:r>
        <w:rPr>
          <w:rFonts w:hint="eastAsia" w:asciiTheme="minorEastAsia" w:hAnsiTheme="minorEastAsia" w:eastAsiaTheme="minorEastAsia"/>
          <w:sz w:val="32"/>
          <w:szCs w:val="32"/>
        </w:rPr>
        <w:t>%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。</w:t>
      </w:r>
    </w:p>
    <w:p>
      <w:pPr>
        <w:pStyle w:val="12"/>
        <w:ind w:firstLine="800" w:firstLineChars="25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（三）财政拨款支出决算具体情况</w:t>
      </w:r>
    </w:p>
    <w:p>
      <w:pPr>
        <w:pStyle w:val="12"/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2020年度财政拨款支出年初预算数为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1813.98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万元，支出决算数为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1662.01</w:t>
      </w:r>
      <w:r>
        <w:rPr>
          <w:rFonts w:hint="eastAsia" w:asciiTheme="minorEastAsia" w:hAnsiTheme="minorEastAsia" w:eastAsiaTheme="minorEastAsia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92</w:t>
      </w:r>
      <w:r>
        <w:rPr>
          <w:rFonts w:hint="eastAsia" w:asciiTheme="minorEastAsia" w:hAnsiTheme="minorEastAsia" w:eastAsiaTheme="minorEastAsia"/>
          <w:sz w:val="32"/>
          <w:szCs w:val="32"/>
        </w:rPr>
        <w:t>%，其中：</w:t>
      </w:r>
    </w:p>
    <w:p>
      <w:pPr>
        <w:pStyle w:val="12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1、</w:t>
      </w:r>
      <w:r>
        <w:rPr>
          <w:rFonts w:hint="eastAsia" w:asciiTheme="minorEastAsia" w:hAnsiTheme="minorEastAsia" w:eastAsiaTheme="minorEastAsia"/>
          <w:sz w:val="32"/>
          <w:szCs w:val="32"/>
        </w:rPr>
        <w:t>一般公共服务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支出</w:t>
      </w:r>
      <w:r>
        <w:rPr>
          <w:rFonts w:hint="eastAsia" w:asciiTheme="minorEastAsia" w:hAnsiTheme="minorEastAsia" w:eastAsiaTheme="minorEastAsia"/>
          <w:sz w:val="32"/>
          <w:szCs w:val="32"/>
        </w:rPr>
        <w:t>。</w:t>
      </w:r>
    </w:p>
    <w:p>
      <w:pPr>
        <w:pStyle w:val="12"/>
        <w:ind w:firstLine="640" w:firstLineChars="20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331.80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331.80</w:t>
      </w:r>
      <w:r>
        <w:rPr>
          <w:rFonts w:hint="eastAsia" w:asciiTheme="minorEastAsia" w:hAnsiTheme="minorEastAsia" w:eastAsiaTheme="minorEastAsia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sz w:val="32"/>
          <w:szCs w:val="32"/>
        </w:rPr>
        <w:t>%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。</w:t>
      </w:r>
    </w:p>
    <w:p>
      <w:pPr>
        <w:pStyle w:val="12"/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2、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社会保障和就业支出。</w:t>
      </w:r>
    </w:p>
    <w:p>
      <w:pPr>
        <w:pStyle w:val="12"/>
        <w:numPr>
          <w:ilvl w:val="0"/>
          <w:numId w:val="0"/>
        </w:numPr>
        <w:ind w:firstLine="640" w:firstLineChars="200"/>
        <w:jc w:val="both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99.91万元，</w:t>
      </w:r>
      <w:r>
        <w:rPr>
          <w:rFonts w:hint="eastAsia" w:asciiTheme="minorEastAsia" w:hAnsiTheme="minorEastAsia" w:eastAsiaTheme="minorEastAsia"/>
          <w:sz w:val="32"/>
          <w:szCs w:val="32"/>
        </w:rPr>
        <w:t>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99.91万元，</w:t>
      </w:r>
      <w:r>
        <w:rPr>
          <w:rFonts w:hint="eastAsia" w:asciiTheme="minorEastAsia" w:hAnsiTheme="minorEastAsia" w:eastAsiaTheme="minorEastAsia"/>
          <w:sz w:val="32"/>
          <w:szCs w:val="32"/>
        </w:rPr>
        <w:t>完成年预算的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sz w:val="32"/>
          <w:szCs w:val="32"/>
        </w:rPr>
        <w:t>%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。</w:t>
      </w:r>
    </w:p>
    <w:p>
      <w:pPr>
        <w:pStyle w:val="12"/>
        <w:numPr>
          <w:ilvl w:val="0"/>
          <w:numId w:val="0"/>
        </w:numPr>
        <w:ind w:left="638" w:leftChars="304" w:firstLine="0" w:firstLineChars="0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3、卫生健康支出。</w:t>
      </w:r>
    </w:p>
    <w:p>
      <w:pPr>
        <w:pStyle w:val="12"/>
        <w:ind w:firstLine="640" w:firstLineChars="20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46.24万元</w:t>
      </w:r>
      <w:r>
        <w:rPr>
          <w:rFonts w:hint="eastAsia" w:asciiTheme="minorEastAsia" w:hAnsiTheme="minorEastAsia" w:eastAsiaTheme="minorEastAsia"/>
          <w:sz w:val="32"/>
          <w:szCs w:val="32"/>
        </w:rPr>
        <w:t>，支出决算为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46.24</w:t>
      </w:r>
      <w:r>
        <w:rPr>
          <w:rFonts w:hint="eastAsia" w:asciiTheme="minorEastAsia" w:hAnsiTheme="minorEastAsia" w:eastAsiaTheme="minorEastAsia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sz w:val="32"/>
          <w:szCs w:val="32"/>
        </w:rPr>
        <w:t>%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。</w:t>
      </w:r>
    </w:p>
    <w:p>
      <w:pPr>
        <w:pStyle w:val="12"/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4、节能环保支出。</w:t>
      </w:r>
    </w:p>
    <w:p>
      <w:pPr>
        <w:pStyle w:val="12"/>
        <w:numPr>
          <w:ilvl w:val="0"/>
          <w:numId w:val="0"/>
        </w:numPr>
        <w:ind w:firstLine="640" w:firstLineChars="200"/>
        <w:jc w:val="left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1336.03万元，支出决算为1184.06万元，完成年初预算的89%。</w:t>
      </w:r>
      <w:r>
        <w:rPr>
          <w:rFonts w:hint="eastAsia" w:asciiTheme="minorEastAsia" w:hAnsiTheme="minorEastAsia" w:eastAsiaTheme="minorEastAsia"/>
          <w:sz w:val="32"/>
          <w:szCs w:val="32"/>
        </w:rPr>
        <w:t>决算数小于年初预算数的主要原因是：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2020年部分年终绩效奖在2021年发放。</w:t>
      </w:r>
    </w:p>
    <w:p>
      <w:pPr>
        <w:pStyle w:val="12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六、一般公共预算财政拨款基本支出决算情况说明</w:t>
      </w:r>
    </w:p>
    <w:p>
      <w:pPr>
        <w:pStyle w:val="12"/>
        <w:ind w:firstLine="640" w:firstLineChars="20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2020年度财政拨款基本支出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964.40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万元，其中：人员经费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774.70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万元，占基本支出的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80</w:t>
      </w:r>
      <w:r>
        <w:rPr>
          <w:rFonts w:hint="eastAsia" w:asciiTheme="minorEastAsia" w:hAnsiTheme="minorEastAsia" w:eastAsiaTheme="minorEastAsia"/>
          <w:sz w:val="32"/>
          <w:szCs w:val="32"/>
        </w:rPr>
        <w:t>%,主要包括基本工资、津贴补贴、奖金、伙食补助费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等</w:t>
      </w:r>
      <w:r>
        <w:rPr>
          <w:rFonts w:hint="eastAsia" w:asciiTheme="minorEastAsia" w:hAnsiTheme="minorEastAsia" w:eastAsiaTheme="minorEastAsia"/>
          <w:sz w:val="32"/>
          <w:szCs w:val="32"/>
        </w:rPr>
        <w:t>；公用经费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189.70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万元，占基本支出的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sz w:val="32"/>
          <w:szCs w:val="32"/>
        </w:rPr>
        <w:t>%，主要包括办公费、印刷费、咨询费、手续费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等</w:t>
      </w:r>
      <w:r>
        <w:rPr>
          <w:rFonts w:hint="eastAsia" w:asciiTheme="minorEastAsia" w:hAnsiTheme="minorEastAsia" w:eastAsiaTheme="minorEastAsia"/>
          <w:sz w:val="32"/>
          <w:szCs w:val="32"/>
        </w:rPr>
        <w:t>。</w:t>
      </w:r>
    </w:p>
    <w:p>
      <w:pPr>
        <w:pStyle w:val="12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七、一般公共预算财政拨款三公经费支出决算情况说明</w:t>
      </w:r>
    </w:p>
    <w:p>
      <w:pPr>
        <w:pStyle w:val="12"/>
        <w:ind w:firstLine="640" w:firstLineChars="20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（一）“三公”经费财政拨款支出决算总体情况说明</w:t>
      </w:r>
    </w:p>
    <w:p>
      <w:pPr>
        <w:pStyle w:val="12"/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“三公”经费财政拨款支出预算为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13.7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12.9</w:t>
      </w:r>
      <w:r>
        <w:rPr>
          <w:rFonts w:hint="eastAsia" w:asciiTheme="minorEastAsia" w:hAnsiTheme="minorEastAsia" w:eastAsiaTheme="minorEastAsia"/>
          <w:sz w:val="32"/>
          <w:szCs w:val="32"/>
        </w:rPr>
        <w:t>万元，完成预算的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94</w:t>
      </w:r>
      <w:r>
        <w:rPr>
          <w:rFonts w:hint="eastAsia" w:asciiTheme="minorEastAsia" w:hAnsiTheme="minorEastAsia" w:eastAsiaTheme="minorEastAsia"/>
          <w:sz w:val="32"/>
          <w:szCs w:val="32"/>
        </w:rPr>
        <w:t>%，其中：</w:t>
      </w:r>
    </w:p>
    <w:p>
      <w:pPr>
        <w:pStyle w:val="12"/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  <w:bookmarkStart w:id="1" w:name="_GoBack"/>
      <w:bookmarkEnd w:id="1"/>
      <w:r>
        <w:rPr>
          <w:rFonts w:hint="eastAsia" w:asciiTheme="minorEastAsia" w:hAnsiTheme="minorEastAsia" w:eastAsiaTheme="minorEastAsia"/>
          <w:sz w:val="32"/>
          <w:szCs w:val="32"/>
        </w:rPr>
        <w:t>无因公出国（境）费支出，与上年持平，2020年度我单位未开展因公出国（境）活动。</w:t>
      </w:r>
    </w:p>
    <w:p>
      <w:pPr>
        <w:pStyle w:val="12"/>
        <w:ind w:firstLine="800" w:firstLineChars="25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公务接待费支出预算为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10.2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万元，支出决算为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9.27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万元，完成预算的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91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%，决算数小于预算数的主要原因是，与上年相比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减少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0.68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万元，减少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6.9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%,减少的主要原因是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555555"/>
          <w:spacing w:val="0"/>
          <w:sz w:val="32"/>
          <w:szCs w:val="32"/>
          <w:shd w:val="clear" w:fill="FFFFFF"/>
        </w:rPr>
        <w:t>认真贯彻落实“八项”规定要求，实行预算控制制度。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严格遵照公务接待相关文件要求执行，控制接待标准等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。</w:t>
      </w:r>
    </w:p>
    <w:p>
      <w:pPr>
        <w:pStyle w:val="12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公务用车购置费及运行维护费支出预算为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3.5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3.63</w:t>
      </w:r>
      <w:r>
        <w:rPr>
          <w:rFonts w:hint="eastAsia" w:asciiTheme="minorEastAsia" w:hAnsiTheme="minorEastAsia" w:eastAsiaTheme="minorEastAsia"/>
          <w:sz w:val="32"/>
          <w:szCs w:val="32"/>
        </w:rPr>
        <w:t>万元，完成预算的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103</w:t>
      </w:r>
      <w:r>
        <w:rPr>
          <w:rFonts w:hint="eastAsia" w:asciiTheme="minorEastAsia" w:hAnsiTheme="minorEastAsia" w:eastAsiaTheme="minorEastAsia"/>
          <w:sz w:val="32"/>
          <w:szCs w:val="32"/>
        </w:rPr>
        <w:t>%，决算数大于预算数的主要原因是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车辆维护费增加</w:t>
      </w:r>
      <w:r>
        <w:rPr>
          <w:rFonts w:hint="eastAsia" w:asciiTheme="minorEastAsia" w:hAnsiTheme="minorEastAsia" w:eastAsiaTheme="minorEastAsia"/>
          <w:sz w:val="32"/>
          <w:szCs w:val="32"/>
        </w:rPr>
        <w:t>，与上年相比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增加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0.13</w:t>
      </w:r>
      <w:r>
        <w:rPr>
          <w:rFonts w:hint="eastAsia" w:asciiTheme="minorEastAsia" w:hAnsiTheme="minorEastAsia" w:eastAsiaTheme="minorEastAsia"/>
          <w:sz w:val="32"/>
          <w:szCs w:val="32"/>
        </w:rPr>
        <w:t>万元，增长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3.5</w:t>
      </w:r>
      <w:r>
        <w:rPr>
          <w:rFonts w:hint="eastAsia" w:asciiTheme="minorEastAsia" w:hAnsiTheme="minorEastAsia" w:eastAsiaTheme="minorEastAsia"/>
          <w:sz w:val="32"/>
          <w:szCs w:val="32"/>
        </w:rPr>
        <w:t>%,增长的主要原因是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车辆维护费增加</w:t>
      </w:r>
      <w:r>
        <w:rPr>
          <w:rFonts w:hint="eastAsia" w:asciiTheme="minorEastAsia" w:hAnsiTheme="minorEastAsia" w:eastAsiaTheme="minorEastAsia"/>
          <w:sz w:val="32"/>
          <w:szCs w:val="32"/>
        </w:rPr>
        <w:t>。</w:t>
      </w:r>
    </w:p>
    <w:p>
      <w:pPr>
        <w:pStyle w:val="12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（二）“三公”经费财政拨款支出决算具体情况说明</w:t>
      </w:r>
    </w:p>
    <w:p>
      <w:pPr>
        <w:pStyle w:val="12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2020年度“三公”经费财政拨款支出决算中，公务接待费支出决算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9.27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72</w:t>
      </w:r>
      <w:r>
        <w:rPr>
          <w:rFonts w:hint="eastAsia" w:asciiTheme="minorEastAsia" w:hAnsiTheme="minorEastAsia" w:eastAsiaTheme="minorEastAsia"/>
          <w:sz w:val="32"/>
          <w:szCs w:val="32"/>
        </w:rPr>
        <w:t>%,公务用车购置费及运行维护费支出决算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3.63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28</w:t>
      </w:r>
      <w:r>
        <w:rPr>
          <w:rFonts w:hint="eastAsia" w:asciiTheme="minorEastAsia" w:hAnsiTheme="minorEastAsia" w:eastAsiaTheme="minorEastAsia"/>
          <w:sz w:val="32"/>
          <w:szCs w:val="32"/>
        </w:rPr>
        <w:t>%。其中：</w:t>
      </w:r>
    </w:p>
    <w:p>
      <w:pPr>
        <w:pStyle w:val="12"/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2、公务接待费支出决算为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9.27</w:t>
      </w:r>
      <w:r>
        <w:rPr>
          <w:rFonts w:hint="eastAsia" w:asciiTheme="minorEastAsia" w:hAnsiTheme="minorEastAsia" w:eastAsiaTheme="minorEastAsia"/>
          <w:sz w:val="32"/>
          <w:szCs w:val="32"/>
        </w:rPr>
        <w:t>万元，全年共接待来访团组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77</w:t>
      </w:r>
      <w:r>
        <w:rPr>
          <w:rFonts w:hint="eastAsia" w:asciiTheme="minorEastAsia" w:hAnsiTheme="minorEastAsia" w:eastAsiaTheme="minorEastAsia"/>
          <w:sz w:val="32"/>
          <w:szCs w:val="32"/>
        </w:rPr>
        <w:t>个、来宾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420</w:t>
      </w:r>
      <w:r>
        <w:rPr>
          <w:rFonts w:hint="eastAsia" w:asciiTheme="minorEastAsia" w:hAnsiTheme="minorEastAsia" w:eastAsiaTheme="minorEastAsia"/>
          <w:sz w:val="32"/>
          <w:szCs w:val="32"/>
        </w:rPr>
        <w:t>人次，主要是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环保督察、交叉执法检查、学习交流、会议用餐等</w:t>
      </w:r>
      <w:r>
        <w:rPr>
          <w:rFonts w:hint="eastAsia" w:asciiTheme="minorEastAsia" w:hAnsiTheme="minorEastAsia" w:eastAsiaTheme="minorEastAsia"/>
          <w:sz w:val="32"/>
          <w:szCs w:val="32"/>
        </w:rPr>
        <w:t>发生的接待支出。</w:t>
      </w:r>
    </w:p>
    <w:p>
      <w:pPr>
        <w:ind w:firstLine="800" w:firstLineChars="250"/>
        <w:rPr>
          <w:rFonts w:hint="default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</w:rPr>
        <w:t>3、公务用车购置费及运行维护费支出决算为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3.63</w:t>
      </w:r>
      <w:r>
        <w:rPr>
          <w:rFonts w:hint="eastAsia" w:asciiTheme="minorEastAsia" w:hAnsiTheme="minorEastAsia"/>
          <w:sz w:val="32"/>
          <w:szCs w:val="32"/>
        </w:rPr>
        <w:t>万元，其中：公务用车运行维护费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3.63</w:t>
      </w:r>
      <w:r>
        <w:rPr>
          <w:rFonts w:hint="eastAsia" w:asciiTheme="minorEastAsia" w:hAnsiTheme="minorEastAsia"/>
          <w:sz w:val="32"/>
          <w:szCs w:val="32"/>
        </w:rPr>
        <w:t>万元，主要是</w:t>
      </w:r>
      <w:r>
        <w:rPr>
          <w:rFonts w:hint="eastAsia" w:asciiTheme="minorEastAsia" w:hAnsiTheme="minorEastAsia"/>
          <w:sz w:val="32"/>
          <w:szCs w:val="32"/>
          <w:lang w:eastAsia="zh-CN"/>
        </w:rPr>
        <w:t>车辆保险、车辆维修、车辆加油等</w:t>
      </w:r>
      <w:r>
        <w:rPr>
          <w:rFonts w:hint="eastAsia" w:asciiTheme="minorEastAsia" w:hAnsiTheme="minorEastAsia"/>
          <w:sz w:val="32"/>
          <w:szCs w:val="32"/>
        </w:rPr>
        <w:t>支出，截止2020年12月31日，我单位开支财政拨款的公务用车保有量为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/>
          <w:sz w:val="32"/>
          <w:szCs w:val="32"/>
        </w:rPr>
        <w:t>辆。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2020年公务用车购置费决算0万元，当年没有购置公务用车。</w:t>
      </w:r>
    </w:p>
    <w:p>
      <w:pPr>
        <w:pStyle w:val="12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八、政府性基金预算收入支出决算情况</w:t>
      </w:r>
    </w:p>
    <w:p>
      <w:pPr>
        <w:pStyle w:val="12"/>
        <w:rPr>
          <w:rFonts w:hint="eastAsia" w:asciiTheme="minorEastAsia" w:hAnsiTheme="minorEastAsia" w:eastAsiaTheme="minorEastAsia"/>
          <w:i/>
          <w:color w:val="FF000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auto"/>
          <w:sz w:val="32"/>
          <w:szCs w:val="32"/>
        </w:rPr>
        <w:t>本单位无政府性基金收支</w:t>
      </w:r>
      <w:r>
        <w:rPr>
          <w:rFonts w:hint="eastAsia" w:ascii="宋体" w:hAnsi="宋体" w:eastAsia="宋体" w:cs="宋体"/>
          <w:i w:val="0"/>
          <w:iCs w:val="0"/>
          <w:color w:val="auto"/>
          <w:sz w:val="32"/>
          <w:szCs w:val="32"/>
          <w:lang w:eastAsia="zh-CN"/>
        </w:rPr>
        <w:t>。</w:t>
      </w:r>
    </w:p>
    <w:p>
      <w:pPr>
        <w:pStyle w:val="12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九、国有资本经营预算财政拨款支出决算情况</w:t>
      </w:r>
    </w:p>
    <w:p>
      <w:pPr>
        <w:pStyle w:val="12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本</w:t>
      </w:r>
      <w:r>
        <w:rPr>
          <w:rFonts w:hint="eastAsia" w:asciiTheme="minorEastAsia" w:hAnsiTheme="minorEastAsia" w:eastAsiaTheme="minorEastAsia"/>
          <w:sz w:val="32"/>
          <w:szCs w:val="32"/>
        </w:rPr>
        <w:t>单位无国有资本经营预算财政拨款支出</w:t>
      </w:r>
      <w:r>
        <w:rPr>
          <w:rFonts w:asciiTheme="minorEastAsia" w:hAnsiTheme="minorEastAsia" w:eastAsiaTheme="minorEastAsia"/>
          <w:sz w:val="32"/>
          <w:szCs w:val="32"/>
        </w:rPr>
        <w:t>。</w:t>
      </w:r>
    </w:p>
    <w:p>
      <w:pPr>
        <w:pStyle w:val="12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十、关于机关运行经费支出说明</w:t>
      </w:r>
    </w:p>
    <w:p>
      <w:pPr>
        <w:pStyle w:val="12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本部门2020年度机关运行经费支出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189.7</w:t>
      </w:r>
      <w:r>
        <w:rPr>
          <w:rFonts w:hint="eastAsia" w:asciiTheme="minorEastAsia" w:hAnsiTheme="minorEastAsia" w:eastAsiaTheme="minorEastAsia"/>
          <w:sz w:val="32"/>
          <w:szCs w:val="32"/>
        </w:rPr>
        <w:t>万元，比年初预算数增加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2.93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 万元，增长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1.5</w:t>
      </w:r>
      <w:r>
        <w:rPr>
          <w:rFonts w:hint="eastAsia" w:asciiTheme="minorEastAsia" w:hAnsiTheme="minorEastAsia" w:eastAsiaTheme="minorEastAsia"/>
          <w:sz w:val="32"/>
          <w:szCs w:val="32"/>
        </w:rPr>
        <w:t>%。主要原因是：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公务交通补贴增加</w:t>
      </w:r>
      <w:r>
        <w:rPr>
          <w:rFonts w:hint="eastAsia" w:asciiTheme="minorEastAsia" w:hAnsiTheme="minorEastAsia" w:eastAsiaTheme="minorEastAsia"/>
          <w:sz w:val="32"/>
          <w:szCs w:val="32"/>
        </w:rPr>
        <w:t>。</w:t>
      </w:r>
    </w:p>
    <w:p>
      <w:pPr>
        <w:pStyle w:val="12"/>
        <w:numPr>
          <w:ilvl w:val="0"/>
          <w:numId w:val="3"/>
        </w:numPr>
        <w:rPr>
          <w:rFonts w:hint="eastAsia"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一般性支出情况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2020年本部门开支会议费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5.53</w:t>
      </w:r>
      <w:r>
        <w:rPr>
          <w:rFonts w:hint="eastAsia" w:asciiTheme="minorEastAsia" w:hAnsiTheme="minorEastAsia" w:eastAsiaTheme="minorEastAsia"/>
          <w:sz w:val="32"/>
          <w:szCs w:val="32"/>
        </w:rPr>
        <w:t>万元，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总</w:t>
      </w:r>
      <w:r>
        <w:rPr>
          <w:rFonts w:hint="eastAsia" w:asciiTheme="minorEastAsia" w:hAnsiTheme="minorEastAsia" w:eastAsiaTheme="minorEastAsia"/>
          <w:sz w:val="32"/>
          <w:szCs w:val="32"/>
        </w:rPr>
        <w:t>人数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420</w:t>
      </w:r>
      <w:r>
        <w:rPr>
          <w:rFonts w:hint="eastAsia" w:asciiTheme="minorEastAsia" w:hAnsiTheme="minorEastAsia" w:eastAsiaTheme="minorEastAsia"/>
          <w:sz w:val="32"/>
          <w:szCs w:val="32"/>
        </w:rPr>
        <w:t>人，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会议内容为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农村污水治理会议，污染防治攻坚调研会、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全市生态环境工作会议、汨罗市迎接中央环保督察工作部署会、省生态环境保护督察组督察岳阳市“回头看”情况反馈会、全省生态环境保护工作电视电话会、应急响应管理工作视频会等；</w:t>
      </w:r>
      <w:r>
        <w:rPr>
          <w:rFonts w:hint="eastAsia" w:asciiTheme="minorEastAsia" w:hAnsiTheme="minorEastAsia" w:eastAsiaTheme="minorEastAsia"/>
          <w:sz w:val="32"/>
          <w:szCs w:val="32"/>
        </w:rPr>
        <w:t>开支培训费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5.9</w:t>
      </w:r>
      <w:r>
        <w:rPr>
          <w:rFonts w:hint="eastAsia" w:asciiTheme="minorEastAsia" w:hAnsiTheme="minorEastAsia" w:eastAsiaTheme="minorEastAsia"/>
          <w:sz w:val="32"/>
          <w:szCs w:val="32"/>
        </w:rPr>
        <w:t>万元，用于开展环保业务培训，人数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680</w:t>
      </w:r>
      <w:r>
        <w:rPr>
          <w:rFonts w:hint="eastAsia" w:asciiTheme="minorEastAsia" w:hAnsiTheme="minorEastAsia" w:eastAsiaTheme="minorEastAsia"/>
          <w:sz w:val="32"/>
          <w:szCs w:val="32"/>
        </w:rPr>
        <w:t>人，内容为环保业务培训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。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2020年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举办赛事活动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8万元，内容为元端午包粽子比赛、拔河比赛、六五环境日演出活动、足球赛、篮球赛等。</w:t>
      </w:r>
    </w:p>
    <w:p>
      <w:pPr>
        <w:pStyle w:val="12"/>
        <w:ind w:firstLine="640" w:firstLineChars="20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</w:p>
    <w:p>
      <w:pPr>
        <w:pStyle w:val="12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十二、关于政府采购支出说明</w:t>
      </w:r>
    </w:p>
    <w:p>
      <w:pPr>
        <w:pStyle w:val="12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本部门2020年度政府采购支出总额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187.37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万元，其中：政府采购货物支出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11.31</w:t>
      </w:r>
      <w:r>
        <w:rPr>
          <w:rFonts w:hint="eastAsia" w:asciiTheme="minorEastAsia" w:hAnsiTheme="minorEastAsia" w:eastAsiaTheme="minorEastAsia"/>
          <w:sz w:val="32"/>
          <w:szCs w:val="32"/>
        </w:rPr>
        <w:t>万元、政府采购工程支出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万元、政府采购服务支出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176.06</w:t>
      </w:r>
      <w:r>
        <w:rPr>
          <w:rFonts w:hint="eastAsia" w:asciiTheme="minorEastAsia" w:hAnsiTheme="minorEastAsia" w:eastAsiaTheme="minorEastAsia"/>
          <w:sz w:val="32"/>
          <w:szCs w:val="32"/>
        </w:rPr>
        <w:t>万元。授予中小企业合同金额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187.37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万元，占政府采购支出总额的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sz w:val="32"/>
          <w:szCs w:val="32"/>
        </w:rPr>
        <w:t>%，其中：授予小微企业合同金额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万元，占政府采购支出总额的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%。</w:t>
      </w:r>
    </w:p>
    <w:p>
      <w:pPr>
        <w:pStyle w:val="12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十三、关于国有资产占用情况说明</w:t>
      </w:r>
    </w:p>
    <w:p>
      <w:pPr>
        <w:pStyle w:val="12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截至2020年12月31日，本单位共有车辆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32"/>
          <w:szCs w:val="32"/>
        </w:rPr>
        <w:t>辆，其中，主要领导干部用车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辆，机要通信用车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辆、应急保障用车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辆、执法执勤用车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32"/>
          <w:szCs w:val="32"/>
        </w:rPr>
        <w:t>辆、特种专业技术用车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辆、其他用车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辆；单位价值50万元以上通用设备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台（套）；单位价值100万元以上专用设备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台（套）。</w:t>
      </w:r>
    </w:p>
    <w:p>
      <w:pPr>
        <w:pStyle w:val="12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十四、关于2020年度预算绩效情况的说明</w:t>
      </w:r>
    </w:p>
    <w:p>
      <w:pPr>
        <w:pStyle w:val="12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本部门预算绩效管理开展情况、绩效目标和绩效评价报告等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作为附件公开。</w:t>
      </w:r>
    </w:p>
    <w:p>
      <w:pPr>
        <w:pStyle w:val="12"/>
        <w:rPr>
          <w:rFonts w:hAnsi="黑体"/>
          <w:b/>
          <w:sz w:val="32"/>
          <w:szCs w:val="32"/>
        </w:rPr>
      </w:pPr>
    </w:p>
    <w:p>
      <w:pPr>
        <w:pStyle w:val="12"/>
        <w:jc w:val="center"/>
        <w:rPr>
          <w:sz w:val="72"/>
          <w:szCs w:val="72"/>
        </w:rPr>
      </w:pPr>
    </w:p>
    <w:p>
      <w:pPr>
        <w:pStyle w:val="12"/>
        <w:jc w:val="center"/>
        <w:rPr>
          <w:sz w:val="72"/>
          <w:szCs w:val="72"/>
        </w:rPr>
      </w:pPr>
    </w:p>
    <w:p>
      <w:pPr>
        <w:pStyle w:val="12"/>
        <w:jc w:val="center"/>
        <w:rPr>
          <w:sz w:val="72"/>
          <w:szCs w:val="72"/>
        </w:rPr>
      </w:pPr>
    </w:p>
    <w:p>
      <w:pPr>
        <w:pStyle w:val="12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第四部分</w:t>
      </w: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rFonts w:hint="eastAsia" w:ascii="黑体" w:eastAsia="黑体" w:cs="黑体"/>
          <w:color w:val="000000"/>
          <w:kern w:val="0"/>
          <w:sz w:val="70"/>
          <w:szCs w:val="70"/>
        </w:rPr>
        <w:t>名词解释</w:t>
      </w:r>
    </w:p>
    <w:p>
      <w:pPr>
        <w:widowControl/>
        <w:jc w:val="left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rFonts w:ascii="黑体" w:eastAsia="黑体" w:cs="黑体"/>
          <w:color w:val="000000"/>
          <w:kern w:val="0"/>
          <w:sz w:val="70"/>
          <w:szCs w:val="70"/>
        </w:rPr>
        <w:br w:type="page"/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cs="黑体" w:asciiTheme="minorEastAsia" w:hAnsiTheme="minorEastAsia"/>
          <w:b/>
          <w:bCs/>
          <w:color w:val="000000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cs="黑体" w:asciiTheme="minorEastAsia" w:hAnsiTheme="minorEastAsia" w:eastAsiaTheme="minorEastAsia"/>
          <w:b/>
          <w:bCs/>
          <w:color w:val="000000"/>
          <w:kern w:val="0"/>
          <w:sz w:val="32"/>
          <w:szCs w:val="32"/>
          <w:lang w:val="en-US" w:eastAsia="zh-CN" w:bidi="ar-SA"/>
        </w:rPr>
        <w:t>机关运行经费：</w:t>
      </w: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为保障行政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 w:bidi="ar-SA"/>
        </w:rPr>
        <w:t>岳阳市生态环境局汨罗分局</w:t>
      </w: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（包括参照公务员法管理的事业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 w:bidi="ar-SA"/>
        </w:rPr>
        <w:t>岳阳市生态环境局汨罗分局</w:t>
      </w: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）运行，用当年财政拨款安排的用于购买货物和服务的各项资金，包括办公及印刷费、邮电费、差旅费、会议费、福利费、日常维修费、办公用房水电费、办公用房取暖费、办公用房物业管理费、公务用车运行维护费以及其他费用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cs="黑体" w:asciiTheme="minorEastAsia" w:hAnsiTheme="minorEastAsia"/>
          <w:b/>
          <w:bCs/>
          <w:color w:val="000000"/>
          <w:kern w:val="0"/>
          <w:sz w:val="32"/>
          <w:szCs w:val="32"/>
          <w:lang w:val="en-US" w:eastAsia="zh-CN" w:bidi="ar-SA"/>
        </w:rPr>
        <w:t>二、</w:t>
      </w:r>
      <w:r>
        <w:rPr>
          <w:rFonts w:hint="eastAsia" w:cs="黑体" w:asciiTheme="minorEastAsia" w:hAnsiTheme="minorEastAsia" w:eastAsiaTheme="minorEastAsia"/>
          <w:b/>
          <w:bCs/>
          <w:color w:val="000000"/>
          <w:kern w:val="0"/>
          <w:sz w:val="32"/>
          <w:szCs w:val="32"/>
          <w:lang w:val="en-US" w:eastAsia="zh-CN" w:bidi="ar-SA"/>
        </w:rPr>
        <w:t>“三公”经费：</w:t>
      </w: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纳入省财政预算管理的“三公“经费，是指用当年一般公共预算拨款安排的公务接待费、公务用车购置及运行维护费和因公出国（境）费。其中，公务接待费反映汨罗市环境保护局按规定开支的各类公务接待支出；公务用车购置及运行费反映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 w:bidi="ar-SA"/>
        </w:rPr>
        <w:t>岳阳市生态环境局汨罗分局</w:t>
      </w: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公务用车车辆购置支出（含车辆购置税）及燃料费、维修费、保险费等支出；因公出国（境）费反映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 w:bidi="ar-SA"/>
        </w:rPr>
        <w:t>岳阳市生态环境局汨罗分局</w:t>
      </w: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公务出国（境）的国际旅费、国外城市间交通费、住宿费等支出。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cs="黑体" w:asciiTheme="minorEastAsia" w:hAnsiTheme="minorEastAsia"/>
          <w:b/>
          <w:bCs/>
          <w:color w:val="000000"/>
          <w:kern w:val="0"/>
          <w:sz w:val="32"/>
          <w:szCs w:val="32"/>
          <w:lang w:val="en-US" w:eastAsia="zh-CN" w:bidi="ar-SA"/>
        </w:rPr>
        <w:t>三、</w:t>
      </w:r>
      <w:r>
        <w:rPr>
          <w:rFonts w:hint="eastAsia" w:cs="黑体" w:asciiTheme="minorEastAsia" w:hAnsiTheme="minorEastAsia" w:eastAsiaTheme="minorEastAsia"/>
          <w:b/>
          <w:bCs/>
          <w:color w:val="000000"/>
          <w:kern w:val="0"/>
          <w:sz w:val="32"/>
          <w:szCs w:val="32"/>
          <w:lang w:val="en-US" w:eastAsia="zh-CN" w:bidi="ar-SA"/>
        </w:rPr>
        <w:t>基本支出：</w:t>
      </w: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指为保障机构正常运转、完成日常工作任务而发生的人员支出和公用支出。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cs="黑体" w:asciiTheme="minorEastAsia" w:hAnsiTheme="minorEastAsia"/>
          <w:b/>
          <w:bCs/>
          <w:color w:val="000000"/>
          <w:kern w:val="0"/>
          <w:sz w:val="32"/>
          <w:szCs w:val="32"/>
          <w:lang w:val="en-US" w:eastAsia="zh-CN" w:bidi="ar-SA"/>
        </w:rPr>
        <w:t>四、</w:t>
      </w:r>
      <w:r>
        <w:rPr>
          <w:rFonts w:hint="eastAsia" w:cs="黑体" w:asciiTheme="minorEastAsia" w:hAnsiTheme="minorEastAsia" w:eastAsiaTheme="minorEastAsia"/>
          <w:b/>
          <w:bCs/>
          <w:color w:val="000000"/>
          <w:kern w:val="0"/>
          <w:sz w:val="32"/>
          <w:szCs w:val="32"/>
          <w:lang w:val="en-US" w:eastAsia="zh-CN" w:bidi="ar-SA"/>
        </w:rPr>
        <w:t>项目支出：</w:t>
      </w: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指在基本支出之外完成特定行政任务和事业发展目标所发生的支出。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12"/>
        <w:jc w:val="center"/>
        <w:rPr>
          <w:sz w:val="72"/>
          <w:szCs w:val="72"/>
        </w:rPr>
      </w:pPr>
    </w:p>
    <w:p>
      <w:pPr>
        <w:pStyle w:val="12"/>
        <w:jc w:val="center"/>
        <w:rPr>
          <w:sz w:val="72"/>
          <w:szCs w:val="72"/>
        </w:rPr>
      </w:pPr>
    </w:p>
    <w:p>
      <w:pPr>
        <w:pStyle w:val="12"/>
        <w:jc w:val="center"/>
        <w:rPr>
          <w:sz w:val="72"/>
          <w:szCs w:val="72"/>
        </w:rPr>
      </w:pPr>
    </w:p>
    <w:p>
      <w:pPr>
        <w:pStyle w:val="12"/>
        <w:jc w:val="both"/>
        <w:rPr>
          <w:sz w:val="72"/>
          <w:szCs w:val="72"/>
        </w:rPr>
      </w:pPr>
    </w:p>
    <w:p>
      <w:pPr>
        <w:pStyle w:val="12"/>
        <w:jc w:val="center"/>
        <w:rPr>
          <w:sz w:val="72"/>
          <w:szCs w:val="72"/>
        </w:rPr>
      </w:pPr>
    </w:p>
    <w:p>
      <w:pPr>
        <w:pStyle w:val="12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第五部分</w:t>
      </w: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rFonts w:hint="eastAsia" w:ascii="黑体" w:eastAsia="黑体" w:cs="黑体"/>
          <w:color w:val="000000"/>
          <w:kern w:val="0"/>
          <w:sz w:val="70"/>
          <w:szCs w:val="70"/>
        </w:rPr>
        <w:t>附件</w:t>
      </w:r>
    </w:p>
    <w:p>
      <w:pPr>
        <w:widowControl/>
        <w:jc w:val="left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rFonts w:ascii="黑体" w:eastAsia="黑体" w:cs="黑体"/>
          <w:color w:val="000000"/>
          <w:kern w:val="0"/>
          <w:sz w:val="70"/>
          <w:szCs w:val="70"/>
        </w:rPr>
        <w:br w:type="page"/>
      </w: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sectPr>
      <w:pgSz w:w="11906" w:h="16838"/>
      <w:pgMar w:top="1984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3C346F"/>
    <w:multiLevelType w:val="singleLevel"/>
    <w:tmpl w:val="D63C346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DDC2843"/>
    <w:multiLevelType w:val="singleLevel"/>
    <w:tmpl w:val="EDDC2843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73518C1"/>
    <w:multiLevelType w:val="multilevel"/>
    <w:tmpl w:val="373518C1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F9"/>
    <w:rsid w:val="0002229B"/>
    <w:rsid w:val="000273BD"/>
    <w:rsid w:val="000415B7"/>
    <w:rsid w:val="00041E3F"/>
    <w:rsid w:val="00055DAA"/>
    <w:rsid w:val="00061F7B"/>
    <w:rsid w:val="000658A3"/>
    <w:rsid w:val="00074155"/>
    <w:rsid w:val="000A3F69"/>
    <w:rsid w:val="000E3EB2"/>
    <w:rsid w:val="00103957"/>
    <w:rsid w:val="00152C6D"/>
    <w:rsid w:val="00162D39"/>
    <w:rsid w:val="001678BD"/>
    <w:rsid w:val="00185DB4"/>
    <w:rsid w:val="001A67DB"/>
    <w:rsid w:val="001C3C29"/>
    <w:rsid w:val="001D4F1A"/>
    <w:rsid w:val="001D51E5"/>
    <w:rsid w:val="001E080D"/>
    <w:rsid w:val="001E53D0"/>
    <w:rsid w:val="001F0C3B"/>
    <w:rsid w:val="00202C82"/>
    <w:rsid w:val="00210B4D"/>
    <w:rsid w:val="00214427"/>
    <w:rsid w:val="00226CB7"/>
    <w:rsid w:val="00264552"/>
    <w:rsid w:val="00264EF9"/>
    <w:rsid w:val="00265724"/>
    <w:rsid w:val="0027426B"/>
    <w:rsid w:val="002D7169"/>
    <w:rsid w:val="002E0A30"/>
    <w:rsid w:val="003130C4"/>
    <w:rsid w:val="00316C4B"/>
    <w:rsid w:val="0032192B"/>
    <w:rsid w:val="003479BD"/>
    <w:rsid w:val="00353197"/>
    <w:rsid w:val="0037197D"/>
    <w:rsid w:val="003768D5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500E5F"/>
    <w:rsid w:val="005122EF"/>
    <w:rsid w:val="0051441A"/>
    <w:rsid w:val="00517C33"/>
    <w:rsid w:val="00523644"/>
    <w:rsid w:val="0054069E"/>
    <w:rsid w:val="00544866"/>
    <w:rsid w:val="005767CC"/>
    <w:rsid w:val="00590D9F"/>
    <w:rsid w:val="00595D26"/>
    <w:rsid w:val="005A74E6"/>
    <w:rsid w:val="005B404E"/>
    <w:rsid w:val="005B74B2"/>
    <w:rsid w:val="005D4D55"/>
    <w:rsid w:val="005E2CFB"/>
    <w:rsid w:val="005F3D1C"/>
    <w:rsid w:val="0062378F"/>
    <w:rsid w:val="00641842"/>
    <w:rsid w:val="00651EEC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7006"/>
    <w:rsid w:val="00717621"/>
    <w:rsid w:val="00720FF1"/>
    <w:rsid w:val="00727A53"/>
    <w:rsid w:val="00770C9A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05F0E"/>
    <w:rsid w:val="00D148C6"/>
    <w:rsid w:val="00D17A8A"/>
    <w:rsid w:val="00D415BA"/>
    <w:rsid w:val="00D644EE"/>
    <w:rsid w:val="00DD06FF"/>
    <w:rsid w:val="00DD5FE9"/>
    <w:rsid w:val="00E00C7A"/>
    <w:rsid w:val="00E37D6C"/>
    <w:rsid w:val="00E55B68"/>
    <w:rsid w:val="00E67BE6"/>
    <w:rsid w:val="00E8683C"/>
    <w:rsid w:val="00EA2B72"/>
    <w:rsid w:val="00F74360"/>
    <w:rsid w:val="00FB462F"/>
    <w:rsid w:val="00FE16FA"/>
    <w:rsid w:val="00FE328A"/>
    <w:rsid w:val="00FE6269"/>
    <w:rsid w:val="06200439"/>
    <w:rsid w:val="0AF64CB2"/>
    <w:rsid w:val="0D8C1726"/>
    <w:rsid w:val="0FCA5046"/>
    <w:rsid w:val="105515F1"/>
    <w:rsid w:val="12A345AD"/>
    <w:rsid w:val="167772BE"/>
    <w:rsid w:val="18150759"/>
    <w:rsid w:val="184C67D5"/>
    <w:rsid w:val="1A6A10E7"/>
    <w:rsid w:val="1EDD332D"/>
    <w:rsid w:val="2C0230B0"/>
    <w:rsid w:val="2D4F6146"/>
    <w:rsid w:val="2D52686B"/>
    <w:rsid w:val="369D3B00"/>
    <w:rsid w:val="3A87433B"/>
    <w:rsid w:val="3CCC3838"/>
    <w:rsid w:val="42B62B77"/>
    <w:rsid w:val="44483BFA"/>
    <w:rsid w:val="4AAA25B5"/>
    <w:rsid w:val="4F76536F"/>
    <w:rsid w:val="4F86704F"/>
    <w:rsid w:val="50852DB4"/>
    <w:rsid w:val="518369CC"/>
    <w:rsid w:val="52851291"/>
    <w:rsid w:val="5297678F"/>
    <w:rsid w:val="56D60CA9"/>
    <w:rsid w:val="63507A67"/>
    <w:rsid w:val="6406476C"/>
    <w:rsid w:val="64F241D3"/>
    <w:rsid w:val="67E77330"/>
    <w:rsid w:val="6841681A"/>
    <w:rsid w:val="696A1127"/>
    <w:rsid w:val="75F57F25"/>
    <w:rsid w:val="76E05984"/>
    <w:rsid w:val="785A448D"/>
    <w:rsid w:val="7965150D"/>
    <w:rsid w:val="79B01739"/>
    <w:rsid w:val="7B484B83"/>
    <w:rsid w:val="7E72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783442-B9FC-476F-83C9-27EA0B9F67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24</Pages>
  <Words>1343</Words>
  <Characters>7657</Characters>
  <Lines>63</Lines>
  <Paragraphs>17</Paragraphs>
  <TotalTime>3</TotalTime>
  <ScaleCrop>false</ScaleCrop>
  <LinksUpToDate>false</LinksUpToDate>
  <CharactersWithSpaces>8983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2021-09-08T01:50:00Z</dcterms:created>
  <dc:creator>李航 null</dc:creator>
  <cp:lastModifiedBy>谢胜利</cp:lastModifiedBy>
  <cp:lastPrinted>2021-07-28T00:12:00Z</cp:lastPrinted>
  <dcterms:modified xsi:type="dcterms:W3CDTF">2022-06-14T04:19:55Z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0483650B674E4273AFD667477D5183F2</vt:lpwstr>
  </property>
</Properties>
</file>