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200" w:lineRule="exact"/>
        <w:ind w:left="0" w:leftChars="0" w:firstLine="0" w:firstLineChars="0"/>
        <w:jc w:val="center"/>
        <w:rPr>
          <w:rFonts w:hint="default" w:ascii="楷体_GB2312" w:hAnsi="宋体" w:eastAsia="楷体_GB2312"/>
          <w:b/>
          <w:sz w:val="32"/>
          <w:szCs w:val="32"/>
          <w:lang w:val="en-US" w:eastAsia="zh-CN"/>
        </w:rPr>
      </w:pPr>
      <w:r>
        <w:rPr>
          <w:rFonts w:hint="eastAsia" w:ascii="楷体_GB2312" w:hAnsi="宋体" w:eastAsia="楷体_GB2312"/>
          <w:b/>
          <w:sz w:val="32"/>
          <w:szCs w:val="32"/>
          <w:lang w:eastAsia="zh-CN"/>
        </w:rPr>
        <w:t>岳阳市</w:t>
      </w:r>
      <w:r>
        <w:rPr>
          <w:rFonts w:hint="eastAsia" w:ascii="楷体_GB2312" w:hAnsi="宋体" w:eastAsia="楷体_GB2312"/>
          <w:b/>
          <w:sz w:val="32"/>
          <w:szCs w:val="32"/>
          <w:lang w:val="en-US" w:eastAsia="zh-CN"/>
        </w:rPr>
        <w:t>自然资源和规划局</w:t>
      </w:r>
      <w:r>
        <w:rPr>
          <w:rFonts w:hint="eastAsia" w:ascii="楷体_GB2312" w:hAnsi="宋体" w:eastAsia="楷体_GB2312"/>
          <w:b/>
          <w:sz w:val="32"/>
          <w:szCs w:val="32"/>
          <w:lang w:eastAsia="zh-CN"/>
        </w:rPr>
        <w:t>整体支出</w:t>
      </w:r>
    </w:p>
    <w:p>
      <w:pPr>
        <w:spacing w:line="1200" w:lineRule="exact"/>
        <w:jc w:val="center"/>
        <w:rPr>
          <w:rFonts w:hint="eastAsia" w:ascii="楷体_GB2312" w:hAnsi="宋体" w:eastAsia="楷体_GB2312"/>
          <w:b/>
          <w:bCs/>
          <w:spacing w:val="152"/>
          <w:sz w:val="84"/>
          <w:szCs w:val="84"/>
        </w:rPr>
      </w:pPr>
      <w:r>
        <w:rPr>
          <w:rFonts w:hint="eastAsia" w:ascii="楷体_GB2312" w:hAnsi="宋体" w:eastAsia="楷体_GB2312"/>
          <w:b/>
          <w:bCs/>
          <w:spacing w:val="152"/>
          <w:sz w:val="72"/>
          <w:szCs w:val="72"/>
        </w:rPr>
        <w:t>绩效</w:t>
      </w:r>
      <w:r>
        <w:rPr>
          <w:rFonts w:hint="eastAsia" w:ascii="楷体_GB2312" w:hAnsi="宋体" w:eastAsia="楷体_GB2312"/>
          <w:b/>
          <w:bCs/>
          <w:spacing w:val="152"/>
          <w:sz w:val="72"/>
          <w:szCs w:val="72"/>
          <w:lang w:val="en-US" w:eastAsia="zh-CN"/>
        </w:rPr>
        <w:t>自</w:t>
      </w:r>
      <w:r>
        <w:rPr>
          <w:rFonts w:hint="eastAsia" w:ascii="楷体_GB2312" w:hAnsi="宋体" w:eastAsia="楷体_GB2312"/>
          <w:b/>
          <w:bCs/>
          <w:spacing w:val="152"/>
          <w:sz w:val="72"/>
          <w:szCs w:val="72"/>
        </w:rPr>
        <w:t>评报告书</w:t>
      </w:r>
    </w:p>
    <w:p>
      <w:pPr>
        <w:spacing w:line="760" w:lineRule="exact"/>
        <w:jc w:val="center"/>
        <w:outlineLvl w:val="0"/>
        <w:rPr>
          <w:rFonts w:hint="eastAsia" w:ascii="楷体_GB2312" w:hAnsi="宋体" w:eastAsia="楷体_GB2312"/>
          <w:b/>
          <w:bCs/>
          <w:color w:val="FF0000"/>
          <w:sz w:val="32"/>
          <w:szCs w:val="32"/>
        </w:rPr>
      </w:pPr>
      <w:r>
        <w:rPr>
          <w:rFonts w:hint="eastAsia" w:ascii="楷体_GB2312" w:hAnsi="宋体" w:eastAsia="楷体_GB2312"/>
          <w:b/>
          <w:bCs/>
          <w:sz w:val="32"/>
          <w:szCs w:val="32"/>
        </w:rPr>
        <w:t>湘恒兴专审字（</w:t>
      </w:r>
      <w:r>
        <w:rPr>
          <w:rFonts w:hint="eastAsia" w:ascii="楷体_GB2312" w:hAnsi="宋体" w:eastAsia="楷体_GB2312"/>
          <w:b/>
          <w:bCs/>
          <w:sz w:val="32"/>
          <w:szCs w:val="32"/>
          <w:lang w:val="en-US" w:eastAsia="zh-CN"/>
        </w:rPr>
        <w:t>2021</w:t>
      </w:r>
      <w:r>
        <w:rPr>
          <w:rFonts w:hint="eastAsia" w:ascii="楷体_GB2312" w:hAnsi="宋体" w:eastAsia="楷体_GB2312"/>
          <w:b/>
          <w:bCs/>
          <w:sz w:val="32"/>
          <w:szCs w:val="32"/>
        </w:rPr>
        <w:t>）</w:t>
      </w:r>
      <w:r>
        <w:rPr>
          <w:rFonts w:hint="eastAsia" w:ascii="楷体_GB2312" w:hAnsi="宋体" w:eastAsia="楷体_GB2312"/>
          <w:b/>
          <w:bCs/>
          <w:color w:val="auto"/>
          <w:sz w:val="32"/>
          <w:szCs w:val="32"/>
        </w:rPr>
        <w:t>第</w:t>
      </w:r>
      <w:r>
        <w:rPr>
          <w:rFonts w:hint="eastAsia" w:ascii="楷体_GB2312" w:hAnsi="宋体" w:eastAsia="楷体_GB2312"/>
          <w:b/>
          <w:bCs/>
          <w:color w:val="auto"/>
          <w:sz w:val="32"/>
          <w:szCs w:val="32"/>
          <w:lang w:val="en-US" w:eastAsia="zh-CN"/>
        </w:rPr>
        <w:t>0</w:t>
      </w:r>
      <w:r>
        <w:rPr>
          <w:rFonts w:hint="eastAsia" w:ascii="楷体_GB2312" w:hAnsi="宋体" w:eastAsia="楷体_GB2312"/>
          <w:b/>
          <w:bCs/>
          <w:color w:val="auto"/>
          <w:sz w:val="32"/>
          <w:szCs w:val="32"/>
        </w:rPr>
        <w:t>号</w:t>
      </w:r>
    </w:p>
    <w:p>
      <w:pPr>
        <w:spacing w:line="760" w:lineRule="exact"/>
        <w:jc w:val="center"/>
        <w:rPr>
          <w:rFonts w:hint="eastAsia" w:ascii="楷体_GB2312" w:hAnsi="宋体" w:eastAsia="楷体_GB2312"/>
          <w:b/>
          <w:bCs/>
        </w:rPr>
      </w:pPr>
    </w:p>
    <w:p>
      <w:pPr>
        <w:spacing w:line="760" w:lineRule="exact"/>
        <w:jc w:val="center"/>
        <w:rPr>
          <w:rFonts w:hint="eastAsia" w:ascii="楷体_GB2312" w:hAnsi="宋体" w:eastAsia="楷体_GB2312"/>
          <w:b/>
          <w:bCs/>
        </w:rPr>
      </w:pPr>
    </w:p>
    <w:p>
      <w:pPr>
        <w:spacing w:line="760" w:lineRule="exact"/>
        <w:jc w:val="center"/>
        <w:rPr>
          <w:rFonts w:hint="eastAsia" w:ascii="楷体_GB2312" w:hAnsi="宋体" w:eastAsia="楷体_GB2312"/>
          <w:b/>
          <w:bCs/>
        </w:rPr>
      </w:pPr>
    </w:p>
    <w:p>
      <w:pPr>
        <w:spacing w:line="760" w:lineRule="exact"/>
        <w:jc w:val="center"/>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keepNext w:val="0"/>
        <w:keepLines w:val="0"/>
        <w:pageBreakBefore w:val="0"/>
        <w:widowControl w:val="0"/>
        <w:kinsoku/>
        <w:wordWrap/>
        <w:overflowPunct/>
        <w:topLinePunct w:val="0"/>
        <w:autoSpaceDE/>
        <w:autoSpaceDN/>
        <w:bidi w:val="0"/>
        <w:adjustRightInd/>
        <w:snapToGrid/>
        <w:spacing w:line="400" w:lineRule="exact"/>
        <w:ind w:firstLine="1805" w:firstLineChars="500"/>
        <w:jc w:val="both"/>
        <w:textAlignment w:val="auto"/>
        <w:outlineLvl w:val="0"/>
        <w:rPr>
          <w:rFonts w:hint="eastAsia" w:ascii="楷体_GB2312" w:hAnsi="宋体" w:eastAsia="楷体_GB2312"/>
          <w:b/>
          <w:bCs/>
          <w:spacing w:val="40"/>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1805" w:firstLineChars="500"/>
        <w:jc w:val="both"/>
        <w:textAlignment w:val="auto"/>
        <w:outlineLvl w:val="0"/>
        <w:rPr>
          <w:rFonts w:hint="eastAsia" w:ascii="楷体_GB2312" w:hAnsi="宋体" w:eastAsia="楷体_GB2312"/>
          <w:b/>
          <w:bCs/>
          <w:spacing w:val="40"/>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0"/>
        <w:rPr>
          <w:rFonts w:hint="eastAsia" w:ascii="楷体_GB2312" w:hAnsi="宋体" w:eastAsia="楷体_GB2312"/>
          <w:b/>
          <w:bCs/>
          <w:spacing w:val="40"/>
          <w:sz w:val="30"/>
          <w:szCs w:val="30"/>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0"/>
        <w:rPr>
          <w:rFonts w:hint="eastAsia" w:ascii="楷体_GB2312" w:hAnsi="宋体" w:eastAsia="楷体_GB2312"/>
          <w:b/>
          <w:bCs/>
          <w:spacing w:val="40"/>
          <w:sz w:val="30"/>
          <w:szCs w:val="30"/>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0"/>
        <w:rPr>
          <w:rFonts w:hint="eastAsia" w:ascii="楷体_GB2312" w:hAnsi="宋体" w:eastAsia="楷体_GB2312"/>
          <w:b/>
          <w:bCs/>
          <w:spacing w:val="40"/>
          <w:sz w:val="30"/>
          <w:szCs w:val="30"/>
          <w:lang w:val="en-US" w:eastAsia="zh-CN"/>
        </w:rPr>
      </w:pPr>
      <w:r>
        <w:rPr>
          <w:rFonts w:hint="eastAsia" w:ascii="楷体_GB2312" w:hAnsi="宋体" w:eastAsia="楷体_GB2312"/>
          <w:b/>
          <w:bCs/>
          <w:spacing w:val="40"/>
          <w:sz w:val="30"/>
          <w:szCs w:val="30"/>
        </w:rPr>
        <w:t>湖南恒兴联合会计师事务所</w:t>
      </w:r>
    </w:p>
    <w:p>
      <w:pPr>
        <w:spacing w:line="760" w:lineRule="exact"/>
        <w:jc w:val="center"/>
        <w:rPr>
          <w:rFonts w:hint="eastAsia" w:ascii="楷体_GB2312" w:hAnsi="宋体" w:eastAsia="楷体_GB2312"/>
          <w:b/>
          <w:bCs/>
          <w:sz w:val="30"/>
          <w:szCs w:val="30"/>
        </w:rPr>
      </w:pPr>
      <w:r>
        <w:rPr>
          <w:rFonts w:hint="eastAsia" w:ascii="楷体_GB2312" w:hAnsi="宋体" w:eastAsia="楷体_GB2312"/>
          <w:b/>
          <w:bCs/>
          <w:sz w:val="30"/>
          <w:szCs w:val="30"/>
        </w:rPr>
        <w:t>二</w:t>
      </w:r>
      <w:r>
        <w:rPr>
          <w:rFonts w:hint="eastAsia" w:ascii="楷体_GB2312" w:hAnsi="宋体" w:eastAsia="楷体_GB2312"/>
          <w:b/>
          <w:bCs/>
          <w:sz w:val="30"/>
          <w:szCs w:val="30"/>
          <w:lang w:eastAsia="zh-CN"/>
        </w:rPr>
        <w:t>〇</w:t>
      </w:r>
      <w:r>
        <w:rPr>
          <w:rFonts w:hint="eastAsia" w:ascii="楷体_GB2312" w:hAnsi="宋体" w:eastAsia="楷体_GB2312"/>
          <w:b/>
          <w:bCs/>
          <w:sz w:val="30"/>
          <w:szCs w:val="30"/>
        </w:rPr>
        <w:t>二</w:t>
      </w:r>
      <w:r>
        <w:rPr>
          <w:rFonts w:hint="eastAsia" w:ascii="楷体_GB2312" w:hAnsi="宋体" w:eastAsia="楷体_GB2312"/>
          <w:b/>
          <w:bCs/>
          <w:sz w:val="30"/>
          <w:szCs w:val="30"/>
          <w:lang w:val="en-US" w:eastAsia="zh-CN"/>
        </w:rPr>
        <w:t>一</w:t>
      </w:r>
      <w:r>
        <w:rPr>
          <w:rFonts w:hint="eastAsia" w:ascii="楷体_GB2312" w:hAnsi="宋体" w:eastAsia="楷体_GB2312"/>
          <w:b/>
          <w:bCs/>
          <w:sz w:val="30"/>
          <w:szCs w:val="30"/>
        </w:rPr>
        <w:t>年</w:t>
      </w:r>
      <w:r>
        <w:rPr>
          <w:rFonts w:hint="eastAsia" w:ascii="楷体_GB2312" w:hAnsi="宋体" w:eastAsia="楷体_GB2312"/>
          <w:b/>
          <w:bCs/>
          <w:sz w:val="30"/>
          <w:szCs w:val="30"/>
          <w:highlight w:val="yellow"/>
          <w:lang w:eastAsia="zh-CN"/>
        </w:rPr>
        <w:t>六</w:t>
      </w:r>
      <w:r>
        <w:rPr>
          <w:rFonts w:hint="eastAsia" w:ascii="楷体_GB2312" w:hAnsi="宋体" w:eastAsia="楷体_GB2312"/>
          <w:b/>
          <w:bCs/>
          <w:sz w:val="30"/>
          <w:szCs w:val="30"/>
        </w:rPr>
        <w:t>月</w:t>
      </w:r>
    </w:p>
    <w:p>
      <w:pPr>
        <w:spacing w:line="348" w:lineRule="auto"/>
        <w:jc w:val="center"/>
        <w:rPr>
          <w:rFonts w:hint="eastAsia" w:eastAsia="方正小标宋简体"/>
          <w:bCs/>
          <w:sz w:val="42"/>
          <w:szCs w:val="42"/>
        </w:rPr>
      </w:pPr>
    </w:p>
    <w:p>
      <w:pPr>
        <w:spacing w:line="348" w:lineRule="auto"/>
        <w:jc w:val="both"/>
        <w:rPr>
          <w:rFonts w:hint="eastAsia" w:eastAsia="方正小标宋简体"/>
          <w:bCs/>
          <w:sz w:val="42"/>
          <w:szCs w:val="42"/>
        </w:rPr>
      </w:pPr>
    </w:p>
    <w:p>
      <w:pPr>
        <w:spacing w:line="348" w:lineRule="auto"/>
        <w:jc w:val="both"/>
        <w:rPr>
          <w:rFonts w:hint="eastAsia" w:eastAsia="方正小标宋简体"/>
          <w:bCs/>
          <w:sz w:val="42"/>
          <w:szCs w:val="42"/>
        </w:rPr>
      </w:pPr>
    </w:p>
    <w:p>
      <w:pPr>
        <w:spacing w:line="800" w:lineRule="exact"/>
        <w:jc w:val="center"/>
        <w:rPr>
          <w:rFonts w:hint="eastAsia" w:eastAsia="方正小标宋简体"/>
          <w:bCs/>
          <w:sz w:val="46"/>
          <w:szCs w:val="46"/>
          <w:highlight w:val="none"/>
          <w:lang w:val="en-US" w:eastAsia="zh-CN"/>
        </w:rPr>
      </w:pPr>
      <w:r>
        <w:rPr>
          <w:rFonts w:hint="eastAsia" w:eastAsia="方正小标宋简体"/>
          <w:bCs/>
          <w:sz w:val="46"/>
          <w:szCs w:val="46"/>
        </w:rPr>
        <w:t>岳阳市</w:t>
      </w:r>
      <w:r>
        <w:rPr>
          <w:rFonts w:hint="eastAsia" w:eastAsia="方正小标宋简体"/>
          <w:bCs/>
          <w:sz w:val="46"/>
          <w:szCs w:val="46"/>
          <w:highlight w:val="none"/>
          <w:u w:val="none"/>
          <w:lang w:val="en-US" w:eastAsia="zh-CN"/>
        </w:rPr>
        <w:t>2020</w:t>
      </w:r>
      <w:r>
        <w:rPr>
          <w:rFonts w:hint="eastAsia" w:eastAsia="方正小标宋简体"/>
          <w:bCs/>
          <w:sz w:val="46"/>
          <w:szCs w:val="46"/>
          <w:highlight w:val="none"/>
        </w:rPr>
        <w:t>年度</w:t>
      </w:r>
      <w:r>
        <w:rPr>
          <w:rFonts w:hint="eastAsia" w:eastAsia="方正小标宋简体"/>
          <w:bCs/>
          <w:sz w:val="46"/>
          <w:szCs w:val="46"/>
          <w:highlight w:val="none"/>
          <w:lang w:val="en-US" w:eastAsia="zh-CN"/>
        </w:rPr>
        <w:t>自然资源和规划局</w:t>
      </w:r>
    </w:p>
    <w:p>
      <w:pPr>
        <w:spacing w:line="800" w:lineRule="exact"/>
        <w:jc w:val="center"/>
        <w:rPr>
          <w:rFonts w:hint="eastAsia" w:eastAsia="方正小标宋简体"/>
          <w:bCs/>
          <w:sz w:val="46"/>
          <w:szCs w:val="46"/>
        </w:rPr>
      </w:pPr>
      <w:r>
        <w:rPr>
          <w:rFonts w:hint="eastAsia" w:eastAsia="方正小标宋简体"/>
          <w:bCs/>
          <w:sz w:val="46"/>
          <w:szCs w:val="46"/>
        </w:rPr>
        <w:t>整体支出绩效评价自评报告</w:t>
      </w:r>
    </w:p>
    <w:p>
      <w:pPr>
        <w:rPr>
          <w:rFonts w:hint="default" w:eastAsia="仿宋_GB2312"/>
          <w:b/>
          <w:sz w:val="32"/>
          <w:lang w:val="en-US" w:eastAsia="zh-CN"/>
        </w:rPr>
      </w:pPr>
      <w:r>
        <w:rPr>
          <w:rFonts w:hint="eastAsia" w:eastAsia="仿宋_GB2312"/>
          <w:b/>
          <w:sz w:val="32"/>
          <w:lang w:val="en-US" w:eastAsia="zh-CN"/>
        </w:rPr>
        <w:t xml:space="preserve">                       </w:t>
      </w:r>
    </w:p>
    <w:p>
      <w:pPr>
        <w:rPr>
          <w:rFonts w:hint="eastAsia" w:eastAsia="仿宋_GB2312"/>
          <w:b/>
          <w:sz w:val="32"/>
        </w:rPr>
      </w:pPr>
    </w:p>
    <w:p>
      <w:pPr>
        <w:rPr>
          <w:rFonts w:hint="eastAsia" w:eastAsia="仿宋_GB2312"/>
          <w:b/>
          <w:sz w:val="32"/>
        </w:rPr>
      </w:pPr>
    </w:p>
    <w:p>
      <w:pPr>
        <w:spacing w:before="301" w:beforeLines="50" w:line="348" w:lineRule="auto"/>
        <w:ind w:firstLine="1120" w:firstLineChars="3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none"/>
        </w:rPr>
        <w:t xml:space="preserve"> </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hint="eastAsia" w:eastAsia="仿宋_GB2312"/>
          <w:sz w:val="32"/>
          <w:szCs w:val="32"/>
          <w:u w:val="single"/>
        </w:rPr>
        <w:t>岳阳市</w:t>
      </w:r>
      <w:r>
        <w:rPr>
          <w:rFonts w:hint="eastAsia" w:eastAsia="仿宋_GB2312"/>
          <w:sz w:val="32"/>
          <w:szCs w:val="32"/>
          <w:u w:val="single"/>
          <w:lang w:val="en-US" w:eastAsia="zh-CN"/>
        </w:rPr>
        <w:t xml:space="preserve">自然资源和规划局  </w:t>
      </w:r>
      <w:r>
        <w:rPr>
          <w:rFonts w:hint="eastAsia" w:eastAsia="仿宋_GB2312"/>
          <w:sz w:val="32"/>
          <w:szCs w:val="32"/>
          <w:u w:val="none"/>
        </w:rPr>
        <w:t xml:space="preserve"> </w:t>
      </w:r>
    </w:p>
    <w:p>
      <w:pPr>
        <w:spacing w:before="301" w:beforeLines="50" w:line="348" w:lineRule="auto"/>
        <w:ind w:firstLine="1120" w:firstLineChars="350"/>
        <w:rPr>
          <w:rFonts w:hint="eastAsia" w:eastAsia="仿宋_GB2312"/>
          <w:spacing w:val="20"/>
          <w:sz w:val="32"/>
          <w:szCs w:val="32"/>
        </w:rPr>
      </w:pPr>
      <w:r>
        <w:rPr>
          <w:rFonts w:hint="eastAsia" w:eastAsia="仿宋_GB2312"/>
          <w:sz w:val="32"/>
          <w:szCs w:val="32"/>
        </w:rPr>
        <w:t>预算编码：</w:t>
      </w:r>
      <w:r>
        <w:rPr>
          <w:rFonts w:hint="eastAsia" w:eastAsia="仿宋_GB2312"/>
          <w:spacing w:val="20"/>
          <w:sz w:val="32"/>
          <w:szCs w:val="32"/>
          <w:u w:val="none"/>
        </w:rPr>
        <w:t xml:space="preserve"> </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 xml:space="preserve">        402001</w:t>
      </w:r>
      <w:r>
        <w:rPr>
          <w:rFonts w:hint="eastAsia" w:eastAsia="仿宋_GB2312"/>
          <w:spacing w:val="20"/>
          <w:sz w:val="32"/>
          <w:szCs w:val="32"/>
          <w:u w:val="single"/>
        </w:rPr>
        <w:t xml:space="preserve">         </w:t>
      </w:r>
      <w:r>
        <w:rPr>
          <w:rFonts w:hint="eastAsia" w:eastAsia="仿宋_GB2312"/>
          <w:spacing w:val="20"/>
          <w:sz w:val="32"/>
          <w:szCs w:val="32"/>
          <w:u w:val="none"/>
        </w:rPr>
        <w:t xml:space="preserve">            </w:t>
      </w:r>
      <w:r>
        <w:rPr>
          <w:rFonts w:hint="eastAsia" w:eastAsia="仿宋_GB2312"/>
          <w:spacing w:val="20"/>
          <w:sz w:val="32"/>
          <w:szCs w:val="32"/>
          <w:u w:val="single"/>
        </w:rPr>
        <w:t xml:space="preserve">  </w:t>
      </w:r>
    </w:p>
    <w:p>
      <w:pPr>
        <w:spacing w:before="301" w:beforeLines="50" w:line="348" w:lineRule="auto"/>
        <w:ind w:firstLine="1120" w:firstLineChars="350"/>
        <w:rPr>
          <w:rFonts w:hint="eastAsia" w:eastAsia="仿宋_GB2312"/>
          <w:sz w:val="32"/>
          <w:szCs w:val="32"/>
          <w:lang w:eastAsia="zh-CN"/>
        </w:rPr>
      </w:pPr>
      <w:r>
        <w:rPr>
          <w:rFonts w:hint="eastAsia" w:eastAsia="仿宋_GB2312"/>
          <w:sz w:val="32"/>
          <w:szCs w:val="32"/>
        </w:rPr>
        <w:t>评价方式</w:t>
      </w:r>
      <w:r>
        <w:rPr>
          <w:rFonts w:hint="eastAsia" w:eastAsia="仿宋_GB2312"/>
          <w:sz w:val="32"/>
          <w:szCs w:val="32"/>
          <w:lang w:eastAsia="zh-CN"/>
        </w:rPr>
        <w:t>：</w:t>
      </w:r>
      <w:r>
        <w:rPr>
          <w:rFonts w:hint="eastAsia" w:eastAsia="仿宋_GB2312"/>
          <w:sz w:val="32"/>
          <w:szCs w:val="32"/>
          <w:lang w:val="en-US" w:eastAsia="zh-CN"/>
        </w:rPr>
        <w:t>岳阳市自然资源和规划局</w:t>
      </w:r>
      <w:r>
        <w:rPr>
          <w:rFonts w:hint="eastAsia" w:eastAsia="仿宋_GB2312"/>
          <w:sz w:val="32"/>
          <w:szCs w:val="32"/>
        </w:rPr>
        <w:t>绩效自评</w:t>
      </w:r>
    </w:p>
    <w:p>
      <w:pPr>
        <w:spacing w:before="301" w:beforeLines="50" w:line="348" w:lineRule="auto"/>
        <w:ind w:firstLine="1120" w:firstLineChars="350"/>
        <w:rPr>
          <w:rFonts w:hint="eastAsia" w:eastAsia="仿宋_GB2312"/>
          <w:sz w:val="32"/>
          <w:szCs w:val="32"/>
        </w:rPr>
      </w:pPr>
      <w:r>
        <w:rPr>
          <w:rFonts w:hint="eastAsia" w:eastAsia="仿宋_GB2312"/>
          <w:sz w:val="32"/>
          <w:szCs w:val="32"/>
        </w:rPr>
        <w:t>评价机构：</w:t>
      </w:r>
      <w:r>
        <w:rPr>
          <w:rFonts w:hint="eastAsia" w:eastAsia="仿宋_GB2312"/>
          <w:sz w:val="32"/>
          <w:szCs w:val="32"/>
          <w:lang w:val="en-US" w:eastAsia="zh-CN"/>
        </w:rPr>
        <w:t>湖南恒兴联合会计师事务所</w:t>
      </w:r>
      <w:r>
        <w:rPr>
          <w:rFonts w:hint="eastAsia" w:eastAsia="仿宋_GB2312"/>
          <w:sz w:val="32"/>
          <w:szCs w:val="32"/>
        </w:rPr>
        <w:t xml:space="preserve">   </w:t>
      </w:r>
    </w:p>
    <w:p>
      <w:pPr>
        <w:spacing w:line="348" w:lineRule="auto"/>
        <w:ind w:firstLine="2208" w:firstLineChars="690"/>
        <w:rPr>
          <w:rFonts w:hint="eastAsia" w:eastAsia="仿宋_GB2312"/>
          <w:sz w:val="32"/>
        </w:rPr>
      </w:pPr>
    </w:p>
    <w:p>
      <w:pPr>
        <w:spacing w:line="348" w:lineRule="auto"/>
        <w:ind w:firstLine="2208" w:firstLineChars="690"/>
        <w:rPr>
          <w:rFonts w:hint="eastAsia" w:eastAsia="仿宋_GB2312"/>
          <w:sz w:val="32"/>
        </w:rPr>
      </w:pPr>
    </w:p>
    <w:p>
      <w:pPr>
        <w:spacing w:line="348" w:lineRule="auto"/>
        <w:jc w:val="center"/>
        <w:rPr>
          <w:rFonts w:hint="eastAsia" w:eastAsia="仿宋_GB2312"/>
          <w:sz w:val="32"/>
        </w:rPr>
      </w:pPr>
    </w:p>
    <w:p>
      <w:pPr>
        <w:spacing w:line="348" w:lineRule="auto"/>
        <w:jc w:val="center"/>
        <w:rPr>
          <w:rFonts w:hint="eastAsia" w:eastAsia="仿宋_GB2312"/>
          <w:sz w:val="32"/>
        </w:rPr>
      </w:pPr>
    </w:p>
    <w:p>
      <w:pPr>
        <w:spacing w:line="348" w:lineRule="auto"/>
        <w:jc w:val="center"/>
        <w:rPr>
          <w:rFonts w:hint="eastAsia" w:eastAsia="仿宋_GB2312"/>
          <w:sz w:val="32"/>
        </w:rPr>
      </w:pPr>
    </w:p>
    <w:p>
      <w:pPr>
        <w:spacing w:line="348" w:lineRule="auto"/>
        <w:jc w:val="center"/>
        <w:rPr>
          <w:rFonts w:hint="eastAsia" w:eastAsia="仿宋_GB2312"/>
          <w:sz w:val="32"/>
        </w:rPr>
      </w:pPr>
    </w:p>
    <w:p>
      <w:pPr>
        <w:spacing w:line="348" w:lineRule="auto"/>
        <w:jc w:val="center"/>
        <w:rPr>
          <w:rFonts w:hint="eastAsia" w:eastAsia="仿宋_GB2312"/>
          <w:sz w:val="32"/>
          <w:highlight w:val="none"/>
        </w:rPr>
      </w:pPr>
      <w:r>
        <w:rPr>
          <w:rFonts w:hint="eastAsia" w:eastAsia="仿宋_GB2312"/>
          <w:sz w:val="32"/>
        </w:rPr>
        <w:t>报告日期：20</w:t>
      </w:r>
      <w:r>
        <w:rPr>
          <w:rFonts w:hint="eastAsia" w:eastAsia="仿宋_GB2312"/>
          <w:sz w:val="32"/>
          <w:lang w:val="en-US" w:eastAsia="zh-CN"/>
        </w:rPr>
        <w:t>21</w:t>
      </w:r>
      <w:r>
        <w:rPr>
          <w:rFonts w:hint="eastAsia" w:eastAsia="仿宋_GB2312"/>
          <w:sz w:val="32"/>
        </w:rPr>
        <w:t>年</w:t>
      </w:r>
      <w:r>
        <w:rPr>
          <w:rFonts w:hint="eastAsia" w:eastAsia="仿宋_GB2312"/>
          <w:sz w:val="32"/>
          <w:highlight w:val="none"/>
          <w:lang w:val="en-US" w:eastAsia="zh-CN"/>
        </w:rPr>
        <w:t xml:space="preserve">6 </w:t>
      </w:r>
      <w:r>
        <w:rPr>
          <w:rFonts w:hint="eastAsia" w:eastAsia="仿宋_GB2312"/>
          <w:sz w:val="32"/>
          <w:highlight w:val="none"/>
        </w:rPr>
        <w:t>月</w:t>
      </w:r>
      <w:r>
        <w:rPr>
          <w:rFonts w:hint="eastAsia" w:eastAsia="仿宋_GB2312"/>
          <w:sz w:val="32"/>
          <w:highlight w:val="none"/>
          <w:lang w:val="en-US" w:eastAsia="zh-CN"/>
        </w:rPr>
        <w:t xml:space="preserve"> 18</w:t>
      </w:r>
      <w:r>
        <w:rPr>
          <w:rFonts w:hint="eastAsia" w:eastAsia="仿宋_GB2312"/>
          <w:sz w:val="32"/>
          <w:highlight w:val="none"/>
        </w:rPr>
        <w:t>日</w:t>
      </w:r>
    </w:p>
    <w:p>
      <w:pPr>
        <w:pStyle w:val="2"/>
        <w:rPr>
          <w:rFonts w:hint="eastAsia" w:eastAsia="仿宋_GB2312"/>
          <w:sz w:val="32"/>
          <w:highlight w:val="none"/>
        </w:rPr>
      </w:pPr>
    </w:p>
    <w:tbl>
      <w:tblPr>
        <w:tblStyle w:val="7"/>
        <w:tblW w:w="988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929"/>
        <w:gridCol w:w="281"/>
        <w:gridCol w:w="477"/>
        <w:gridCol w:w="224"/>
        <w:gridCol w:w="1022"/>
        <w:gridCol w:w="1162"/>
        <w:gridCol w:w="869"/>
        <w:gridCol w:w="1209"/>
        <w:gridCol w:w="153"/>
        <w:gridCol w:w="908"/>
        <w:gridCol w:w="537"/>
        <w:gridCol w:w="528"/>
        <w:gridCol w:w="381"/>
        <w:gridCol w:w="1117"/>
        <w:gridCol w:w="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49" w:hRule="atLeast"/>
          <w:jc w:val="center"/>
        </w:trPr>
        <w:tc>
          <w:tcPr>
            <w:tcW w:w="9797" w:type="dxa"/>
            <w:gridSpan w:val="14"/>
            <w:noWrap w:val="0"/>
            <w:vAlign w:val="center"/>
          </w:tcPr>
          <w:p>
            <w:pPr>
              <w:pStyle w:val="3"/>
              <w:rPr>
                <w:rFonts w:hint="eastAsia" w:ascii="仿宋_GB2312" w:hAnsi="仿宋_GB2312" w:eastAsia="仿宋_GB2312" w:cs="仿宋_GB2312"/>
                <w:color w:val="000000"/>
                <w:sz w:val="24"/>
              </w:rPr>
            </w:pPr>
            <w:r>
              <w:rPr>
                <w:rFonts w:hint="eastAsia" w:eastAsia="仿宋_GB2312"/>
                <w:sz w:val="32"/>
                <w:highlight w:val="none"/>
                <w:lang w:val="en-US" w:eastAsia="zh-CN"/>
              </w:rPr>
              <w:t xml:space="preserve">           </w:t>
            </w: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42" w:hRule="atLeast"/>
          <w:jc w:val="center"/>
        </w:trPr>
        <w:tc>
          <w:tcPr>
            <w:tcW w:w="92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联系人</w:t>
            </w:r>
          </w:p>
        </w:tc>
        <w:tc>
          <w:tcPr>
            <w:tcW w:w="4035"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eastAsia="仿宋_GB2312" w:cs="仿宋_GB2312"/>
                <w:bCs/>
                <w:sz w:val="28"/>
                <w:szCs w:val="28"/>
                <w:lang w:val="en-US" w:eastAsia="zh-CN"/>
              </w:rPr>
              <w:t>周红霞</w:t>
            </w:r>
            <w:r>
              <w:rPr>
                <w:rFonts w:hint="eastAsia" w:eastAsia="仿宋_GB2312" w:cs="仿宋_GB2312"/>
                <w:bCs/>
                <w:sz w:val="28"/>
                <w:szCs w:val="28"/>
              </w:rPr>
              <w:t xml:space="preserve">                </w:t>
            </w:r>
          </w:p>
        </w:tc>
        <w:tc>
          <w:tcPr>
            <w:tcW w:w="2807"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0730-8691983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10" w:hRule="atLeast"/>
          <w:jc w:val="center"/>
        </w:trPr>
        <w:tc>
          <w:tcPr>
            <w:tcW w:w="92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人员编制</w:t>
            </w:r>
          </w:p>
        </w:tc>
        <w:tc>
          <w:tcPr>
            <w:tcW w:w="4035" w:type="dxa"/>
            <w:gridSpan w:val="6"/>
            <w:noWrap w:val="0"/>
            <w:vAlign w:val="center"/>
          </w:tcPr>
          <w:p>
            <w:pPr>
              <w:autoSpaceDN w:val="0"/>
              <w:spacing w:line="32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97</w:t>
            </w:r>
          </w:p>
        </w:tc>
        <w:tc>
          <w:tcPr>
            <w:tcW w:w="2807"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实有人数</w:t>
            </w:r>
          </w:p>
        </w:tc>
        <w:tc>
          <w:tcPr>
            <w:tcW w:w="2026" w:type="dxa"/>
            <w:gridSpan w:val="3"/>
            <w:noWrap w:val="0"/>
            <w:vAlign w:val="center"/>
          </w:tcPr>
          <w:p>
            <w:pPr>
              <w:autoSpaceDN w:val="0"/>
              <w:spacing w:line="32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511" w:hRule="atLeast"/>
          <w:jc w:val="center"/>
        </w:trPr>
        <w:tc>
          <w:tcPr>
            <w:tcW w:w="92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职责</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概述</w:t>
            </w:r>
          </w:p>
        </w:tc>
        <w:tc>
          <w:tcPr>
            <w:tcW w:w="8868" w:type="dxa"/>
            <w:gridSpan w:val="13"/>
            <w:noWrap w:val="0"/>
            <w:vAlign w:val="center"/>
          </w:tcPr>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 依法履行全民所有土地、矿产、森林、草原、湿地、水等自然资源资产所有者职责和国土空间用途管制职责。</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2、 负责自然资源调查监测评价。</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3、 负责自然资源统一确权登记工作。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4、 负责自然资源资产有偿使用工作。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5、 负责自然资源的合理开发利用。</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6、 负责建立国土空间规划体系并监督实施。</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7、 负责制定国土空间规划编制计划和近期建设规划，制定土地利用及储备供应、矿产资源保护利用、基础测绘、新增建设用地等年度计划，并组织实施；参与城市发展年度建设计划及实施工作。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8、 负责统筹国土空间生态修复。牵头组织编制国土空间生态修复规划并实施有关生态修复重大工程。牵头建立和实施生态保护补偿制度，并提出市级重大备选项目。</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9、 负责组织实施最严格的耕地保护制度。牵头实施耕地保护政策，负责耕地数量和生态保护，做好耕地质量保护有关工作。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10、负责管理地质勘查行业和全市地质工作。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11、负责地质灾害预防和治理。</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12、负责矿产资源管理工作。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13、推动自然资源领域科技发展。</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14、负责测绘地理信息管理工作。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15、根据授权，对市以下各级政府及相关部门落实市委、市政府关于自然资源、国土空间规划重大政策、决策部署及法规规章执行情况进行督察。依法查处自然资源开发利用、国土空间规划及测绘领域违法案件。负责涉及自然资源和规划管理事项的信访处理、行政复议、行政诉讼等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16、统一领导和管理市林业局。</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17、完成市委、市政府交办的其他事项。</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18、职能转变。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90" w:hRule="atLeast"/>
          <w:jc w:val="center"/>
        </w:trPr>
        <w:tc>
          <w:tcPr>
            <w:tcW w:w="92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主</w:t>
            </w:r>
            <w:r>
              <w:rPr>
                <w:rFonts w:hint="eastAsia" w:ascii="仿宋_GB2312" w:hAnsi="仿宋_GB2312" w:eastAsia="仿宋_GB2312" w:cs="仿宋_GB2312"/>
                <w:color w:val="000000"/>
                <w:sz w:val="24"/>
              </w:rPr>
              <w:t>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内容</w:t>
            </w:r>
          </w:p>
        </w:tc>
        <w:tc>
          <w:tcPr>
            <w:tcW w:w="8868" w:type="dxa"/>
            <w:gridSpan w:val="13"/>
            <w:noWrap w:val="0"/>
            <w:vAlign w:val="center"/>
          </w:tcPr>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1.精心编制空间规划，强化大城市建设引领</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rPr>
              <w:t>一是重点推进总体规划编制。二是统筹推进各类规划编制。三是同步推进国土空间规划信息平台建设</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lang w:val="en-US" w:eastAsia="zh-CN"/>
              </w:rPr>
              <w:t>2、</w:t>
            </w:r>
            <w:r>
              <w:rPr>
                <w:rFonts w:hint="eastAsia" w:ascii="仿宋_GB2312" w:hAnsi="仿宋_GB2312" w:eastAsia="仿宋_GB2312" w:cs="仿宋_GB2312"/>
                <w:color w:val="000000"/>
                <w:spacing w:val="-6"/>
                <w:sz w:val="24"/>
              </w:rPr>
              <w:t>全面服务重点项目，保障大城市建设要素</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rPr>
              <w:t>一是全力保障项目用地</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rPr>
              <w:t>二是全力优化营商环境</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rPr>
              <w:t>三是全力助推乡镇振兴。</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lang w:val="en-US" w:eastAsia="zh-CN"/>
              </w:rPr>
              <w:t>3、</w:t>
            </w:r>
            <w:r>
              <w:rPr>
                <w:rFonts w:hint="eastAsia" w:ascii="仿宋_GB2312" w:hAnsi="仿宋_GB2312" w:eastAsia="仿宋_GB2312" w:cs="仿宋_GB2312"/>
                <w:color w:val="000000"/>
                <w:spacing w:val="-6"/>
                <w:sz w:val="24"/>
              </w:rPr>
              <w:t>集约节约利用资源，优化大城市建设空间</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rPr>
              <w:t>一是严守耕地保护红线</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rPr>
              <w:t>二是加强资源集约节约利用</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rPr>
              <w:t>三是加大执法监管力度。</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4.抓好民生实事办理，增进大城市建设福祉</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rPr>
              <w:t>一是加强地质灾害防治。二是全力决胜脱贫攻坚。三是扎实抓好生态修复。四是推进矿山绿色转型。</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5.推进治理能力建设，提升大城市建设效能一是全面推进信息建设。二是全面推进依法行政。三是全面推进精细管理。</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lang w:eastAsia="zh-CN"/>
              </w:rPr>
            </w:pPr>
            <w:r>
              <w:rPr>
                <w:rFonts w:hint="eastAsia" w:ascii="仿宋_GB2312" w:hAnsi="仿宋_GB2312" w:eastAsia="仿宋_GB2312" w:cs="仿宋_GB2312"/>
                <w:color w:val="000000"/>
                <w:spacing w:val="-6"/>
                <w:sz w:val="24"/>
              </w:rPr>
              <w:t>6.始终坚持党建引领，增强大城市建设保障</w:t>
            </w:r>
            <w:r>
              <w:rPr>
                <w:rFonts w:hint="eastAsia" w:ascii="仿宋_GB2312" w:hAnsi="仿宋_GB2312" w:eastAsia="仿宋_GB2312" w:cs="仿宋_GB2312"/>
                <w:color w:val="000000"/>
                <w:spacing w:val="-6"/>
                <w:sz w:val="24"/>
                <w:lang w:eastAsia="zh-CN"/>
              </w:rPr>
              <w:t>。</w:t>
            </w:r>
            <w:r>
              <w:rPr>
                <w:rFonts w:hint="eastAsia" w:ascii="仿宋_GB2312" w:hAnsi="仿宋_GB2312" w:eastAsia="仿宋_GB2312" w:cs="仿宋_GB2312"/>
                <w:color w:val="000000"/>
                <w:spacing w:val="-6"/>
                <w:sz w:val="24"/>
              </w:rPr>
              <w:t>一是将政治建设贯穿始终。二是将关心激励贯穿始终。三是将党风廉政建设贯穿始终。</w:t>
            </w:r>
          </w:p>
          <w:p>
            <w:pPr>
              <w:autoSpaceDN w:val="0"/>
              <w:spacing w:line="320" w:lineRule="exact"/>
              <w:textAlignment w:val="center"/>
              <w:rPr>
                <w:rFonts w:hint="eastAsia" w:ascii="仿宋_GB2312" w:hAnsi="仿宋_GB2312" w:eastAsia="仿宋_GB2312" w:cs="仿宋_GB2312"/>
                <w:b w:val="0"/>
                <w:bCs w:val="0"/>
                <w:color w:val="auto"/>
                <w:spacing w:val="-6"/>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90" w:hRule="atLeast"/>
          <w:jc w:val="center"/>
        </w:trPr>
        <w:tc>
          <w:tcPr>
            <w:tcW w:w="929" w:type="dxa"/>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部门</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（单位）总体</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运行</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情况</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及取</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得的</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成绩</w:t>
            </w:r>
          </w:p>
          <w:p>
            <w:pPr>
              <w:autoSpaceDN w:val="0"/>
              <w:spacing w:line="320" w:lineRule="exact"/>
              <w:jc w:val="center"/>
              <w:textAlignment w:val="center"/>
              <w:rPr>
                <w:rFonts w:hint="eastAsia" w:ascii="仿宋_GB2312" w:hAnsi="仿宋_GB2312" w:eastAsia="仿宋_GB2312" w:cs="仿宋_GB2312"/>
                <w:color w:val="000000"/>
                <w:spacing w:val="-6"/>
                <w:sz w:val="24"/>
              </w:rPr>
            </w:pPr>
          </w:p>
        </w:tc>
        <w:tc>
          <w:tcPr>
            <w:tcW w:w="8868" w:type="dxa"/>
            <w:gridSpan w:val="13"/>
            <w:noWrap w:val="0"/>
            <w:vAlign w:val="center"/>
          </w:tcPr>
          <w:p>
            <w:pPr>
              <w:keepNext w:val="0"/>
              <w:keepLines w:val="0"/>
              <w:pageBreakBefore w:val="0"/>
              <w:widowControl w:val="0"/>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rPr>
            </w:pPr>
          </w:p>
          <w:p>
            <w:pPr>
              <w:keepNext w:val="0"/>
              <w:keepLines w:val="0"/>
              <w:pageBreakBefore w:val="0"/>
              <w:widowControl w:val="0"/>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rPr>
              <w:t>在市委市政府和省厅的坚强领导下，全系统领导干部深入学习贯彻习近平新时代中国特色社会主义思想，认真贯彻落实习近平总书记考察湖南重要讲话精神，始终坚持党建引领，紧紧围绕中心重点，充分发挥职责职能，全面推进自然资源各项工作高质量发展。先后收获了一大批荣誉表彰，各项工作取得丰硕成果。</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eastAsia="zh-CN"/>
              </w:rPr>
            </w:pPr>
            <w:r>
              <w:rPr>
                <w:rFonts w:hint="eastAsia" w:ascii="仿宋_GB2312" w:hAnsi="仿宋_GB2312" w:eastAsia="仿宋_GB2312" w:cs="仿宋_GB2312"/>
                <w:b/>
                <w:bCs/>
                <w:color w:val="auto"/>
                <w:spacing w:val="-6"/>
                <w:sz w:val="24"/>
                <w:lang w:eastAsia="zh-CN"/>
              </w:rPr>
              <w:t>（一）全力服务中心重点</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1、保障全面强化。2020年度共向省报批项目面积同比增长4%；全年清零验收133个依法征收项目，完成省级</w:t>
            </w:r>
            <w:r>
              <w:rPr>
                <w:rFonts w:hint="eastAsia" w:ascii="仿宋_GB2312" w:hAnsi="仿宋_GB2312" w:eastAsia="仿宋_GB2312" w:cs="仿宋_GB2312"/>
                <w:b w:val="0"/>
                <w:bCs w:val="0"/>
                <w:color w:val="auto"/>
                <w:spacing w:val="-6"/>
                <w:sz w:val="24"/>
                <w:lang w:val="en-US" w:eastAsia="zh-CN"/>
              </w:rPr>
              <w:t>及</w:t>
            </w:r>
            <w:r>
              <w:rPr>
                <w:rFonts w:hint="eastAsia" w:ascii="仿宋_GB2312" w:hAnsi="仿宋_GB2312" w:eastAsia="仿宋_GB2312" w:cs="仿宋_GB2312"/>
                <w:b w:val="0"/>
                <w:bCs w:val="0"/>
                <w:color w:val="auto"/>
                <w:spacing w:val="-6"/>
                <w:sz w:val="24"/>
                <w:lang w:eastAsia="zh-CN"/>
              </w:rPr>
              <w:t>市级权限调规项目。</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2、争资争项卓有成效。“东洞庭湖流域山水林田湖草生态修复项目”申报总投资20.60亿元，是我省唯一申报中央重点生态保护修复资金项目储备库的项目。全市争取地质灾害防治项目资金8.000.00余万元，土地综合整治项目3个，矿山生态修复项目资金1,000.00余万元。</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3、机构改革持续推进。做好了3个区级分局的下放、2个事业单位改制工作，对执法机构进行了初步整合，持续释放了机构改革综合效应。</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eastAsia="zh-CN"/>
              </w:rPr>
            </w:pPr>
            <w:r>
              <w:rPr>
                <w:rFonts w:hint="eastAsia" w:ascii="仿宋_GB2312" w:hAnsi="仿宋_GB2312" w:eastAsia="仿宋_GB2312" w:cs="仿宋_GB2312"/>
                <w:b/>
                <w:bCs/>
                <w:color w:val="auto"/>
                <w:spacing w:val="-6"/>
                <w:sz w:val="24"/>
                <w:lang w:eastAsia="zh-CN"/>
              </w:rPr>
              <w:t>（二）扎实推进重大工作</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1、精心编制国土空间规划。全面完成100个村庄规划试点、“一湖两岸”城市设计、主城区综合治堵规划等。</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2、大力强化土地管理。全年全市完成闲置土地、批而未供土地处置面积</w:t>
            </w:r>
            <w:r>
              <w:rPr>
                <w:rFonts w:hint="eastAsia" w:ascii="仿宋_GB2312" w:hAnsi="仿宋_GB2312" w:eastAsia="仿宋_GB2312" w:cs="仿宋_GB2312"/>
                <w:b w:val="0"/>
                <w:bCs w:val="0"/>
                <w:color w:val="auto"/>
                <w:spacing w:val="-6"/>
                <w:sz w:val="24"/>
                <w:lang w:val="en-US" w:eastAsia="zh-CN"/>
              </w:rPr>
              <w:t>及</w:t>
            </w:r>
            <w:r>
              <w:rPr>
                <w:rFonts w:hint="eastAsia" w:ascii="仿宋_GB2312" w:hAnsi="仿宋_GB2312" w:eastAsia="仿宋_GB2312" w:cs="仿宋_GB2312"/>
                <w:b w:val="0"/>
                <w:bCs w:val="0"/>
                <w:color w:val="auto"/>
                <w:spacing w:val="-6"/>
                <w:sz w:val="24"/>
                <w:lang w:eastAsia="zh-CN"/>
              </w:rPr>
              <w:t>处置率均达到省厅50%考核标准；“月清三地”工作受到省通报表彰。</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3、严格管护自然资源。全力做好耕地数量、质量、生态“三位一体”保护、管控和建设，牢牢守住了耕地保护红线。</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4、稳步推进生态保护与修复</w:t>
            </w:r>
            <w:r>
              <w:rPr>
                <w:rFonts w:hint="eastAsia" w:ascii="仿宋_GB2312" w:hAnsi="仿宋_GB2312" w:eastAsia="仿宋_GB2312" w:cs="仿宋_GB2312"/>
                <w:b w:val="0"/>
                <w:bCs w:val="0"/>
                <w:color w:val="auto"/>
                <w:spacing w:val="-6"/>
                <w:sz w:val="24"/>
                <w:lang w:val="en-US" w:eastAsia="zh-CN"/>
              </w:rPr>
              <w:t>工作</w:t>
            </w:r>
            <w:r>
              <w:rPr>
                <w:rFonts w:hint="eastAsia" w:ascii="仿宋_GB2312" w:hAnsi="仿宋_GB2312" w:eastAsia="仿宋_GB2312" w:cs="仿宋_GB2312"/>
                <w:b w:val="0"/>
                <w:bCs w:val="0"/>
                <w:color w:val="auto"/>
                <w:spacing w:val="-6"/>
                <w:sz w:val="24"/>
                <w:lang w:eastAsia="zh-CN"/>
              </w:rPr>
              <w:t>全面完成省定任务。</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5、高质量完成“三调工作”。更新成果作为全省第一批成果上报国家核查，并全部顺利通过国家级内业核查。</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eastAsia="zh-CN"/>
              </w:rPr>
            </w:pPr>
            <w:r>
              <w:rPr>
                <w:rFonts w:hint="eastAsia" w:ascii="仿宋_GB2312" w:hAnsi="仿宋_GB2312" w:eastAsia="仿宋_GB2312" w:cs="仿宋_GB2312"/>
                <w:b/>
                <w:bCs/>
                <w:color w:val="auto"/>
                <w:spacing w:val="-6"/>
                <w:sz w:val="24"/>
                <w:lang w:eastAsia="zh-CN"/>
              </w:rPr>
              <w:t>（三）用心用情服务群众</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1、地质灾害有效防治。全市地质灾害隐患点持续保持“零死亡”，有力保障了群众生命财产安全。</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2、“最多跑一次”改革成效显著。</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3、脱贫攻坚圆满完成，顺利通过国检和省检。</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4、农村宅基地和集体建设用地房地一体确权登记全面完成，是全省提前100%完成任务的三个市州之一。</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eastAsia="zh-CN"/>
              </w:rPr>
            </w:pPr>
            <w:r>
              <w:rPr>
                <w:rFonts w:hint="eastAsia" w:ascii="仿宋_GB2312" w:hAnsi="仿宋_GB2312" w:eastAsia="仿宋_GB2312" w:cs="仿宋_GB2312"/>
                <w:b/>
                <w:bCs/>
                <w:color w:val="auto"/>
                <w:spacing w:val="-6"/>
                <w:sz w:val="24"/>
                <w:lang w:eastAsia="zh-CN"/>
              </w:rPr>
              <w:t>（四）聚焦难点奋力攻坚</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1、违法用地形势明显好转。</w:t>
            </w:r>
            <w:r>
              <w:rPr>
                <w:rFonts w:hint="eastAsia" w:ascii="仿宋_GB2312" w:hAnsi="仿宋_GB2312" w:eastAsia="仿宋_GB2312" w:cs="仿宋_GB2312"/>
                <w:b w:val="0"/>
                <w:bCs w:val="0"/>
                <w:color w:val="auto"/>
                <w:spacing w:val="-6"/>
                <w:sz w:val="24"/>
                <w:lang w:val="en-US" w:eastAsia="zh-CN"/>
              </w:rPr>
              <w:t>问题</w:t>
            </w:r>
            <w:r>
              <w:rPr>
                <w:rFonts w:hint="eastAsia" w:ascii="仿宋_GB2312" w:hAnsi="仿宋_GB2312" w:eastAsia="仿宋_GB2312" w:cs="仿宋_GB2312"/>
                <w:b w:val="0"/>
                <w:bCs w:val="0"/>
                <w:color w:val="auto"/>
                <w:spacing w:val="-6"/>
                <w:sz w:val="24"/>
                <w:lang w:eastAsia="zh-CN"/>
              </w:rPr>
              <w:t>整改到位率85.09%，全省居前，市本级及各县市区均无被约谈问责情况。2、禁拆治违工作强力推进。全年中心城区共拆违2858处40.35万平方米，有力促进城区人居环境的提升改善。</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3、房地产信访问题得到有效化解。所有来信来访及时答复办理，100%办结。大力推进集中化解房地产办证信访突出问题专项行动。</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eastAsia="zh-CN"/>
              </w:rPr>
            </w:pPr>
            <w:r>
              <w:rPr>
                <w:rFonts w:hint="eastAsia" w:ascii="仿宋_GB2312" w:hAnsi="仿宋_GB2312" w:eastAsia="仿宋_GB2312" w:cs="仿宋_GB2312"/>
                <w:b/>
                <w:bCs/>
                <w:color w:val="auto"/>
                <w:spacing w:val="-6"/>
                <w:sz w:val="24"/>
                <w:lang w:eastAsia="zh-CN"/>
              </w:rPr>
              <w:t>（五）党的建设全面加强</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eastAsia="zh-CN"/>
              </w:rPr>
              <w:t>1、坚决站稳政治立场。2、坚决担牢党建责任。3、坚决落实廉政责任。4、坚决守住思想阵地。</w:t>
            </w:r>
          </w:p>
          <w:p>
            <w:pPr>
              <w:numPr>
                <w:ilvl w:val="0"/>
                <w:numId w:val="0"/>
              </w:numPr>
              <w:autoSpaceDN w:val="0"/>
              <w:spacing w:line="320" w:lineRule="exact"/>
              <w:textAlignment w:val="center"/>
              <w:rPr>
                <w:rFonts w:hint="eastAsia" w:ascii="仿宋_GB2312" w:hAnsi="仿宋_GB2312" w:eastAsia="仿宋_GB2312" w:cs="仿宋_GB2312"/>
                <w:color w:val="E36C09"/>
                <w:spacing w:val="-6"/>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92" w:hRule="atLeast"/>
          <w:jc w:val="center"/>
        </w:trPr>
        <w:tc>
          <w:tcPr>
            <w:tcW w:w="9797" w:type="dxa"/>
            <w:gridSpan w:val="14"/>
            <w:noWrap w:val="0"/>
            <w:vAlign w:val="center"/>
          </w:tcPr>
          <w:p>
            <w:pPr>
              <w:autoSpaceDN w:val="0"/>
              <w:spacing w:line="320" w:lineRule="exact"/>
              <w:jc w:val="center"/>
              <w:textAlignment w:val="center"/>
              <w:rPr>
                <w:rFonts w:hint="eastAsia" w:ascii="黑体" w:hAnsi="黑体" w:eastAsia="黑体" w:cs="黑体"/>
                <w:color w:val="000000"/>
                <w:sz w:val="28"/>
                <w:szCs w:val="28"/>
              </w:rPr>
            </w:pPr>
          </w:p>
          <w:p>
            <w:pPr>
              <w:autoSpaceDN w:val="0"/>
              <w:spacing w:line="320" w:lineRule="exact"/>
              <w:ind w:firstLine="3360" w:firstLineChars="1200"/>
              <w:jc w:val="both"/>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w:t>
            </w:r>
            <w:r>
              <w:rPr>
                <w:rFonts w:hint="eastAsia" w:ascii="黑体" w:hAnsi="黑体" w:eastAsia="黑体" w:cs="黑体"/>
                <w:b/>
                <w:bCs/>
                <w:color w:val="auto"/>
                <w:sz w:val="28"/>
                <w:szCs w:val="28"/>
              </w:rPr>
              <w:t>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595" w:hRule="atLeast"/>
          <w:jc w:val="center"/>
        </w:trPr>
        <w:tc>
          <w:tcPr>
            <w:tcW w:w="9797" w:type="dxa"/>
            <w:gridSpan w:val="1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w:t>
            </w:r>
            <w:r>
              <w:rPr>
                <w:rFonts w:hint="eastAsia" w:ascii="仿宋_GB2312" w:hAnsi="仿宋_GB2312" w:eastAsia="仿宋_GB2312" w:cs="仿宋_GB2312"/>
                <w:b/>
                <w:bCs/>
                <w:color w:val="auto"/>
                <w:sz w:val="24"/>
              </w:rPr>
              <w:t>收入</w:t>
            </w:r>
            <w:r>
              <w:rPr>
                <w:rFonts w:hint="eastAsia" w:ascii="仿宋_GB2312" w:hAnsi="仿宋_GB2312" w:eastAsia="仿宋_GB2312" w:cs="仿宋_GB2312"/>
                <w:b/>
                <w:bCs/>
                <w:color w:val="000000"/>
                <w:sz w:val="24"/>
              </w:rPr>
              <w:t>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88" w:hRule="atLeast"/>
          <w:jc w:val="center"/>
        </w:trPr>
        <w:tc>
          <w:tcPr>
            <w:tcW w:w="1911"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机构名称</w:t>
            </w:r>
          </w:p>
        </w:tc>
        <w:tc>
          <w:tcPr>
            <w:tcW w:w="1022"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收入合计</w:t>
            </w:r>
          </w:p>
        </w:tc>
        <w:tc>
          <w:tcPr>
            <w:tcW w:w="6864" w:type="dxa"/>
            <w:gridSpan w:val="9"/>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16" w:hRule="atLeast"/>
          <w:jc w:val="center"/>
        </w:trPr>
        <w:tc>
          <w:tcPr>
            <w:tcW w:w="1911" w:type="dxa"/>
            <w:gridSpan w:val="4"/>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22"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162"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上年结转</w:t>
            </w:r>
          </w:p>
        </w:tc>
        <w:tc>
          <w:tcPr>
            <w:tcW w:w="86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公共财</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政拨款</w:t>
            </w:r>
          </w:p>
        </w:tc>
        <w:tc>
          <w:tcPr>
            <w:tcW w:w="1362"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政府基金拨款</w:t>
            </w:r>
          </w:p>
        </w:tc>
        <w:tc>
          <w:tcPr>
            <w:tcW w:w="1973"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纳入专户管理的非税收入拨款</w:t>
            </w:r>
          </w:p>
        </w:tc>
        <w:tc>
          <w:tcPr>
            <w:tcW w:w="1498"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69" w:hRule="atLeast"/>
          <w:jc w:val="center"/>
        </w:trPr>
        <w:tc>
          <w:tcPr>
            <w:tcW w:w="1911"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岳阳市</w:t>
            </w:r>
            <w:r>
              <w:rPr>
                <w:rFonts w:hint="eastAsia" w:ascii="仿宋_GB2312" w:hAnsi="仿宋_GB2312" w:eastAsia="仿宋_GB2312" w:cs="仿宋_GB2312"/>
                <w:color w:val="000000"/>
                <w:sz w:val="24"/>
                <w:szCs w:val="24"/>
                <w:lang w:val="en-US" w:eastAsia="zh-CN"/>
              </w:rPr>
              <w:t>自然资源和规划</w:t>
            </w:r>
            <w:r>
              <w:rPr>
                <w:rFonts w:hint="eastAsia" w:ascii="仿宋_GB2312" w:hAnsi="仿宋_GB2312" w:eastAsia="仿宋_GB2312" w:cs="仿宋_GB2312"/>
                <w:color w:val="000000"/>
                <w:sz w:val="24"/>
                <w:szCs w:val="24"/>
                <w:lang w:eastAsia="zh-CN"/>
              </w:rPr>
              <w:t>局</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30,252.75</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8,442.26</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14,924.15</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3,912.00</w:t>
            </w: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2,974.34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11"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w:t>
            </w:r>
            <w:r>
              <w:rPr>
                <w:rFonts w:hint="default" w:ascii="仿宋_GB2312" w:hAnsi="宋体" w:eastAsia="仿宋_GB2312" w:cs="仿宋_GB2312"/>
                <w:i w:val="0"/>
                <w:iCs w:val="0"/>
                <w:color w:val="000000"/>
                <w:kern w:val="0"/>
                <w:sz w:val="24"/>
                <w:szCs w:val="24"/>
                <w:u w:val="none"/>
                <w:lang w:val="en-US" w:eastAsia="zh-CN" w:bidi="ar"/>
              </w:rPr>
              <w:t>局机关（本级）</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14,765.55</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3,275.77</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8,029.78</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3,460.00</w:t>
            </w: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jc w:val="center"/>
              <w:rPr>
                <w:rFonts w:hint="default" w:ascii="Times New Roman" w:hAnsi="Times New Roman" w:eastAsia="仿宋_GB2312" w:cs="Times New Roman"/>
                <w:color w:val="000000"/>
                <w:sz w:val="20"/>
                <w:szCs w:val="20"/>
                <w:highlight w:val="yellow"/>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69"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2、</w:t>
            </w:r>
            <w:r>
              <w:rPr>
                <w:rFonts w:hint="default" w:ascii="仿宋_GB2312" w:hAnsi="宋体" w:eastAsia="仿宋_GB2312" w:cs="仿宋_GB2312"/>
                <w:i w:val="0"/>
                <w:iCs w:val="0"/>
                <w:color w:val="000000"/>
                <w:kern w:val="0"/>
                <w:sz w:val="24"/>
                <w:szCs w:val="24"/>
                <w:u w:val="none"/>
                <w:lang w:val="en-US" w:eastAsia="zh-CN" w:bidi="ar"/>
              </w:rPr>
              <w:t>君山区分局</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1,879.61</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1,116.15</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628.46</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135.00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539"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3、</w:t>
            </w:r>
            <w:r>
              <w:rPr>
                <w:rFonts w:hint="default" w:ascii="仿宋_GB2312" w:hAnsi="宋体" w:eastAsia="仿宋_GB2312" w:cs="仿宋_GB2312"/>
                <w:i w:val="0"/>
                <w:iCs w:val="0"/>
                <w:color w:val="000000"/>
                <w:kern w:val="0"/>
                <w:sz w:val="24"/>
                <w:szCs w:val="24"/>
                <w:u w:val="none"/>
                <w:lang w:val="en-US" w:eastAsia="zh-CN" w:bidi="ar"/>
              </w:rPr>
              <w:t>楼区分局</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3,588.73</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1,705.81</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1,521.83</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361.08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38"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4、</w:t>
            </w:r>
            <w:r>
              <w:rPr>
                <w:rFonts w:hint="default" w:ascii="仿宋_GB2312" w:hAnsi="宋体" w:eastAsia="仿宋_GB2312" w:cs="仿宋_GB2312"/>
                <w:i w:val="0"/>
                <w:iCs w:val="0"/>
                <w:color w:val="000000"/>
                <w:kern w:val="0"/>
                <w:sz w:val="24"/>
                <w:szCs w:val="24"/>
                <w:u w:val="none"/>
                <w:lang w:val="en-US" w:eastAsia="zh-CN" w:bidi="ar"/>
              </w:rPr>
              <w:t>云溪区分局</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2,072.83</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bookmarkStart w:id="0" w:name="_GoBack"/>
            <w:bookmarkEnd w:id="0"/>
            <w:r>
              <w:rPr>
                <w:rFonts w:hint="default" w:ascii="Times New Roman" w:hAnsi="Times New Roman" w:eastAsia="仿宋_GB2312" w:cs="Times New Roman"/>
                <w:i w:val="0"/>
                <w:iCs w:val="0"/>
                <w:color w:val="000000"/>
                <w:kern w:val="0"/>
                <w:sz w:val="20"/>
                <w:szCs w:val="20"/>
                <w:u w:val="none"/>
                <w:lang w:val="en-US" w:eastAsia="zh-CN" w:bidi="ar"/>
              </w:rPr>
              <w:t>743.00</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814.48</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515.35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62"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5、</w:t>
            </w:r>
            <w:r>
              <w:rPr>
                <w:rFonts w:hint="default" w:ascii="仿宋_GB2312" w:hAnsi="宋体" w:eastAsia="仿宋_GB2312" w:cs="仿宋_GB2312"/>
                <w:i w:val="0"/>
                <w:iCs w:val="0"/>
                <w:color w:val="000000"/>
                <w:kern w:val="0"/>
                <w:sz w:val="24"/>
                <w:szCs w:val="24"/>
                <w:u w:val="none"/>
                <w:lang w:val="en-US" w:eastAsia="zh-CN" w:bidi="ar"/>
              </w:rPr>
              <w:t>南湖新区分局</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675.79</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134.93</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387.42</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153.44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17"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6、</w:t>
            </w:r>
            <w:r>
              <w:rPr>
                <w:rFonts w:hint="default" w:ascii="仿宋_GB2312" w:hAnsi="宋体" w:eastAsia="仿宋_GB2312" w:cs="仿宋_GB2312"/>
                <w:i w:val="0"/>
                <w:iCs w:val="0"/>
                <w:color w:val="000000"/>
                <w:kern w:val="0"/>
                <w:sz w:val="24"/>
                <w:szCs w:val="24"/>
                <w:u w:val="none"/>
                <w:lang w:val="en-US" w:eastAsia="zh-CN" w:bidi="ar"/>
              </w:rPr>
              <w:t>经济技术开发区分局</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2,272.03</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742.26</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896.40</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633.37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33"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7、</w:t>
            </w:r>
            <w:r>
              <w:rPr>
                <w:rFonts w:hint="default" w:ascii="仿宋_GB2312" w:hAnsi="宋体" w:eastAsia="仿宋_GB2312" w:cs="仿宋_GB2312"/>
                <w:i w:val="0"/>
                <w:iCs w:val="0"/>
                <w:color w:val="000000"/>
                <w:kern w:val="0"/>
                <w:sz w:val="24"/>
                <w:szCs w:val="24"/>
                <w:u w:val="none"/>
                <w:lang w:val="en-US" w:eastAsia="zh-CN" w:bidi="ar"/>
              </w:rPr>
              <w:t>临港国土管理处</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383.94</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290.87</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93.07</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02"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8、</w:t>
            </w:r>
            <w:r>
              <w:rPr>
                <w:rFonts w:hint="default" w:ascii="仿宋_GB2312" w:hAnsi="宋体" w:eastAsia="仿宋_GB2312" w:cs="仿宋_GB2312"/>
                <w:i w:val="0"/>
                <w:iCs w:val="0"/>
                <w:color w:val="000000"/>
                <w:kern w:val="0"/>
                <w:sz w:val="24"/>
                <w:szCs w:val="24"/>
                <w:u w:val="none"/>
                <w:lang w:val="en-US" w:eastAsia="zh-CN" w:bidi="ar"/>
              </w:rPr>
              <w:t>不动产登记中心</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2,561.87</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0.00</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1,400.67</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452.00</w:t>
            </w: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709.20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89"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9、</w:t>
            </w:r>
            <w:r>
              <w:rPr>
                <w:rFonts w:hint="default" w:ascii="仿宋_GB2312" w:hAnsi="宋体" w:eastAsia="仿宋_GB2312" w:cs="仿宋_GB2312"/>
                <w:i w:val="0"/>
                <w:iCs w:val="0"/>
                <w:color w:val="000000"/>
                <w:kern w:val="0"/>
                <w:sz w:val="24"/>
                <w:szCs w:val="24"/>
                <w:u w:val="none"/>
                <w:lang w:val="en-US" w:eastAsia="zh-CN" w:bidi="ar"/>
              </w:rPr>
              <w:t>执法监察支队</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548.14</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19.61</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338.03</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190.50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900"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10、</w:t>
            </w:r>
            <w:r>
              <w:rPr>
                <w:rFonts w:hint="default" w:ascii="仿宋_GB2312" w:hAnsi="宋体" w:eastAsia="仿宋_GB2312" w:cs="仿宋_GB2312"/>
                <w:i w:val="0"/>
                <w:iCs w:val="0"/>
                <w:color w:val="000000"/>
                <w:kern w:val="0"/>
                <w:sz w:val="24"/>
                <w:szCs w:val="24"/>
                <w:u w:val="none"/>
                <w:lang w:val="en-US" w:eastAsia="zh-CN" w:bidi="ar"/>
              </w:rPr>
              <w:t>土地综合整治中心</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235.32</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59.82</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114.57</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60.93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948"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11、</w:t>
            </w:r>
            <w:r>
              <w:rPr>
                <w:rFonts w:hint="default" w:ascii="仿宋_GB2312" w:hAnsi="宋体" w:eastAsia="仿宋_GB2312" w:cs="仿宋_GB2312"/>
                <w:i w:val="0"/>
                <w:iCs w:val="0"/>
                <w:color w:val="000000"/>
                <w:kern w:val="0"/>
                <w:sz w:val="24"/>
                <w:szCs w:val="24"/>
                <w:u w:val="none"/>
                <w:lang w:val="en-US" w:eastAsia="zh-CN" w:bidi="ar"/>
              </w:rPr>
              <w:t>不动产产权交易中心</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307.97</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64.39</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132.94</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110.65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80"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12、</w:t>
            </w:r>
            <w:r>
              <w:rPr>
                <w:rFonts w:hint="default" w:ascii="仿宋_GB2312" w:hAnsi="宋体" w:eastAsia="仿宋_GB2312" w:cs="仿宋_GB2312"/>
                <w:i w:val="0"/>
                <w:iCs w:val="0"/>
                <w:color w:val="000000"/>
                <w:kern w:val="0"/>
                <w:sz w:val="24"/>
                <w:szCs w:val="24"/>
                <w:u w:val="none"/>
                <w:lang w:val="en-US" w:eastAsia="zh-CN" w:bidi="ar"/>
              </w:rPr>
              <w:t>不动产登记信息中心</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133.93</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29.06</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65.03</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39.85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987" w:hRule="atLeast"/>
          <w:jc w:val="center"/>
        </w:trPr>
        <w:tc>
          <w:tcPr>
            <w:tcW w:w="1911" w:type="dxa"/>
            <w:gridSpan w:val="4"/>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eastAsia" w:ascii="仿宋_GB2312" w:hAnsi="宋体" w:eastAsia="仿宋_GB2312" w:cs="仿宋_GB2312"/>
                <w:i w:val="0"/>
                <w:iCs w:val="0"/>
                <w:color w:val="000000"/>
                <w:kern w:val="0"/>
                <w:sz w:val="24"/>
                <w:szCs w:val="24"/>
                <w:u w:val="none"/>
                <w:lang w:val="en-US" w:eastAsia="zh-CN" w:bidi="ar"/>
              </w:rPr>
              <w:t>13、</w:t>
            </w:r>
            <w:r>
              <w:rPr>
                <w:rFonts w:hint="default" w:ascii="仿宋_GB2312" w:hAnsi="宋体" w:eastAsia="仿宋_GB2312" w:cs="仿宋_GB2312"/>
                <w:i w:val="0"/>
                <w:iCs w:val="0"/>
                <w:color w:val="000000"/>
                <w:kern w:val="0"/>
                <w:sz w:val="24"/>
                <w:szCs w:val="24"/>
                <w:u w:val="none"/>
                <w:lang w:val="en-US" w:eastAsia="zh-CN" w:bidi="ar"/>
              </w:rPr>
              <w:t>不动产测绘中心</w:t>
            </w:r>
          </w:p>
        </w:tc>
        <w:tc>
          <w:tcPr>
            <w:tcW w:w="1022" w:type="dxa"/>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827.04</w:t>
            </w:r>
          </w:p>
        </w:tc>
        <w:tc>
          <w:tcPr>
            <w:tcW w:w="1162" w:type="dxa"/>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260.57</w:t>
            </w:r>
          </w:p>
        </w:tc>
        <w:tc>
          <w:tcPr>
            <w:tcW w:w="869"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501.48</w:t>
            </w:r>
          </w:p>
        </w:tc>
        <w:tc>
          <w:tcPr>
            <w:tcW w:w="1362"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973"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0"/>
                <w:szCs w:val="20"/>
                <w:highlight w:val="none"/>
                <w:lang w:val="en-US" w:eastAsia="zh-CN"/>
              </w:rPr>
            </w:pPr>
          </w:p>
        </w:tc>
        <w:tc>
          <w:tcPr>
            <w:tcW w:w="1498"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仿宋_GB2312" w:cs="Times New Roman"/>
                <w:i w:val="0"/>
                <w:iCs w:val="0"/>
                <w:color w:val="000000"/>
                <w:kern w:val="0"/>
                <w:sz w:val="20"/>
                <w:szCs w:val="20"/>
                <w:u w:val="none"/>
                <w:lang w:val="en-US" w:eastAsia="zh-CN" w:bidi="ar"/>
              </w:rPr>
              <w:t>64.99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50" w:hRule="atLeast"/>
          <w:jc w:val="center"/>
        </w:trPr>
        <w:tc>
          <w:tcPr>
            <w:tcW w:w="9797" w:type="dxa"/>
            <w:gridSpan w:val="14"/>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bCs/>
                <w:color w:val="000000"/>
                <w:sz w:val="24"/>
                <w:szCs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91" w:hRule="atLeast"/>
          <w:jc w:val="center"/>
        </w:trPr>
        <w:tc>
          <w:tcPr>
            <w:tcW w:w="1911" w:type="dxa"/>
            <w:gridSpan w:val="4"/>
            <w:vMerge w:val="restart"/>
            <w:noWrap w:val="0"/>
            <w:vAlign w:val="center"/>
          </w:tcPr>
          <w:p>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22"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4301" w:type="dxa"/>
            <w:gridSpan w:val="5"/>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563"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45" w:hRule="atLeast"/>
          <w:jc w:val="center"/>
        </w:trPr>
        <w:tc>
          <w:tcPr>
            <w:tcW w:w="1911" w:type="dxa"/>
            <w:gridSpan w:val="4"/>
            <w:vMerge w:val="continue"/>
            <w:noWrap w:val="0"/>
            <w:vAlign w:val="center"/>
          </w:tcPr>
          <w:p>
            <w:pPr>
              <w:spacing w:line="320" w:lineRule="exact"/>
              <w:jc w:val="center"/>
              <w:rPr>
                <w:rFonts w:hint="eastAsia" w:ascii="仿宋_GB2312" w:hAnsi="仿宋_GB2312" w:eastAsia="仿宋_GB2312" w:cs="仿宋_GB2312"/>
                <w:sz w:val="24"/>
              </w:rPr>
            </w:pPr>
          </w:p>
        </w:tc>
        <w:tc>
          <w:tcPr>
            <w:tcW w:w="1022"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162" w:type="dxa"/>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基本支出</w:t>
            </w:r>
          </w:p>
        </w:tc>
        <w:tc>
          <w:tcPr>
            <w:tcW w:w="2231" w:type="dxa"/>
            <w:gridSpan w:val="3"/>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其中：</w:t>
            </w:r>
          </w:p>
        </w:tc>
        <w:tc>
          <w:tcPr>
            <w:tcW w:w="908" w:type="dxa"/>
            <w:vMerge w:val="restart"/>
            <w:tcBorders>
              <w:top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项目支出</w:t>
            </w:r>
          </w:p>
        </w:tc>
        <w:tc>
          <w:tcPr>
            <w:tcW w:w="1065" w:type="dxa"/>
            <w:gridSpan w:val="2"/>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highlight w:val="none"/>
              </w:rPr>
              <w:t>当年结余</w:t>
            </w:r>
          </w:p>
        </w:tc>
        <w:tc>
          <w:tcPr>
            <w:tcW w:w="1498"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03" w:hRule="atLeast"/>
          <w:jc w:val="center"/>
        </w:trPr>
        <w:tc>
          <w:tcPr>
            <w:tcW w:w="1911" w:type="dxa"/>
            <w:gridSpan w:val="4"/>
            <w:vMerge w:val="continue"/>
            <w:noWrap w:val="0"/>
            <w:vAlign w:val="center"/>
          </w:tcPr>
          <w:p>
            <w:pPr>
              <w:spacing w:line="320" w:lineRule="exact"/>
              <w:jc w:val="center"/>
              <w:rPr>
                <w:rFonts w:hint="eastAsia" w:ascii="仿宋_GB2312" w:hAnsi="仿宋_GB2312" w:eastAsia="仿宋_GB2312" w:cs="仿宋_GB2312"/>
                <w:sz w:val="24"/>
              </w:rPr>
            </w:pPr>
          </w:p>
        </w:tc>
        <w:tc>
          <w:tcPr>
            <w:tcW w:w="1022"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162" w:type="dxa"/>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p>
        </w:tc>
        <w:tc>
          <w:tcPr>
            <w:tcW w:w="869" w:type="dxa"/>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人员支出</w:t>
            </w:r>
          </w:p>
        </w:tc>
        <w:tc>
          <w:tcPr>
            <w:tcW w:w="1362"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公用支出</w:t>
            </w:r>
          </w:p>
        </w:tc>
        <w:tc>
          <w:tcPr>
            <w:tcW w:w="908"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p>
        </w:tc>
        <w:tc>
          <w:tcPr>
            <w:tcW w:w="1065" w:type="dxa"/>
            <w:gridSpan w:val="2"/>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p>
        </w:tc>
        <w:tc>
          <w:tcPr>
            <w:tcW w:w="1498"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77" w:hRule="atLeast"/>
          <w:jc w:val="center"/>
        </w:trPr>
        <w:tc>
          <w:tcPr>
            <w:tcW w:w="1911" w:type="dxa"/>
            <w:gridSpan w:val="4"/>
            <w:noWrap w:val="0"/>
            <w:vAlign w:val="center"/>
          </w:tcPr>
          <w:p>
            <w:pPr>
              <w:keepNext w:val="0"/>
              <w:keepLines w:val="0"/>
              <w:pageBreakBefore w:val="0"/>
              <w:tabs>
                <w:tab w:val="left" w:pos="1680"/>
              </w:tabs>
              <w:kinsoku/>
              <w:wordWrap/>
              <w:overflowPunct/>
              <w:topLinePunct w:val="0"/>
              <w:autoSpaceDE/>
              <w:autoSpaceDN/>
              <w:bidi w:val="0"/>
              <w:adjustRightInd/>
              <w:snapToGrid/>
              <w:spacing w:line="280" w:lineRule="exact"/>
              <w:ind w:left="0" w:leftChars="0" w:right="13" w:rightChars="6"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eastAsia="zh-CN"/>
              </w:rPr>
              <w:t>岳阳市</w:t>
            </w:r>
            <w:r>
              <w:rPr>
                <w:rFonts w:hint="default" w:ascii="Times New Roman" w:hAnsi="Times New Roman" w:eastAsia="仿宋_GB2312" w:cs="Times New Roman"/>
                <w:color w:val="000000"/>
                <w:sz w:val="24"/>
                <w:szCs w:val="24"/>
                <w:lang w:val="en-US" w:eastAsia="zh-CN"/>
              </w:rPr>
              <w:t>自然资源和规划</w:t>
            </w:r>
            <w:r>
              <w:rPr>
                <w:rFonts w:hint="default" w:ascii="Times New Roman" w:hAnsi="Times New Roman" w:eastAsia="仿宋_GB2312" w:cs="Times New Roman"/>
                <w:color w:val="000000"/>
                <w:sz w:val="24"/>
                <w:szCs w:val="24"/>
                <w:lang w:eastAsia="zh-CN"/>
              </w:rPr>
              <w:t>局</w:t>
            </w:r>
            <w:r>
              <w:rPr>
                <w:rFonts w:hint="default" w:ascii="Times New Roman" w:hAnsi="Times New Roman" w:eastAsia="仿宋_GB2312" w:cs="Times New Roman"/>
                <w:color w:val="000000"/>
                <w:sz w:val="24"/>
                <w:szCs w:val="24"/>
                <w:lang w:val="en-US" w:eastAsia="zh-CN"/>
              </w:rPr>
              <w:t>机</w:t>
            </w:r>
            <w:r>
              <w:rPr>
                <w:rFonts w:hint="default" w:ascii="Times New Roman" w:hAnsi="Times New Roman" w:eastAsia="仿宋_GB2312" w:cs="Times New Roman"/>
                <w:color w:val="000000"/>
                <w:sz w:val="24"/>
                <w:szCs w:val="24"/>
              </w:rPr>
              <w:t>关</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19,629.43</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12,735.79</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7,111.15</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5,624.64</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6,893.64</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181.06</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10,623.32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51"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1、局机关（本级）</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8,634.66</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3,395.83</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2,081.14</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1,314.69</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5,238.83</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855.12</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6,130.89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21"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2、君山区分局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966.56</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834.61</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477.97</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356.64</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131.95</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-203.1</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913.05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21"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3、楼区分局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2,354.38</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1,829.44</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405.48</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1,423.96</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524.94</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-471.46</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1,234.35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59"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4、云溪区分局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2,072.83</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1,443.38</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660.01</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783.37</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629.45</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-743</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44"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5、南湖新区分局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506.76</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421.33</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212.89</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208.44</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85.43</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34.1</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169.03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74"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6、经济技术开发区分局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1,228.17</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1,228.17</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797.54</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430.63</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301.6</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1,043.86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27"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7、临港国土管理处</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221.29</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183.01</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64.63</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118.38</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38.28</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-128.22</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162.65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96"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8、不动产登记中心</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2,006.61</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1,868.13</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1,339.69</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528.43</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138.48</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555.26</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555.26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49"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9、执法监察支队</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418.19</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371.51</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223.44</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148.07</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46.68</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110.35</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129.96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88"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10、土地综合整治中心</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228.09</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195.27</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159.71</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35.56</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32.82</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-52.59</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7.23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69"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11、不动产产权交易中心</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306.88</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306.88</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257.59</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49.29</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-63.3</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1036"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12、不动产登记信息中心</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133.71</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106.92</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83.60</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23.33</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26.79</w:t>
            </w: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-28.84</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77"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i w:val="0"/>
                <w:iCs w:val="0"/>
                <w:color w:val="000000"/>
                <w:kern w:val="0"/>
                <w:sz w:val="24"/>
                <w:szCs w:val="24"/>
                <w:u w:val="none"/>
                <w:lang w:val="en-US" w:eastAsia="zh-CN" w:bidi="ar"/>
              </w:rPr>
              <w:t>13、不动产测绘中心</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551.31</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551.31</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347.48</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203.84</w:t>
            </w:r>
          </w:p>
        </w:tc>
        <w:tc>
          <w:tcPr>
            <w:tcW w:w="908"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p>
        </w:tc>
        <w:tc>
          <w:tcPr>
            <w:tcW w:w="1065"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15.16</w:t>
            </w:r>
          </w:p>
        </w:tc>
        <w:tc>
          <w:tcPr>
            <w:tcW w:w="1498" w:type="dxa"/>
            <w:gridSpan w:val="2"/>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275.73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24" w:hRule="atLeast"/>
          <w:jc w:val="center"/>
        </w:trPr>
        <w:tc>
          <w:tcPr>
            <w:tcW w:w="1911" w:type="dxa"/>
            <w:gridSpan w:val="4"/>
            <w:vMerge w:val="restart"/>
            <w:noWrap w:val="0"/>
            <w:vAlign w:val="center"/>
          </w:tcPr>
          <w:p>
            <w:pPr>
              <w:keepNext w:val="0"/>
              <w:keepLines w:val="0"/>
              <w:pageBreakBefore w:val="0"/>
              <w:widowControl w:val="0"/>
              <w:kinsoku/>
              <w:wordWrap/>
              <w:overflowPunct/>
              <w:topLinePunct w:val="0"/>
              <w:autoSpaceDE/>
              <w:bidi w:val="0"/>
              <w:adjustRightInd/>
              <w:snapToGrid/>
              <w:spacing w:line="280" w:lineRule="exact"/>
              <w:ind w:firstLine="482" w:firstLineChars="200"/>
              <w:jc w:val="lef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机构名称</w:t>
            </w:r>
          </w:p>
        </w:tc>
        <w:tc>
          <w:tcPr>
            <w:tcW w:w="1022" w:type="dxa"/>
            <w:vMerge w:val="restart"/>
            <w:tcBorders>
              <w:right w:val="single" w:color="auto" w:sz="4" w:space="0"/>
            </w:tcBorders>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三公经费</w:t>
            </w:r>
          </w:p>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合计</w:t>
            </w:r>
          </w:p>
        </w:tc>
        <w:tc>
          <w:tcPr>
            <w:tcW w:w="6864" w:type="dxa"/>
            <w:gridSpan w:val="9"/>
            <w:tcBorders>
              <w:left w:val="single" w:color="auto" w:sz="4" w:space="0"/>
            </w:tcBorders>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24" w:hRule="atLeast"/>
          <w:jc w:val="center"/>
        </w:trPr>
        <w:tc>
          <w:tcPr>
            <w:tcW w:w="1911" w:type="dxa"/>
            <w:gridSpan w:val="4"/>
            <w:vMerge w:val="continue"/>
            <w:noWrap w:val="0"/>
            <w:vAlign w:val="center"/>
          </w:tcPr>
          <w:p>
            <w:pPr>
              <w:keepNext w:val="0"/>
              <w:keepLines w:val="0"/>
              <w:pageBreakBefore w:val="0"/>
              <w:widowControl w:val="0"/>
              <w:kinsoku/>
              <w:wordWrap/>
              <w:overflowPunct/>
              <w:topLinePunct w:val="0"/>
              <w:autoSpaceDE/>
              <w:bidi w:val="0"/>
              <w:adjustRightInd/>
              <w:snapToGrid/>
              <w:spacing w:line="280" w:lineRule="exact"/>
              <w:jc w:val="center"/>
              <w:rPr>
                <w:rFonts w:hint="eastAsia" w:ascii="仿宋_GB2312" w:hAnsi="仿宋_GB2312" w:eastAsia="仿宋_GB2312" w:cs="仿宋_GB2312"/>
                <w:sz w:val="24"/>
                <w:szCs w:val="24"/>
              </w:rPr>
            </w:pPr>
          </w:p>
        </w:tc>
        <w:tc>
          <w:tcPr>
            <w:tcW w:w="1022" w:type="dxa"/>
            <w:vMerge w:val="continue"/>
            <w:tcBorders>
              <w:right w:val="single" w:color="auto" w:sz="4" w:space="0"/>
            </w:tcBorders>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eastAsia" w:ascii="仿宋_GB2312" w:hAnsi="仿宋_GB2312" w:eastAsia="仿宋_GB2312" w:cs="仿宋_GB2312"/>
                <w:color w:val="000000"/>
                <w:sz w:val="24"/>
                <w:szCs w:val="24"/>
              </w:rPr>
            </w:pPr>
          </w:p>
        </w:tc>
        <w:tc>
          <w:tcPr>
            <w:tcW w:w="1162" w:type="dxa"/>
            <w:tcBorders>
              <w:left w:val="single" w:color="auto" w:sz="4" w:space="0"/>
            </w:tcBorders>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公务接待费</w:t>
            </w:r>
          </w:p>
        </w:tc>
        <w:tc>
          <w:tcPr>
            <w:tcW w:w="869" w:type="dxa"/>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公务用车运维费</w:t>
            </w:r>
          </w:p>
        </w:tc>
        <w:tc>
          <w:tcPr>
            <w:tcW w:w="1362" w:type="dxa"/>
            <w:gridSpan w:val="2"/>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default"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bCs/>
                <w:color w:val="000000"/>
                <w:sz w:val="24"/>
                <w:szCs w:val="24"/>
                <w:highlight w:val="none"/>
                <w:lang w:val="en-US" w:eastAsia="zh-CN"/>
              </w:rPr>
              <w:t>其他交通费用</w:t>
            </w:r>
          </w:p>
        </w:tc>
        <w:tc>
          <w:tcPr>
            <w:tcW w:w="3471" w:type="dxa"/>
            <w:gridSpan w:val="5"/>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71" w:hRule="atLeast"/>
          <w:jc w:val="center"/>
        </w:trPr>
        <w:tc>
          <w:tcPr>
            <w:tcW w:w="1911" w:type="dxa"/>
            <w:gridSpan w:val="4"/>
            <w:noWrap w:val="0"/>
            <w:vAlign w:val="center"/>
          </w:tcPr>
          <w:p>
            <w:pPr>
              <w:keepNext w:val="0"/>
              <w:keepLines w:val="0"/>
              <w:pageBreakBefore w:val="0"/>
              <w:kinsoku/>
              <w:wordWrap/>
              <w:overflowPunct/>
              <w:topLinePunct w:val="0"/>
              <w:autoSpaceDE/>
              <w:autoSpaceDN/>
              <w:bidi w:val="0"/>
              <w:adjustRightInd/>
              <w:snapToGrid/>
              <w:spacing w:line="280" w:lineRule="exact"/>
              <w:ind w:left="0"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lang w:eastAsia="zh-CN"/>
              </w:rPr>
              <w:t>岳阳市</w:t>
            </w:r>
            <w:r>
              <w:rPr>
                <w:rFonts w:hint="eastAsia" w:ascii="仿宋_GB2312" w:hAnsi="仿宋_GB2312" w:eastAsia="仿宋_GB2312" w:cs="仿宋_GB2312"/>
                <w:color w:val="000000"/>
                <w:sz w:val="24"/>
                <w:szCs w:val="24"/>
                <w:lang w:val="en-US" w:eastAsia="zh-CN"/>
              </w:rPr>
              <w:t>自然资源和规划</w:t>
            </w:r>
            <w:r>
              <w:rPr>
                <w:rFonts w:hint="eastAsia" w:ascii="仿宋_GB2312" w:hAnsi="仿宋_GB2312" w:eastAsia="仿宋_GB2312" w:cs="仿宋_GB2312"/>
                <w:color w:val="000000"/>
                <w:sz w:val="24"/>
                <w:szCs w:val="24"/>
                <w:lang w:eastAsia="zh-CN"/>
              </w:rPr>
              <w:t>局</w:t>
            </w:r>
            <w:r>
              <w:rPr>
                <w:rFonts w:hint="eastAsia" w:ascii="仿宋_GB2312" w:hAnsi="仿宋_GB2312" w:eastAsia="仿宋_GB2312" w:cs="仿宋_GB2312"/>
                <w:color w:val="000000"/>
                <w:sz w:val="24"/>
                <w:szCs w:val="24"/>
              </w:rPr>
              <w:t>机关</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359.45</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36.10</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69.03</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254.33</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71"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1、局机关（本级）</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148.02</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18.79</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26.27</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102.96</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548"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2、君山区分局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31.06</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2.02</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3.71</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25.33</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71"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3、楼区分局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28.90</w:t>
            </w:r>
          </w:p>
        </w:tc>
        <w:tc>
          <w:tcPr>
            <w:tcW w:w="1162" w:type="dxa"/>
            <w:tcBorders>
              <w:left w:val="single" w:color="auto" w:sz="4" w:space="0"/>
            </w:tcBorders>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7.38</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21.53</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09"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4、云溪区分局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39.06</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1.29</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7.36</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30.41</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40"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5、南湖新区分局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13.99</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0.05</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2.54</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11.41</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53"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6、经济技术开发区分局</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40.00</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0.65</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4.53</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34.82</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66"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7、临港国土管理处</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7.56</w:t>
            </w:r>
          </w:p>
        </w:tc>
        <w:tc>
          <w:tcPr>
            <w:tcW w:w="1162" w:type="dxa"/>
            <w:tcBorders>
              <w:left w:val="single" w:color="auto" w:sz="4" w:space="0"/>
            </w:tcBorders>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869" w:type="dxa"/>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7.56</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41"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8、不动产登记中心</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7.93</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2.13</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1.02</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4.77</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59"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9、执法监察支队</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28.22</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8.46</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6.94</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12.82</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867"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10、土地综合整治中心</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9.33</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2.68</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3.93</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2.72</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01"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11、不动产产权交易中心</w:t>
            </w:r>
          </w:p>
        </w:tc>
        <w:tc>
          <w:tcPr>
            <w:tcW w:w="1022" w:type="dxa"/>
            <w:tcBorders>
              <w:right w:val="single" w:color="auto" w:sz="4" w:space="0"/>
            </w:tcBorders>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1162" w:type="dxa"/>
            <w:tcBorders>
              <w:left w:val="single" w:color="auto" w:sz="4" w:space="0"/>
            </w:tcBorders>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869" w:type="dxa"/>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1362" w:type="dxa"/>
            <w:gridSpan w:val="2"/>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760"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12、不动产登记信息中心</w:t>
            </w:r>
          </w:p>
        </w:tc>
        <w:tc>
          <w:tcPr>
            <w:tcW w:w="1022" w:type="dxa"/>
            <w:tcBorders>
              <w:right w:val="single" w:color="auto" w:sz="4" w:space="0"/>
            </w:tcBorders>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1162" w:type="dxa"/>
            <w:tcBorders>
              <w:left w:val="single" w:color="auto" w:sz="4" w:space="0"/>
            </w:tcBorders>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869" w:type="dxa"/>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1362" w:type="dxa"/>
            <w:gridSpan w:val="2"/>
            <w:noWrap w:val="0"/>
            <w:vAlign w:val="center"/>
          </w:tcPr>
          <w:p>
            <w:pPr>
              <w:keepNext w:val="0"/>
              <w:keepLines w:val="0"/>
              <w:pageBreakBefore w:val="0"/>
              <w:kinsoku/>
              <w:wordWrap/>
              <w:overflowPunct/>
              <w:topLinePunct w:val="0"/>
              <w:autoSpaceDE/>
              <w:bidi w:val="0"/>
              <w:adjustRightInd/>
              <w:snapToGrid/>
              <w:spacing w:line="200" w:lineRule="exact"/>
              <w:jc w:val="center"/>
              <w:rPr>
                <w:rFonts w:hint="default" w:ascii="Times New Roman" w:hAnsi="Times New Roman" w:eastAsia="仿宋_GB2312" w:cs="Times New Roman"/>
                <w:color w:val="auto"/>
                <w:sz w:val="21"/>
                <w:szCs w:val="21"/>
                <w:highlight w:val="none"/>
                <w:lang w:val="en-US" w:eastAsia="zh-CN"/>
              </w:rPr>
            </w:pP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633" w:hRule="atLeast"/>
          <w:jc w:val="center"/>
        </w:trPr>
        <w:tc>
          <w:tcPr>
            <w:tcW w:w="1911"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13、不动产测绘中心</w:t>
            </w:r>
          </w:p>
        </w:tc>
        <w:tc>
          <w:tcPr>
            <w:tcW w:w="1022" w:type="dxa"/>
            <w:tcBorders>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5.38</w:t>
            </w:r>
          </w:p>
        </w:tc>
        <w:tc>
          <w:tcPr>
            <w:tcW w:w="1162" w:type="dxa"/>
            <w:tcBorders>
              <w:lef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0.03</w:t>
            </w:r>
          </w:p>
        </w:tc>
        <w:tc>
          <w:tcPr>
            <w:tcW w:w="869" w:type="dxa"/>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5.34</w:t>
            </w:r>
          </w:p>
        </w:tc>
        <w:tc>
          <w:tcPr>
            <w:tcW w:w="1362" w:type="dxa"/>
            <w:gridSpan w:val="2"/>
            <w:noWrap w:val="0"/>
            <w:vAlign w:val="center"/>
          </w:tcPr>
          <w:p>
            <w:pPr>
              <w:keepNext w:val="0"/>
              <w:keepLines w:val="0"/>
              <w:pageBreakBefore w:val="0"/>
              <w:widowControl/>
              <w:suppressLineNumbers w:val="0"/>
              <w:kinsoku/>
              <w:wordWrap/>
              <w:overflowPunct/>
              <w:topLinePunct w:val="0"/>
              <w:autoSpaceDE/>
              <w:bidi w:val="0"/>
              <w:adjustRightInd/>
              <w:snapToGrid/>
              <w:spacing w:line="200" w:lineRule="exact"/>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0.01</w:t>
            </w:r>
          </w:p>
        </w:tc>
        <w:tc>
          <w:tcPr>
            <w:tcW w:w="3471" w:type="dxa"/>
            <w:gridSpan w:val="5"/>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593" w:hRule="atLeast"/>
          <w:jc w:val="center"/>
        </w:trPr>
        <w:tc>
          <w:tcPr>
            <w:tcW w:w="929" w:type="dxa"/>
            <w:vMerge w:val="restart"/>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机构名称</w:t>
            </w:r>
          </w:p>
        </w:tc>
        <w:tc>
          <w:tcPr>
            <w:tcW w:w="2004" w:type="dxa"/>
            <w:gridSpan w:val="4"/>
            <w:vMerge w:val="restart"/>
            <w:tcBorders>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固定资产</w:t>
            </w:r>
          </w:p>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合计</w:t>
            </w:r>
          </w:p>
        </w:tc>
        <w:tc>
          <w:tcPr>
            <w:tcW w:w="5747" w:type="dxa"/>
            <w:gridSpan w:val="8"/>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8"/>
                <w:szCs w:val="28"/>
              </w:rPr>
              <w:t>其中：</w:t>
            </w:r>
          </w:p>
        </w:tc>
        <w:tc>
          <w:tcPr>
            <w:tcW w:w="1117" w:type="dxa"/>
            <w:tcBorders>
              <w:lef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53" w:hRule="atLeast"/>
          <w:jc w:val="center"/>
        </w:trPr>
        <w:tc>
          <w:tcPr>
            <w:tcW w:w="929" w:type="dxa"/>
            <w:vMerge w:val="continue"/>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bCs/>
                <w:sz w:val="24"/>
                <w:szCs w:val="24"/>
              </w:rPr>
            </w:pPr>
          </w:p>
        </w:tc>
        <w:tc>
          <w:tcPr>
            <w:tcW w:w="2004" w:type="dxa"/>
            <w:gridSpan w:val="4"/>
            <w:vMerge w:val="continue"/>
            <w:tcBorders>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p>
        </w:tc>
        <w:tc>
          <w:tcPr>
            <w:tcW w:w="2031" w:type="dxa"/>
            <w:gridSpan w:val="2"/>
            <w:tcBorders>
              <w:lef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在用固定资产</w:t>
            </w:r>
          </w:p>
        </w:tc>
        <w:tc>
          <w:tcPr>
            <w:tcW w:w="3716" w:type="dxa"/>
            <w:gridSpan w:val="6"/>
            <w:tcBorders>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出租固定资产</w:t>
            </w:r>
          </w:p>
        </w:tc>
        <w:tc>
          <w:tcPr>
            <w:tcW w:w="1117" w:type="dxa"/>
            <w:tcBorders>
              <w:lef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1080" w:hRule="atLeast"/>
          <w:jc w:val="center"/>
        </w:trPr>
        <w:tc>
          <w:tcPr>
            <w:tcW w:w="929" w:type="dxa"/>
            <w:noWrap w:val="0"/>
            <w:vAlign w:val="center"/>
          </w:tcPr>
          <w:p>
            <w:pPr>
              <w:keepNext w:val="0"/>
              <w:keepLines w:val="0"/>
              <w:pageBreakBefore w:val="0"/>
              <w:kinsoku/>
              <w:wordWrap/>
              <w:overflowPunct/>
              <w:topLinePunct w:val="0"/>
              <w:autoSpaceDE/>
              <w:autoSpaceDN/>
              <w:bidi w:val="0"/>
              <w:adjustRightInd/>
              <w:snapToGrid/>
              <w:spacing w:line="280" w:lineRule="exact"/>
              <w:ind w:left="0" w:leftChars="0"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sz w:val="22"/>
                <w:szCs w:val="22"/>
                <w:lang w:eastAsia="zh-CN"/>
              </w:rPr>
              <w:t>岳阳市</w:t>
            </w:r>
            <w:r>
              <w:rPr>
                <w:rFonts w:hint="eastAsia" w:ascii="仿宋_GB2312" w:hAnsi="仿宋_GB2312" w:eastAsia="仿宋_GB2312" w:cs="仿宋_GB2312"/>
                <w:color w:val="000000"/>
                <w:sz w:val="22"/>
                <w:szCs w:val="22"/>
                <w:lang w:val="en-US" w:eastAsia="zh-CN"/>
              </w:rPr>
              <w:t>自然资源和规划</w:t>
            </w:r>
            <w:r>
              <w:rPr>
                <w:rFonts w:hint="eastAsia" w:ascii="仿宋_GB2312" w:hAnsi="仿宋_GB2312" w:eastAsia="仿宋_GB2312" w:cs="仿宋_GB2312"/>
                <w:color w:val="000000"/>
                <w:sz w:val="22"/>
                <w:szCs w:val="22"/>
                <w:lang w:eastAsia="zh-CN"/>
              </w:rPr>
              <w:t>局</w:t>
            </w:r>
            <w:r>
              <w:rPr>
                <w:rFonts w:hint="eastAsia" w:ascii="仿宋_GB2312" w:hAnsi="仿宋_GB2312" w:eastAsia="仿宋_GB2312" w:cs="仿宋_GB2312"/>
                <w:color w:val="000000"/>
                <w:sz w:val="22"/>
                <w:szCs w:val="22"/>
              </w:rPr>
              <w:t>机</w:t>
            </w:r>
            <w:r>
              <w:rPr>
                <w:rFonts w:hint="eastAsia" w:ascii="仿宋_GB2312" w:hAnsi="仿宋_GB2312" w:eastAsia="仿宋_GB2312" w:cs="仿宋_GB2312"/>
                <w:color w:val="000000"/>
                <w:sz w:val="24"/>
                <w:szCs w:val="24"/>
              </w:rPr>
              <w:t>关</w:t>
            </w:r>
          </w:p>
        </w:tc>
        <w:tc>
          <w:tcPr>
            <w:tcW w:w="2004" w:type="dxa"/>
            <w:gridSpan w:val="4"/>
            <w:tcBorders>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highlight w:val="none"/>
                <w:lang w:val="en-US" w:eastAsia="zh-CN"/>
              </w:rPr>
              <w:t>30,230.01</w:t>
            </w:r>
          </w:p>
        </w:tc>
        <w:tc>
          <w:tcPr>
            <w:tcW w:w="2031" w:type="dxa"/>
            <w:gridSpan w:val="2"/>
            <w:tcBorders>
              <w:lef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highlight w:val="none"/>
                <w:lang w:val="en-US" w:eastAsia="zh-CN"/>
              </w:rPr>
              <w:t>30,230.01</w:t>
            </w:r>
          </w:p>
        </w:tc>
        <w:tc>
          <w:tcPr>
            <w:tcW w:w="3716" w:type="dxa"/>
            <w:gridSpan w:val="6"/>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0</w:t>
            </w:r>
          </w:p>
        </w:tc>
        <w:tc>
          <w:tcPr>
            <w:tcW w:w="1117" w:type="dxa"/>
            <w:noWrap w:val="0"/>
            <w:vAlign w:val="center"/>
          </w:tcPr>
          <w:p>
            <w:pPr>
              <w:keepNext w:val="0"/>
              <w:keepLines w:val="0"/>
              <w:pageBreakBefore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567" w:hRule="atLeast"/>
          <w:jc w:val="center"/>
        </w:trPr>
        <w:tc>
          <w:tcPr>
            <w:tcW w:w="9797" w:type="dxa"/>
            <w:gridSpan w:val="1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567" w:hRule="atLeast"/>
          <w:jc w:val="center"/>
        </w:trPr>
        <w:tc>
          <w:tcPr>
            <w:tcW w:w="1210"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w:t>
            </w:r>
            <w:r>
              <w:rPr>
                <w:rFonts w:hint="eastAsia" w:ascii="仿宋_GB2312" w:hAnsi="仿宋_GB2312" w:eastAsia="仿宋_GB2312" w:cs="仿宋_GB2312"/>
                <w:color w:val="000000"/>
                <w:sz w:val="24"/>
                <w:highlight w:val="none"/>
              </w:rPr>
              <w:t>定性目标</w:t>
            </w:r>
            <w:r>
              <w:rPr>
                <w:rFonts w:hint="eastAsia" w:ascii="仿宋_GB2312" w:hAnsi="仿宋_GB2312" w:eastAsia="仿宋_GB2312" w:cs="仿宋_GB2312"/>
                <w:color w:val="000000"/>
                <w:sz w:val="24"/>
              </w:rPr>
              <w:t>及实施计划完成情况</w:t>
            </w:r>
          </w:p>
        </w:tc>
        <w:tc>
          <w:tcPr>
            <w:tcW w:w="3754" w:type="dxa"/>
            <w:gridSpan w:val="5"/>
            <w:noWrap w:val="0"/>
            <w:vAlign w:val="center"/>
          </w:tcPr>
          <w:p>
            <w:pPr>
              <w:autoSpaceDN w:val="0"/>
              <w:spacing w:line="320" w:lineRule="exact"/>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预期目标</w:t>
            </w:r>
          </w:p>
        </w:tc>
        <w:tc>
          <w:tcPr>
            <w:tcW w:w="4833" w:type="dxa"/>
            <w:gridSpan w:val="7"/>
            <w:noWrap w:val="0"/>
            <w:vAlign w:val="center"/>
          </w:tcPr>
          <w:p>
            <w:pPr>
              <w:autoSpaceDN w:val="0"/>
              <w:spacing w:line="320" w:lineRule="exact"/>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887" w:hRule="atLeast"/>
          <w:jc w:val="center"/>
        </w:trPr>
        <w:tc>
          <w:tcPr>
            <w:tcW w:w="1210" w:type="dxa"/>
            <w:gridSpan w:val="2"/>
            <w:vMerge w:val="continue"/>
            <w:noWrap w:val="0"/>
            <w:vAlign w:val="center"/>
          </w:tcPr>
          <w:p>
            <w:pPr>
              <w:spacing w:line="320" w:lineRule="exact"/>
              <w:rPr>
                <w:rFonts w:hint="eastAsia" w:ascii="仿宋_GB2312" w:hAnsi="仿宋_GB2312" w:eastAsia="仿宋_GB2312" w:cs="仿宋_GB2312"/>
                <w:sz w:val="24"/>
              </w:rPr>
            </w:pPr>
          </w:p>
        </w:tc>
        <w:tc>
          <w:tcPr>
            <w:tcW w:w="3754"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lang w:val="en-US" w:eastAsia="zh-CN"/>
              </w:rPr>
              <w:t>20</w:t>
            </w:r>
            <w:r>
              <w:rPr>
                <w:rFonts w:hint="eastAsia" w:ascii="仿宋_GB2312" w:hAnsi="仿宋_GB2312" w:eastAsia="仿宋_GB2312" w:cs="仿宋_GB2312"/>
                <w:color w:val="000000"/>
                <w:sz w:val="21"/>
                <w:szCs w:val="21"/>
                <w:lang w:val="en-US" w:eastAsia="zh-CN"/>
              </w:rPr>
              <w:t>20年度资规局（机关）</w:t>
            </w:r>
            <w:r>
              <w:rPr>
                <w:rFonts w:hint="eastAsia" w:ascii="仿宋_GB2312" w:hAnsi="仿宋_GB2312" w:eastAsia="仿宋_GB2312" w:cs="仿宋_GB2312"/>
                <w:color w:val="000000"/>
                <w:sz w:val="21"/>
                <w:szCs w:val="21"/>
              </w:rPr>
              <w:t>定性</w:t>
            </w:r>
            <w:r>
              <w:rPr>
                <w:rFonts w:hint="eastAsia" w:ascii="仿宋_GB2312" w:hAnsi="仿宋_GB2312" w:eastAsia="仿宋_GB2312" w:cs="仿宋_GB2312"/>
                <w:color w:val="000000"/>
                <w:sz w:val="21"/>
                <w:szCs w:val="21"/>
                <w:lang w:val="en-US" w:eastAsia="zh-CN"/>
              </w:rPr>
              <w:t>目标如下：</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（一）</w:t>
            </w:r>
            <w:r>
              <w:rPr>
                <w:rFonts w:hint="eastAsia" w:ascii="仿宋_GB2312" w:hAnsi="仿宋_GB2312" w:eastAsia="仿宋_GB2312" w:cs="仿宋_GB2312"/>
                <w:b/>
                <w:bCs/>
                <w:color w:val="000000"/>
                <w:sz w:val="21"/>
                <w:szCs w:val="21"/>
                <w:lang w:eastAsia="zh-CN"/>
              </w:rPr>
              <w:t>编制国土空间规划，</w:t>
            </w:r>
            <w:r>
              <w:rPr>
                <w:rFonts w:hint="eastAsia" w:ascii="仿宋_GB2312" w:hAnsi="仿宋_GB2312" w:eastAsia="仿宋_GB2312" w:cs="仿宋_GB2312"/>
                <w:b/>
                <w:bCs/>
                <w:color w:val="000000"/>
                <w:sz w:val="21"/>
                <w:szCs w:val="21"/>
                <w:lang w:val="en-US" w:eastAsia="zh-CN"/>
              </w:rPr>
              <w:t>并形成多项成果</w:t>
            </w:r>
            <w:r>
              <w:rPr>
                <w:rFonts w:hint="eastAsia" w:ascii="仿宋_GB2312" w:hAnsi="仿宋_GB2312" w:eastAsia="仿宋_GB2312" w:cs="仿宋_GB2312"/>
                <w:color w:val="000000"/>
                <w:sz w:val="21"/>
                <w:szCs w:val="21"/>
                <w:lang w:val="en-US" w:eastAsia="zh-CN"/>
              </w:rPr>
              <w:t>。</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（二）</w:t>
            </w:r>
            <w:r>
              <w:rPr>
                <w:rFonts w:hint="eastAsia" w:ascii="仿宋_GB2312" w:hAnsi="仿宋_GB2312" w:eastAsia="仿宋_GB2312" w:cs="仿宋_GB2312"/>
                <w:b/>
                <w:bCs/>
                <w:color w:val="000000"/>
                <w:sz w:val="21"/>
                <w:szCs w:val="21"/>
                <w:lang w:eastAsia="zh-CN"/>
              </w:rPr>
              <w:t>高质量完成“三调工作”</w:t>
            </w:r>
            <w:r>
              <w:rPr>
                <w:rFonts w:hint="eastAsia" w:ascii="仿宋_GB2312" w:hAnsi="仿宋_GB2312" w:eastAsia="仿宋_GB2312" w:cs="仿宋_GB2312"/>
                <w:color w:val="000000"/>
                <w:sz w:val="21"/>
                <w:szCs w:val="21"/>
                <w:lang w:eastAsia="zh-CN"/>
              </w:rPr>
              <w:t>。</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w:t>
            </w:r>
            <w:r>
              <w:rPr>
                <w:rFonts w:hint="eastAsia" w:ascii="仿宋_GB2312" w:hAnsi="仿宋_GB2312" w:eastAsia="仿宋_GB2312" w:cs="仿宋_GB2312"/>
                <w:b/>
                <w:bCs/>
                <w:color w:val="000000"/>
                <w:sz w:val="21"/>
                <w:szCs w:val="21"/>
                <w:lang w:eastAsia="zh-CN"/>
              </w:rPr>
              <w:t>落实防灾减灾责任，</w:t>
            </w:r>
            <w:r>
              <w:rPr>
                <w:rFonts w:hint="eastAsia" w:ascii="仿宋_GB2312" w:hAnsi="仿宋_GB2312" w:eastAsia="仿宋_GB2312" w:cs="仿宋_GB2312"/>
                <w:b/>
                <w:bCs/>
                <w:color w:val="000000"/>
                <w:sz w:val="21"/>
                <w:szCs w:val="21"/>
                <w:lang w:val="en-US" w:eastAsia="zh-CN"/>
              </w:rPr>
              <w:t>优化营商环境，落实</w:t>
            </w:r>
            <w:r>
              <w:rPr>
                <w:rFonts w:hint="eastAsia" w:ascii="仿宋_GB2312" w:hAnsi="仿宋_GB2312" w:eastAsia="仿宋_GB2312" w:cs="仿宋_GB2312"/>
                <w:b/>
                <w:bCs/>
                <w:color w:val="000000"/>
                <w:sz w:val="21"/>
                <w:szCs w:val="21"/>
                <w:lang w:eastAsia="zh-CN"/>
              </w:rPr>
              <w:t>“</w:t>
            </w:r>
            <w:r>
              <w:rPr>
                <w:rFonts w:hint="eastAsia" w:ascii="仿宋_GB2312" w:hAnsi="仿宋_GB2312" w:eastAsia="仿宋_GB2312" w:cs="仿宋_GB2312"/>
                <w:b/>
                <w:bCs/>
                <w:color w:val="000000"/>
                <w:sz w:val="21"/>
                <w:szCs w:val="21"/>
                <w:lang w:val="en-US" w:eastAsia="zh-CN"/>
              </w:rPr>
              <w:t>最多跑一次”改革成效。</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b/>
                <w:bCs/>
                <w:color w:val="000000"/>
                <w:sz w:val="21"/>
                <w:szCs w:val="21"/>
                <w:lang w:val="en-US" w:eastAsia="zh-CN"/>
              </w:rPr>
              <w:t>（四）</w:t>
            </w:r>
            <w:r>
              <w:rPr>
                <w:rFonts w:hint="eastAsia" w:ascii="仿宋_GB2312" w:hAnsi="仿宋_GB2312" w:eastAsia="仿宋_GB2312" w:cs="仿宋_GB2312"/>
                <w:b/>
                <w:bCs/>
                <w:color w:val="000000"/>
                <w:sz w:val="21"/>
                <w:szCs w:val="21"/>
                <w:lang w:eastAsia="zh-CN"/>
              </w:rPr>
              <w:t>圆满完成脱贫攻坚</w:t>
            </w:r>
            <w:r>
              <w:rPr>
                <w:rFonts w:hint="eastAsia" w:ascii="仿宋_GB2312" w:hAnsi="仿宋_GB2312" w:eastAsia="仿宋_GB2312" w:cs="仿宋_GB2312"/>
                <w:b/>
                <w:bCs/>
                <w:color w:val="000000"/>
                <w:sz w:val="21"/>
                <w:szCs w:val="21"/>
                <w:lang w:val="en-US" w:eastAsia="zh-CN"/>
              </w:rPr>
              <w:t>任务</w:t>
            </w:r>
            <w:r>
              <w:rPr>
                <w:rFonts w:hint="eastAsia" w:ascii="仿宋_GB2312" w:hAnsi="仿宋_GB2312" w:eastAsia="仿宋_GB2312" w:cs="仿宋_GB2312"/>
                <w:color w:val="000000"/>
                <w:sz w:val="21"/>
                <w:szCs w:val="21"/>
                <w:lang w:val="en-US" w:eastAsia="zh-CN"/>
              </w:rPr>
              <w:t>。</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1、结对帮扶的贫困村全部成功摘帽</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2、异地扶贫搬迁顺利通过国检和省检。</w:t>
            </w:r>
          </w:p>
          <w:p>
            <w:pPr>
              <w:autoSpaceDN w:val="0"/>
              <w:spacing w:line="320" w:lineRule="exact"/>
              <w:jc w:val="left"/>
              <w:textAlignment w:val="center"/>
              <w:rPr>
                <w:rFonts w:hint="default"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（五）</w:t>
            </w:r>
            <w:r>
              <w:rPr>
                <w:rFonts w:hint="eastAsia" w:ascii="仿宋_GB2312" w:hAnsi="仿宋_GB2312" w:eastAsia="仿宋_GB2312" w:cs="仿宋_GB2312"/>
                <w:b/>
                <w:bCs/>
                <w:color w:val="000000"/>
                <w:sz w:val="21"/>
                <w:szCs w:val="21"/>
                <w:lang w:eastAsia="zh-CN"/>
              </w:rPr>
              <w:t>党建</w:t>
            </w:r>
            <w:r>
              <w:rPr>
                <w:rFonts w:hint="eastAsia" w:ascii="仿宋_GB2312" w:hAnsi="仿宋_GB2312" w:eastAsia="仿宋_GB2312" w:cs="仿宋_GB2312"/>
                <w:b/>
                <w:bCs/>
                <w:color w:val="000000"/>
                <w:sz w:val="21"/>
                <w:szCs w:val="21"/>
                <w:lang w:val="en-US" w:eastAsia="zh-CN"/>
              </w:rPr>
              <w:t>方面</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1、坚决站稳政治立场。</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2、坚决担牢党建责任</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3、坚决落实廉政责任</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4、坚决守住思想阵地。</w:t>
            </w: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（六）机构改革持续推进</w:t>
            </w:r>
          </w:p>
          <w:p>
            <w:pPr>
              <w:pStyle w:val="2"/>
              <w:rPr>
                <w:rFonts w:hint="default"/>
                <w:lang w:val="en-US" w:eastAsia="zh-CN"/>
              </w:rPr>
            </w:pPr>
          </w:p>
        </w:tc>
        <w:tc>
          <w:tcPr>
            <w:tcW w:w="4833" w:type="dxa"/>
            <w:gridSpan w:val="7"/>
            <w:noWrap w:val="0"/>
            <w:vAlign w:val="center"/>
          </w:tcPr>
          <w:p>
            <w:pPr>
              <w:autoSpaceDN w:val="0"/>
              <w:spacing w:line="320" w:lineRule="exact"/>
              <w:jc w:val="left"/>
              <w:textAlignment w:val="center"/>
              <w:rPr>
                <w:rFonts w:hint="eastAsia"/>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（一）精心编制国土空间规划，并形成了多项成果</w:t>
            </w:r>
            <w:r>
              <w:rPr>
                <w:rFonts w:hint="eastAsia" w:ascii="仿宋_GB2312" w:hAnsi="仿宋_GB2312" w:eastAsia="仿宋_GB2312" w:cs="仿宋_GB2312"/>
                <w:color w:val="000000"/>
                <w:sz w:val="21"/>
                <w:szCs w:val="21"/>
                <w:lang w:val="en-US" w:eastAsia="zh-CN"/>
              </w:rPr>
              <w:t>。全市模拟调整优化了2.8万亩的基本农田保护线，形成了国土空间规划大纲年度成果、山体水体保护规划阶段性成果、生态红线划定和城镇开发边界拟定技术成果，总体城市设计、综合交通体系规划形成方案，“十大”专题报告完成专家审查并形成成果。全面完成100个村庄规划试点、“一湖两岸”城市设计、主城区综合治堵规划等。</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（二）高质量完成了“三调工作</w:t>
            </w:r>
            <w:r>
              <w:rPr>
                <w:rFonts w:hint="eastAsia" w:ascii="仿宋_GB2312" w:hAnsi="仿宋_GB2312" w:eastAsia="仿宋_GB2312" w:cs="仿宋_GB2312"/>
                <w:color w:val="000000"/>
                <w:sz w:val="21"/>
                <w:szCs w:val="21"/>
                <w:lang w:val="en-US" w:eastAsia="zh-CN"/>
              </w:rPr>
              <w:t>”。完成了初始调查成果的整改和完善及“三调”统一时点更新，更新成果作为全省第一批成果上报国家核查，并全部顺利通过国家级内业核查。</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（三）坚决落实防灾减灾责任，“最多跑一次”改革成效显著</w:t>
            </w:r>
            <w:r>
              <w:rPr>
                <w:rFonts w:hint="eastAsia" w:ascii="仿宋_GB2312" w:hAnsi="仿宋_GB2312" w:eastAsia="仿宋_GB2312" w:cs="仿宋_GB2312"/>
                <w:color w:val="000000"/>
                <w:sz w:val="21"/>
                <w:szCs w:val="21"/>
                <w:lang w:val="en-US" w:eastAsia="zh-CN"/>
              </w:rPr>
              <w:t>。</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1、坚决落实防灾减灾责任，坚持技防与人防相结合，全市地质灾害隐患点持续保持“零死亡”。</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认真落实市委“最多跑一次”、优化营商环境专项巡察整改，18项整改问题，销号17项，建议移交1项；打通“互联网+不动产登记”，建设完成不动产登记综合平台，做到“信息多跑路、群众少跑腿”；整合窗口、加速提速，不动产登记60分钟出证办理业务5000多笔，成功试点“交房即交证”“交地即交证”改革；全面开放测绘市场，启用“多测合一”信息平台，完成工程验收阶段“多测合一”改革，测量时间从35天缩减到16天，费用同比减少46.7%。</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（四）脱贫攻坚任务圆满完成</w:t>
            </w:r>
            <w:r>
              <w:rPr>
                <w:rFonts w:hint="eastAsia" w:ascii="仿宋_GB2312" w:hAnsi="仿宋_GB2312" w:eastAsia="仿宋_GB2312" w:cs="仿宋_GB2312"/>
                <w:color w:val="000000"/>
                <w:sz w:val="21"/>
                <w:szCs w:val="21"/>
                <w:lang w:val="en-US" w:eastAsia="zh-CN"/>
              </w:rPr>
              <w:t>。全系统结对帮扶的贫困村全部成功摘帽；认真履行督查责任，督查到位14个村，抓好了异地扶贫搬迁后续拆旧复垦、确权登记等扶持工作，顺利通过国检和省检。</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（五）党的建设全面加强</w:t>
            </w:r>
            <w:r>
              <w:rPr>
                <w:rFonts w:hint="eastAsia" w:ascii="仿宋_GB2312" w:hAnsi="仿宋_GB2312" w:eastAsia="仿宋_GB2312" w:cs="仿宋_GB2312"/>
                <w:color w:val="000000"/>
                <w:sz w:val="21"/>
                <w:szCs w:val="21"/>
                <w:lang w:val="en-US" w:eastAsia="zh-CN"/>
              </w:rPr>
              <w:t>。</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1、全年组织党组理论学习和中心组集中（扩大）学习共17次，推动了习近平新时代中国特色社会主义思想见学习、见行动。</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2、严格落实“一岗双责”“三会一课”制度，在“三重一大”等事项决策上充分听取意见，形成了会前沟通商量、会上集体研究、会后全力执行的良好氛围。</w:t>
            </w:r>
          </w:p>
          <w:p>
            <w:pPr>
              <w:autoSpaceDN w:val="0"/>
              <w:spacing w:line="320" w:lineRule="exact"/>
              <w:jc w:val="left"/>
              <w:textAlignment w:val="center"/>
              <w:rPr>
                <w:rFonts w:hint="eastAsia"/>
                <w:lang w:val="en-US" w:eastAsia="zh-CN"/>
              </w:rPr>
            </w:pPr>
            <w:r>
              <w:rPr>
                <w:rFonts w:hint="eastAsia" w:ascii="仿宋_GB2312" w:hAnsi="仿宋_GB2312" w:eastAsia="仿宋_GB2312" w:cs="仿宋_GB2312"/>
                <w:color w:val="000000"/>
                <w:sz w:val="21"/>
                <w:szCs w:val="21"/>
                <w:lang w:val="en-US" w:eastAsia="zh-CN"/>
              </w:rPr>
              <w:t>3、深入开展廉政风险排查防控，开展廉政谈心谈话40人次，作风监督检查10余次、处分违纪人员6人</w:t>
            </w:r>
            <w:r>
              <w:rPr>
                <w:rFonts w:hint="eastAsia"/>
                <w:lang w:val="en-US" w:eastAsia="zh-CN"/>
              </w:rPr>
              <w:t>。</w:t>
            </w:r>
          </w:p>
          <w:p>
            <w:pPr>
              <w:pStyle w:val="3"/>
              <w:ind w:left="0" w:leftChars="0" w:firstLine="0" w:firstLineChars="0"/>
              <w:rPr>
                <w:rFonts w:hint="default" w:ascii="仿宋_GB2312" w:hAnsi="仿宋_GB2312" w:eastAsia="仿宋_GB2312" w:cs="仿宋_GB2312"/>
                <w:color w:val="000000"/>
                <w:kern w:val="2"/>
                <w:sz w:val="21"/>
                <w:szCs w:val="21"/>
                <w:lang w:val="en-US" w:eastAsia="zh-CN" w:bidi="ar-SA"/>
              </w:rPr>
            </w:pPr>
            <w:r>
              <w:rPr>
                <w:rFonts w:hint="eastAsia"/>
                <w:lang w:val="en-US" w:eastAsia="zh-CN"/>
              </w:rPr>
              <w:t>4</w:t>
            </w:r>
            <w:r>
              <w:rPr>
                <w:rFonts w:hint="eastAsia" w:ascii="仿宋_GB2312" w:hAnsi="仿宋_GB2312" w:eastAsia="仿宋_GB2312" w:cs="仿宋_GB2312"/>
                <w:color w:val="000000"/>
                <w:kern w:val="2"/>
                <w:sz w:val="21"/>
                <w:szCs w:val="21"/>
                <w:lang w:val="en-US" w:eastAsia="zh-CN" w:bidi="ar-SA"/>
              </w:rPr>
              <w:t>、制定《网络媒体管理办法》，成立70名干部职工组成的网评员队伍，微宣讲短视频《众志成诚、同心抗疫》获市委宣传部优胜奖，全系统工作多次被中央、省市生要媒体宣传报道。</w:t>
            </w:r>
          </w:p>
          <w:p>
            <w:pPr>
              <w:autoSpaceDN w:val="0"/>
              <w:spacing w:line="320" w:lineRule="exact"/>
              <w:jc w:val="left"/>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b/>
                <w:bCs/>
                <w:color w:val="000000"/>
                <w:kern w:val="2"/>
                <w:sz w:val="21"/>
                <w:szCs w:val="21"/>
                <w:lang w:val="en-US" w:eastAsia="zh-CN" w:bidi="ar-SA"/>
              </w:rPr>
              <w:t>（六）持续推进机构改革工作</w:t>
            </w:r>
          </w:p>
          <w:p>
            <w:pPr>
              <w:autoSpaceDN w:val="0"/>
              <w:spacing w:line="320" w:lineRule="exact"/>
              <w:jc w:val="left"/>
              <w:textAlignment w:val="center"/>
              <w:rPr>
                <w:rFonts w:hint="eastAsia"/>
                <w:lang w:val="en-US" w:eastAsia="zh-CN"/>
              </w:rPr>
            </w:pPr>
            <w:r>
              <w:rPr>
                <w:rFonts w:hint="eastAsia" w:ascii="仿宋_GB2312" w:hAnsi="仿宋_GB2312" w:eastAsia="仿宋_GB2312" w:cs="仿宋_GB2312"/>
                <w:color w:val="000000"/>
                <w:kern w:val="2"/>
                <w:sz w:val="21"/>
                <w:szCs w:val="21"/>
                <w:lang w:val="en-US" w:eastAsia="zh-CN" w:bidi="ar-SA"/>
              </w:rPr>
              <w:t>通过制定完善工作流程和机制，进一步理顺了全市自然资源和规划管理。严格干部选拔任用，一批优秀干部得到提拔重用，部分岗位得到轮岗、消超，系统干部队伍结构进一步优化，活力进一步增强。同时，全力配合，主动协调，做好了3个区级分局的下放、2个事业单位改制工作，对执法机构进行了初步整合，持续释放了机构改革综合效应。</w:t>
            </w:r>
          </w:p>
          <w:p>
            <w:pPr>
              <w:rPr>
                <w:rFonts w:hint="default"/>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16" w:hRule="atLeast"/>
          <w:jc w:val="center"/>
        </w:trPr>
        <w:tc>
          <w:tcPr>
            <w:tcW w:w="1210"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w:t>
            </w:r>
            <w:r>
              <w:rPr>
                <w:rFonts w:hint="eastAsia" w:ascii="仿宋_GB2312" w:hAnsi="仿宋_GB2312" w:eastAsia="仿宋_GB2312" w:cs="仿宋_GB2312"/>
                <w:color w:val="000000"/>
                <w:sz w:val="24"/>
                <w:highlight w:val="none"/>
              </w:rPr>
              <w:t>定量目标及实施</w:t>
            </w:r>
            <w:r>
              <w:rPr>
                <w:rFonts w:hint="eastAsia" w:ascii="仿宋_GB2312" w:hAnsi="仿宋_GB2312" w:eastAsia="仿宋_GB2312" w:cs="仿宋_GB2312"/>
                <w:color w:val="000000"/>
                <w:sz w:val="24"/>
              </w:rPr>
              <w:t>计划完成情况</w:t>
            </w:r>
          </w:p>
        </w:tc>
        <w:tc>
          <w:tcPr>
            <w:tcW w:w="1723" w:type="dxa"/>
            <w:gridSpan w:val="3"/>
            <w:noWrap w:val="0"/>
            <w:vAlign w:val="center"/>
          </w:tcPr>
          <w:p>
            <w:pPr>
              <w:autoSpaceDN w:val="0"/>
              <w:spacing w:line="320" w:lineRule="exact"/>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评价内容</w:t>
            </w:r>
          </w:p>
        </w:tc>
        <w:tc>
          <w:tcPr>
            <w:tcW w:w="3240" w:type="dxa"/>
            <w:gridSpan w:val="3"/>
            <w:noWrap w:val="0"/>
            <w:vAlign w:val="center"/>
          </w:tcPr>
          <w:p>
            <w:pPr>
              <w:autoSpaceDN w:val="0"/>
              <w:spacing w:line="320" w:lineRule="exact"/>
              <w:ind w:firstLine="964" w:firstLineChars="400"/>
              <w:jc w:val="left"/>
              <w:textAlignment w:val="center"/>
              <w:rPr>
                <w:rFonts w:hint="eastAsia"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bCs/>
                <w:color w:val="000000"/>
                <w:sz w:val="24"/>
                <w:szCs w:val="24"/>
                <w:lang w:val="en-US" w:eastAsia="zh-CN"/>
              </w:rPr>
              <w:t>绩效目标</w:t>
            </w:r>
          </w:p>
        </w:tc>
        <w:tc>
          <w:tcPr>
            <w:tcW w:w="3624" w:type="dxa"/>
            <w:gridSpan w:val="6"/>
            <w:noWrap w:val="0"/>
            <w:vAlign w:val="center"/>
          </w:tcPr>
          <w:p>
            <w:pPr>
              <w:autoSpaceDN w:val="0"/>
              <w:spacing w:line="320" w:lineRule="exact"/>
              <w:ind w:firstLine="1687" w:firstLineChars="700"/>
              <w:jc w:val="left"/>
              <w:textAlignment w:val="center"/>
              <w:rPr>
                <w:rFonts w:hint="eastAsia"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bCs/>
                <w:color w:val="000000"/>
                <w:sz w:val="24"/>
                <w:szCs w:val="24"/>
                <w:lang w:val="en-US" w:eastAsia="zh-CN"/>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180" w:hRule="atLeast"/>
          <w:jc w:val="center"/>
        </w:trPr>
        <w:tc>
          <w:tcPr>
            <w:tcW w:w="1210" w:type="dxa"/>
            <w:gridSpan w:val="2"/>
            <w:vMerge w:val="continue"/>
            <w:noWrap w:val="0"/>
            <w:vAlign w:val="center"/>
          </w:tcPr>
          <w:p>
            <w:pPr>
              <w:spacing w:line="320" w:lineRule="exact"/>
              <w:rPr>
                <w:rFonts w:hint="eastAsia" w:ascii="仿宋_GB2312" w:hAnsi="仿宋_GB2312" w:eastAsia="仿宋_GB2312" w:cs="仿宋_GB2312"/>
                <w:sz w:val="24"/>
              </w:rPr>
            </w:pPr>
          </w:p>
        </w:tc>
        <w:tc>
          <w:tcPr>
            <w:tcW w:w="477" w:type="dxa"/>
            <w:vMerge w:val="restart"/>
            <w:noWrap w:val="0"/>
            <w:vAlign w:val="center"/>
          </w:tcPr>
          <w:p>
            <w:pPr>
              <w:autoSpaceDN w:val="0"/>
              <w:spacing w:line="320" w:lineRule="exact"/>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b/>
                <w:bCs/>
                <w:sz w:val="21"/>
                <w:szCs w:val="21"/>
                <w:lang w:val="en-US" w:eastAsia="zh-CN"/>
              </w:rPr>
              <w:t>产出目标</w:t>
            </w:r>
          </w:p>
        </w:tc>
        <w:tc>
          <w:tcPr>
            <w:tcW w:w="1246"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3240" w:type="dxa"/>
            <w:gridSpan w:val="3"/>
            <w:noWrap w:val="0"/>
            <w:vAlign w:val="center"/>
          </w:tcPr>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（一）服务中心重点，争资争项有成效。</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1、向省市报批项目面积达到同比增长；保障重点项目用地764宗3185.9公顷，市本级出让金入库财政71亿元。</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2、清零验收133个依法征收项目，实现腾地2310公顷；计划完成省级权限调规项目58个，市级调规项目182个。</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3、申报中央重点生态保护修复项目储备库项目1个、申报总投资20.6亿元；全市争取地质灾害防治资金8000万元，土地综合整治项目3个；矿山生态修复资金1000万元。</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（二）强化土地管理、严格管护自然资源。</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1、全年全市完成闲置土地处置率及批而未决地地处置率均达到省厅50%考核标准。</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2、牢牢守住了耕地保护红线。确认耕地开发项目86个，2510公顷，确认增减挂钩指标1897公顷；省级发证矿山签订关闭协议2个，4个市级发证矿山全部注销，县级发证矿山注销5个，新增3家省级绿色矿山。</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3、修复长江经济带废弃露天矿山133个。</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（三）服务群众方面</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全市共确权登记63万宗</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color w:val="000000"/>
                <w:sz w:val="21"/>
                <w:szCs w:val="21"/>
                <w:lang w:val="en-US" w:eastAsia="zh-CN"/>
              </w:rPr>
              <w:t>（</w:t>
            </w:r>
            <w:r>
              <w:rPr>
                <w:rFonts w:hint="eastAsia" w:ascii="仿宋_GB2312" w:hAnsi="仿宋_GB2312" w:eastAsia="仿宋_GB2312" w:cs="仿宋_GB2312"/>
                <w:b/>
                <w:bCs/>
                <w:color w:val="000000"/>
                <w:sz w:val="21"/>
                <w:szCs w:val="21"/>
                <w:lang w:val="en-US" w:eastAsia="zh-CN"/>
              </w:rPr>
              <w:t>四）违法用地整改率及信访问题化解率提高</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1、违法用地整改率提高，违法用地月清率100%，整改耕地保护督察问题到位率100%</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2、来信来访及时办结率100%，房地产办证信访突出问题化解率30%</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3、禁拆治违我年中心城区拆违建筑2858处。</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（五）计划全年非税收入17400万元</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p>
        </w:tc>
        <w:tc>
          <w:tcPr>
            <w:tcW w:w="3709" w:type="dxa"/>
            <w:gridSpan w:val="7"/>
            <w:noWrap w:val="0"/>
            <w:vAlign w:val="center"/>
          </w:tcPr>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（一）全力服务中心重点，争资争项卓有成效</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全年共向省报批174个项目1809.36公顷，面积同比增长4%。其中市本级向省报批34个项目588.06公顷，面积同比增长42%。全年共供应土地764宗3185.9公顷，出让价款163.49亿元，其中市中心城区出让价款53.11亿元，已追缴往年土地欠缴出让金近10亿元，全年市本级完成出让金入库财政71.02亿元。</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2、全年清零验收133个依法征收项目，实现腾地2310.88公顷。已完成省级权限调规项目58个，市级调规项目182个。</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东洞庭湖流域山水林田湖草生态修复项目”经省政府审查批准，成功上报自然资源部和财政部项目库，申报总投资20.6亿元，是我省唯一申报中央重点生态保护修复资金项目储备库的项目。全市争取地质灾害防治项目资金8000余万元，土地综合整治项目3个，矿山生态修复项目资金1000余万元。</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（二）大力强化了土地管理、自然资源管护较好</w:t>
            </w:r>
            <w:r>
              <w:rPr>
                <w:rFonts w:hint="eastAsia" w:ascii="仿宋_GB2312" w:hAnsi="仿宋_GB2312" w:eastAsia="仿宋_GB2312" w:cs="仿宋_GB2312"/>
                <w:color w:val="000000"/>
                <w:sz w:val="21"/>
                <w:szCs w:val="21"/>
                <w:lang w:val="en-US" w:eastAsia="zh-CN"/>
              </w:rPr>
              <w:t>。</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1、全年全市完成闲置土地处置面积985.38公顷，处置率为76.93%，完成批而未供土地处置面积1182.3公顷，处置率为61.34%，均超过省厅50%考核标准；“月清三地”工作受到省通报表彰。</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全年确认耕地开发项目86个2510.92公顷，确认增减挂钩指标1897公顷。严格管理矿产资源，4个省级发证矿山签订关闭协议2个；4个市级发证矿山已全部退出注销；7个县级发证矿山注销5个。24家矿山完成了绿色矿山建设方案的编制和评审，新增3家省级绿色矿山。</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3、修复长江经济带废弃露天矿山133个，面积476.27公顷，完成省定任务。</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（三）用心用情服务群众</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农村宅基地和集体建设用地房地一体确权登记全面完成。全市共确权登记63万宗，是全省提前100%完成任务的三个市州之一。</w:t>
            </w: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（四）违法用地整改率及信访问题化解率提高</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 xml:space="preserve"> 1、全市月度卫片执法161个问题整改到位137个，整改到位率85.09%，全省居前，市本级及各县市区均无被约谈问责情况；全市共下发月清违法用地76宗，均达到月清标准，月清率100%；全市共确认上报的24宗210栋违建别墅项目全部核销；共整改耕地保护督察问题698个,到位率99.29%。</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2、全年接待群众来信来访53件390余人次，国家、部、省交办转办件79件，所有来信来访及时答复办理，100%办结；全市纳入77个楼盘，化解39个，化解率50.65%，完成省定30%化解率目标。</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3、全年中心城区共拆违2858处40.35万平方米，有力促进城区人居环境的提升改善。</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val="0"/>
                <w:bCs w:val="0"/>
                <w:color w:val="000000"/>
                <w:sz w:val="21"/>
                <w:szCs w:val="21"/>
                <w:shd w:val="clear"/>
                <w:lang w:val="en-US" w:eastAsia="zh-CN"/>
              </w:rPr>
              <w:t>（</w:t>
            </w:r>
            <w:r>
              <w:rPr>
                <w:rFonts w:hint="eastAsia" w:ascii="仿宋_GB2312" w:hAnsi="仿宋_GB2312" w:eastAsia="仿宋_GB2312" w:cs="仿宋_GB2312"/>
                <w:color w:val="000000"/>
                <w:sz w:val="21"/>
                <w:szCs w:val="21"/>
                <w:lang w:val="en-US" w:eastAsia="zh-CN"/>
              </w:rPr>
              <w:t>五）2020年实现非税收入21625.68  万元,完成计划124.29%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825" w:hRule="atLeast"/>
          <w:jc w:val="center"/>
        </w:trPr>
        <w:tc>
          <w:tcPr>
            <w:tcW w:w="1210" w:type="dxa"/>
            <w:gridSpan w:val="2"/>
            <w:vMerge w:val="continue"/>
            <w:noWrap w:val="0"/>
            <w:vAlign w:val="center"/>
          </w:tcPr>
          <w:p>
            <w:pPr>
              <w:spacing w:line="320" w:lineRule="exact"/>
              <w:rPr>
                <w:rFonts w:hint="eastAsia" w:ascii="仿宋_GB2312" w:hAnsi="仿宋_GB2312" w:eastAsia="仿宋_GB2312" w:cs="仿宋_GB2312"/>
                <w:sz w:val="24"/>
              </w:rPr>
            </w:pPr>
          </w:p>
        </w:tc>
        <w:tc>
          <w:tcPr>
            <w:tcW w:w="477" w:type="dxa"/>
            <w:vMerge w:val="continue"/>
            <w:noWrap w:val="0"/>
            <w:vAlign w:val="center"/>
          </w:tcPr>
          <w:p>
            <w:pPr>
              <w:autoSpaceDN w:val="0"/>
              <w:spacing w:line="320" w:lineRule="exact"/>
              <w:rPr>
                <w:rFonts w:hint="eastAsia" w:ascii="仿宋_GB2312" w:hAnsi="仿宋_GB2312" w:eastAsia="仿宋_GB2312" w:cs="仿宋_GB2312"/>
                <w:sz w:val="21"/>
                <w:szCs w:val="21"/>
              </w:rPr>
            </w:pPr>
          </w:p>
        </w:tc>
        <w:tc>
          <w:tcPr>
            <w:tcW w:w="1246"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3240" w:type="dxa"/>
            <w:gridSpan w:val="3"/>
            <w:noWrap w:val="0"/>
            <w:vAlign w:val="center"/>
          </w:tcPr>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（一）编制国土空间规划成果通过上级部门及专家审查通过。</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（二）“三调工作”更新成果通过国家级内业核查。</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（三）地质灾害隐患点“零死亡”“最多跑一次”改革落实到位，优化营商环境专项巡察整改率100%。</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（四）结对帮扶的贫困村摘帽率100%；异地扶贫工作国检和省检通过率100%。</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（五）违法行为查处整改率合格，上级部门约谈和问责为0次</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（六）发展用地保证率100%</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（七）重点项目跟踪服务落地率100%。</w:t>
            </w:r>
          </w:p>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p>
        </w:tc>
        <w:tc>
          <w:tcPr>
            <w:tcW w:w="3709" w:type="dxa"/>
            <w:gridSpan w:val="7"/>
            <w:noWrap w:val="0"/>
            <w:vAlign w:val="center"/>
          </w:tcPr>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w:t>
            </w:r>
            <w:r>
              <w:rPr>
                <w:rFonts w:hint="eastAsia" w:ascii="仿宋_GB2312" w:hAnsi="仿宋_GB2312" w:eastAsia="仿宋_GB2312" w:cs="仿宋_GB2312"/>
                <w:color w:val="000000"/>
                <w:sz w:val="21"/>
                <w:szCs w:val="21"/>
                <w:lang w:val="en-US" w:eastAsia="zh-CN"/>
              </w:rPr>
              <w:t>“十大”专题报告完成专家审查并形成成果，其他成果得到部、省、市级相关部门审查通过。</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w:t>
            </w:r>
            <w:r>
              <w:rPr>
                <w:rFonts w:hint="eastAsia" w:ascii="仿宋_GB2312" w:hAnsi="仿宋_GB2312" w:eastAsia="仿宋_GB2312" w:cs="仿宋_GB2312"/>
                <w:color w:val="000000"/>
                <w:sz w:val="21"/>
                <w:szCs w:val="21"/>
                <w:lang w:val="en-US" w:eastAsia="zh-CN"/>
              </w:rPr>
              <w:t>完成了初始调查成果的整改和完善及“三调”统一时点更新，更新成果作为全省第一批成果上报国家核查。</w:t>
            </w: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w:t>
            </w:r>
            <w:r>
              <w:rPr>
                <w:rFonts w:hint="eastAsia" w:ascii="仿宋_GB2312" w:hAnsi="仿宋_GB2312" w:eastAsia="仿宋_GB2312" w:cs="仿宋_GB2312"/>
                <w:color w:val="000000"/>
                <w:sz w:val="21"/>
                <w:szCs w:val="21"/>
                <w:lang w:val="en-US" w:eastAsia="zh-CN"/>
              </w:rPr>
              <w:t>地质灾害隐患点持续保持“零死亡”，“最多跑一次”均落实到位，优化营商环境专项巡察整改，18项整改问题，销号17项，建议移交1项，整改率100%</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（四）</w:t>
            </w:r>
            <w:r>
              <w:rPr>
                <w:rFonts w:hint="default" w:ascii="仿宋_GB2312" w:hAnsi="仿宋_GB2312" w:eastAsia="仿宋_GB2312" w:cs="仿宋_GB2312"/>
                <w:color w:val="000000"/>
                <w:sz w:val="21"/>
                <w:szCs w:val="21"/>
                <w:lang w:val="en-US" w:eastAsia="zh-CN"/>
              </w:rPr>
              <w:t>全系统结对帮扶的贫困村全部成功摘帽；异地扶贫搬迁后续拆旧复垦、确权登记等扶持工作顺利通过国检和省检。</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（五）</w:t>
            </w:r>
            <w:r>
              <w:rPr>
                <w:rFonts w:hint="eastAsia" w:ascii="仿宋_GB2312" w:hAnsi="仿宋_GB2312" w:eastAsia="仿宋_GB2312" w:cs="仿宋_GB2312"/>
                <w:color w:val="000000"/>
                <w:sz w:val="21"/>
                <w:szCs w:val="21"/>
                <w:lang w:val="en-US" w:eastAsia="zh-CN"/>
              </w:rPr>
              <w:t>本年度未出现被自然资源部或省政府约谈或问责事项。</w:t>
            </w:r>
            <w:r>
              <w:rPr>
                <w:rFonts w:hint="eastAsia" w:ascii="仿宋_GB2312" w:hAnsi="仿宋_GB2312" w:eastAsia="仿宋_GB2312" w:cs="仿宋_GB2312"/>
                <w:b w:val="0"/>
                <w:bCs w:val="0"/>
                <w:color w:val="000000"/>
                <w:sz w:val="21"/>
                <w:szCs w:val="21"/>
                <w:lang w:val="en-US" w:eastAsia="zh-CN"/>
              </w:rPr>
              <w:t>违</w:t>
            </w:r>
            <w:r>
              <w:rPr>
                <w:rFonts w:hint="eastAsia" w:ascii="仿宋_GB2312" w:hAnsi="仿宋_GB2312" w:eastAsia="仿宋_GB2312" w:cs="仿宋_GB2312"/>
                <w:color w:val="000000"/>
                <w:sz w:val="21"/>
                <w:szCs w:val="21"/>
                <w:lang w:val="en-US" w:eastAsia="zh-CN"/>
              </w:rPr>
              <w:t>法行为查处整改率100%。</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（六）</w:t>
            </w:r>
            <w:r>
              <w:rPr>
                <w:rFonts w:hint="eastAsia" w:ascii="仿宋_GB2312" w:hAnsi="仿宋_GB2312" w:eastAsia="仿宋_GB2312" w:cs="仿宋_GB2312"/>
                <w:b w:val="0"/>
                <w:bCs w:val="0"/>
                <w:color w:val="000000"/>
                <w:sz w:val="21"/>
                <w:szCs w:val="21"/>
                <w:lang w:val="en-US" w:eastAsia="zh-CN"/>
              </w:rPr>
              <w:t>全年供地764宗3185.9公顷</w:t>
            </w:r>
            <w:r>
              <w:rPr>
                <w:rFonts w:hint="eastAsia" w:ascii="仿宋_GB2312" w:hAnsi="仿宋_GB2312" w:eastAsia="仿宋_GB2312" w:cs="仿宋_GB2312"/>
                <w:b/>
                <w:bCs/>
                <w:color w:val="000000"/>
                <w:sz w:val="21"/>
                <w:szCs w:val="21"/>
                <w:lang w:val="en-US" w:eastAsia="zh-CN"/>
              </w:rPr>
              <w:t>，</w:t>
            </w:r>
            <w:r>
              <w:rPr>
                <w:rFonts w:hint="eastAsia" w:ascii="仿宋_GB2312" w:hAnsi="仿宋_GB2312" w:eastAsia="仿宋_GB2312" w:cs="仿宋_GB2312"/>
                <w:color w:val="000000"/>
                <w:sz w:val="21"/>
                <w:szCs w:val="21"/>
                <w:lang w:val="en-US" w:eastAsia="zh-CN"/>
              </w:rPr>
              <w:t>发展用地保证率100%。</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（七）</w:t>
            </w:r>
            <w:r>
              <w:rPr>
                <w:rFonts w:hint="eastAsia" w:ascii="仿宋_GB2312" w:hAnsi="仿宋_GB2312" w:eastAsia="仿宋_GB2312" w:cs="仿宋_GB2312"/>
                <w:color w:val="000000"/>
                <w:sz w:val="21"/>
                <w:szCs w:val="21"/>
                <w:lang w:val="en-US" w:eastAsia="zh-CN"/>
              </w:rPr>
              <w:t>省市重点项目和“五个100”落地率100%，有效解决了项目“落地难、落地慢”的问题。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49" w:hRule="atLeast"/>
          <w:jc w:val="center"/>
        </w:trPr>
        <w:tc>
          <w:tcPr>
            <w:tcW w:w="1210" w:type="dxa"/>
            <w:gridSpan w:val="2"/>
            <w:vMerge w:val="continue"/>
            <w:noWrap w:val="0"/>
            <w:vAlign w:val="center"/>
          </w:tcPr>
          <w:p>
            <w:pPr>
              <w:spacing w:line="320" w:lineRule="exact"/>
              <w:rPr>
                <w:rFonts w:hint="eastAsia" w:ascii="仿宋_GB2312" w:hAnsi="仿宋_GB2312" w:eastAsia="仿宋_GB2312" w:cs="仿宋_GB2312"/>
                <w:sz w:val="24"/>
              </w:rPr>
            </w:pPr>
          </w:p>
        </w:tc>
        <w:tc>
          <w:tcPr>
            <w:tcW w:w="477" w:type="dxa"/>
            <w:vMerge w:val="continue"/>
            <w:noWrap w:val="0"/>
            <w:vAlign w:val="center"/>
          </w:tcPr>
          <w:p>
            <w:pPr>
              <w:autoSpaceDN w:val="0"/>
              <w:spacing w:line="320" w:lineRule="exact"/>
              <w:rPr>
                <w:rFonts w:hint="eastAsia" w:ascii="仿宋_GB2312" w:hAnsi="仿宋_GB2312" w:eastAsia="仿宋_GB2312" w:cs="仿宋_GB2312"/>
                <w:sz w:val="21"/>
                <w:szCs w:val="21"/>
              </w:rPr>
            </w:pPr>
          </w:p>
        </w:tc>
        <w:tc>
          <w:tcPr>
            <w:tcW w:w="1246"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时效指标</w:t>
            </w:r>
          </w:p>
        </w:tc>
        <w:tc>
          <w:tcPr>
            <w:tcW w:w="3240" w:type="dxa"/>
            <w:gridSpan w:val="3"/>
            <w:noWrap w:val="0"/>
            <w:vAlign w:val="center"/>
          </w:tcPr>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（一）优化营商环境，审批日期缩短10个工作日。</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（二）所有来信来访及时答复</w:t>
            </w:r>
          </w:p>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（三）在规定时限内腾地、供地和完成整改、销号等任务</w:t>
            </w:r>
          </w:p>
        </w:tc>
        <w:tc>
          <w:tcPr>
            <w:tcW w:w="3709" w:type="dxa"/>
            <w:gridSpan w:val="7"/>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w:t>
            </w:r>
            <w:r>
              <w:rPr>
                <w:rFonts w:hint="eastAsia" w:ascii="仿宋_GB2312" w:hAnsi="仿宋_GB2312" w:eastAsia="仿宋_GB2312" w:cs="仿宋_GB2312"/>
                <w:color w:val="000000"/>
                <w:sz w:val="21"/>
                <w:szCs w:val="21"/>
                <w:lang w:val="en-US" w:eastAsia="zh-CN"/>
              </w:rPr>
              <w:t>规划和用地审批从原来的40个工作日缩短至10个工作日，不动产登记并成功试点“交房即交证”“交地即交证”。</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w:t>
            </w:r>
            <w:r>
              <w:rPr>
                <w:rFonts w:hint="eastAsia" w:ascii="仿宋_GB2312" w:hAnsi="仿宋_GB2312" w:eastAsia="仿宋_GB2312" w:cs="仿宋_GB2312"/>
                <w:color w:val="000000"/>
                <w:sz w:val="21"/>
                <w:szCs w:val="21"/>
                <w:lang w:val="en-US" w:eastAsia="zh-CN"/>
              </w:rPr>
              <w:t>来信来访在规定期限内及时答复</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w:t>
            </w:r>
            <w:r>
              <w:rPr>
                <w:rFonts w:hint="eastAsia" w:ascii="仿宋_GB2312" w:hAnsi="仿宋_GB2312" w:eastAsia="仿宋_GB2312" w:cs="仿宋_GB2312"/>
                <w:color w:val="000000"/>
                <w:sz w:val="21"/>
                <w:szCs w:val="21"/>
                <w:lang w:val="en-US" w:eastAsia="zh-CN"/>
              </w:rPr>
              <w:t>各项任务在规定期限内完成。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83" w:hRule="atLeast"/>
          <w:jc w:val="center"/>
        </w:trPr>
        <w:tc>
          <w:tcPr>
            <w:tcW w:w="1210" w:type="dxa"/>
            <w:gridSpan w:val="2"/>
            <w:vMerge w:val="continue"/>
            <w:noWrap w:val="0"/>
            <w:vAlign w:val="center"/>
          </w:tcPr>
          <w:p>
            <w:pPr>
              <w:spacing w:line="320" w:lineRule="exact"/>
              <w:rPr>
                <w:rFonts w:hint="eastAsia" w:ascii="仿宋_GB2312" w:hAnsi="仿宋_GB2312" w:eastAsia="仿宋_GB2312" w:cs="仿宋_GB2312"/>
                <w:sz w:val="24"/>
              </w:rPr>
            </w:pPr>
          </w:p>
        </w:tc>
        <w:tc>
          <w:tcPr>
            <w:tcW w:w="477" w:type="dxa"/>
            <w:vMerge w:val="continue"/>
            <w:noWrap w:val="0"/>
            <w:vAlign w:val="center"/>
          </w:tcPr>
          <w:p>
            <w:pPr>
              <w:autoSpaceDN w:val="0"/>
              <w:spacing w:line="320" w:lineRule="exact"/>
              <w:rPr>
                <w:rFonts w:hint="eastAsia" w:ascii="仿宋_GB2312" w:hAnsi="仿宋_GB2312" w:eastAsia="仿宋_GB2312" w:cs="仿宋_GB2312"/>
                <w:sz w:val="21"/>
                <w:szCs w:val="21"/>
              </w:rPr>
            </w:pPr>
          </w:p>
        </w:tc>
        <w:tc>
          <w:tcPr>
            <w:tcW w:w="1246" w:type="dxa"/>
            <w:gridSpan w:val="2"/>
            <w:noWrap w:val="0"/>
            <w:vAlign w:val="center"/>
          </w:tcPr>
          <w:p>
            <w:pPr>
              <w:autoSpaceDN w:val="0"/>
              <w:spacing w:line="320" w:lineRule="exact"/>
              <w:jc w:val="both"/>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成本指标</w:t>
            </w:r>
          </w:p>
        </w:tc>
        <w:tc>
          <w:tcPr>
            <w:tcW w:w="3240" w:type="dxa"/>
            <w:gridSpan w:val="3"/>
            <w:noWrap w:val="0"/>
            <w:vAlign w:val="center"/>
          </w:tcPr>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lang w:val="en-US" w:eastAsia="zh-CN"/>
              </w:rPr>
              <w:t>（</w:t>
            </w:r>
            <w:r>
              <w:rPr>
                <w:rFonts w:hint="eastAsia" w:ascii="仿宋_GB2312" w:hAnsi="仿宋_GB2312" w:eastAsia="仿宋_GB2312" w:cs="仿宋_GB2312"/>
                <w:b w:val="0"/>
                <w:bCs w:val="0"/>
                <w:color w:val="000000"/>
                <w:sz w:val="21"/>
                <w:szCs w:val="21"/>
                <w:lang w:val="en-US" w:eastAsia="zh-CN"/>
              </w:rPr>
              <w:t>一）全度预算资金控制额</w:t>
            </w:r>
          </w:p>
          <w:p>
            <w:pPr>
              <w:autoSpaceDN w:val="0"/>
              <w:spacing w:line="320" w:lineRule="exact"/>
              <w:jc w:val="left"/>
              <w:textAlignment w:val="center"/>
              <w:rPr>
                <w:rFonts w:hint="default"/>
                <w:lang w:val="en-US" w:eastAsia="zh-CN"/>
              </w:rPr>
            </w:pPr>
            <w:r>
              <w:rPr>
                <w:rFonts w:hint="eastAsia" w:ascii="仿宋_GB2312" w:hAnsi="仿宋_GB2312" w:eastAsia="仿宋_GB2312" w:cs="仿宋_GB2312"/>
                <w:b w:val="0"/>
                <w:bCs w:val="0"/>
                <w:color w:val="000000"/>
                <w:sz w:val="21"/>
                <w:szCs w:val="21"/>
                <w:lang w:val="en-US" w:eastAsia="zh-CN"/>
              </w:rPr>
              <w:t>（二）项目资金控制额</w:t>
            </w:r>
          </w:p>
        </w:tc>
        <w:tc>
          <w:tcPr>
            <w:tcW w:w="3709" w:type="dxa"/>
            <w:gridSpan w:val="7"/>
            <w:noWrap w:val="0"/>
            <w:vAlign w:val="center"/>
          </w:tcPr>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w:t>
            </w:r>
            <w:r>
              <w:rPr>
                <w:rFonts w:hint="eastAsia" w:ascii="仿宋_GB2312" w:hAnsi="仿宋_GB2312" w:eastAsia="仿宋_GB2312" w:cs="仿宋_GB2312"/>
                <w:b w:val="0"/>
                <w:bCs w:val="0"/>
                <w:color w:val="000000"/>
                <w:sz w:val="21"/>
                <w:szCs w:val="21"/>
                <w:lang w:val="en-US" w:eastAsia="zh-CN"/>
              </w:rPr>
              <w:t>基本支出控制在预算内</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w:t>
            </w:r>
            <w:r>
              <w:rPr>
                <w:rFonts w:hint="eastAsia" w:ascii="仿宋_GB2312" w:hAnsi="仿宋_GB2312" w:eastAsia="仿宋_GB2312" w:cs="仿宋_GB2312"/>
                <w:b w:val="0"/>
                <w:bCs w:val="0"/>
                <w:color w:val="000000"/>
                <w:sz w:val="21"/>
                <w:szCs w:val="21"/>
                <w:lang w:val="en-US" w:eastAsia="zh-CN"/>
              </w:rPr>
              <w:t>项目资金支出控制在合同价款内</w:t>
            </w:r>
          </w:p>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22" w:hRule="atLeast"/>
          <w:jc w:val="center"/>
        </w:trPr>
        <w:tc>
          <w:tcPr>
            <w:tcW w:w="1210" w:type="dxa"/>
            <w:gridSpan w:val="2"/>
            <w:vMerge w:val="continue"/>
            <w:noWrap w:val="0"/>
            <w:vAlign w:val="center"/>
          </w:tcPr>
          <w:p>
            <w:pPr>
              <w:spacing w:line="320" w:lineRule="exact"/>
              <w:rPr>
                <w:rFonts w:hint="eastAsia" w:ascii="仿宋_GB2312" w:hAnsi="仿宋_GB2312" w:eastAsia="仿宋_GB2312" w:cs="仿宋_GB2312"/>
                <w:sz w:val="24"/>
              </w:rPr>
            </w:pPr>
          </w:p>
        </w:tc>
        <w:tc>
          <w:tcPr>
            <w:tcW w:w="477"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效益目标</w:t>
            </w:r>
          </w:p>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（预期实现的效益）</w:t>
            </w:r>
          </w:p>
        </w:tc>
        <w:tc>
          <w:tcPr>
            <w:tcW w:w="1246"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tc>
        <w:tc>
          <w:tcPr>
            <w:tcW w:w="3240" w:type="dxa"/>
            <w:gridSpan w:val="3"/>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（一）利用国家和省厅土地管理新政的有利契机，竭尽全力服务和保障省市重点项目用地，有效解决了项目“落地难、落地慢”的问题。</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（二）重点保障重要基础设施、重点民生工程和重大产业项目用地，落实落细园区周围用地政策，推进工业用地弹性出让，持续降低用地成本。</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（三）全力做好了耕地数量、质量、生态“三位一体”保护管控和建设，连续实现耕地占补平衡，牢守耕地保护红线，坚持“逢占必补、先补后占、占优补先”原则，大力推进耕地开发的高标准农田项目建设。</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（四）维护生态矿山修复，防范地质灾害，保护人民生命财产安全。</w:t>
            </w:r>
          </w:p>
        </w:tc>
        <w:tc>
          <w:tcPr>
            <w:tcW w:w="3709" w:type="dxa"/>
            <w:gridSpan w:val="7"/>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w:t>
            </w:r>
            <w:r>
              <w:rPr>
                <w:rFonts w:hint="eastAsia" w:ascii="仿宋_GB2312" w:hAnsi="仿宋_GB2312" w:eastAsia="仿宋_GB2312" w:cs="仿宋_GB2312"/>
                <w:b w:val="0"/>
                <w:bCs w:val="0"/>
                <w:color w:val="000000"/>
                <w:sz w:val="21"/>
                <w:szCs w:val="21"/>
                <w:lang w:val="en-US" w:eastAsia="zh-CN"/>
              </w:rPr>
              <w:t>全年向省报批174个项目1809.36公顷。</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bCs/>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w:t>
            </w:r>
            <w:r>
              <w:rPr>
                <w:rFonts w:hint="eastAsia" w:ascii="仿宋_GB2312" w:hAnsi="仿宋_GB2312" w:eastAsia="仿宋_GB2312" w:cs="仿宋_GB2312"/>
                <w:b w:val="0"/>
                <w:bCs w:val="0"/>
                <w:color w:val="000000"/>
                <w:sz w:val="21"/>
                <w:szCs w:val="21"/>
                <w:lang w:val="en-US" w:eastAsia="zh-CN"/>
              </w:rPr>
              <w:t>全年共供应土地764宗3185.9公顷，出让价款163.49亿元。</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w:t>
            </w:r>
            <w:r>
              <w:rPr>
                <w:rFonts w:hint="eastAsia" w:ascii="仿宋_GB2312" w:hAnsi="仿宋_GB2312" w:eastAsia="仿宋_GB2312" w:cs="仿宋_GB2312"/>
                <w:b w:val="0"/>
                <w:bCs w:val="0"/>
                <w:color w:val="000000"/>
                <w:sz w:val="21"/>
                <w:szCs w:val="21"/>
                <w:lang w:val="en-US" w:eastAsia="zh-CN"/>
              </w:rPr>
              <w:t>全年确认耕地开发项目86个2510.92公顷，确认增减挂钩指标1897公顷。</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（四）</w:t>
            </w:r>
            <w:r>
              <w:rPr>
                <w:rFonts w:hint="eastAsia" w:ascii="仿宋_GB2312" w:hAnsi="仿宋_GB2312" w:eastAsia="仿宋_GB2312" w:cs="仿宋_GB2312"/>
                <w:b w:val="0"/>
                <w:bCs w:val="0"/>
                <w:color w:val="000000"/>
                <w:sz w:val="21"/>
                <w:szCs w:val="21"/>
                <w:lang w:val="en-US" w:eastAsia="zh-CN"/>
              </w:rPr>
              <w:t>通过矿山开发及有序整顿、地质灾害综防体系机制，有效预灾、防灾、减灾，保护人民群众生命财产安全。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36" w:hRule="atLeast"/>
          <w:jc w:val="center"/>
        </w:trPr>
        <w:tc>
          <w:tcPr>
            <w:tcW w:w="1210" w:type="dxa"/>
            <w:gridSpan w:val="2"/>
            <w:vMerge w:val="continue"/>
            <w:noWrap w:val="0"/>
            <w:vAlign w:val="center"/>
          </w:tcPr>
          <w:p>
            <w:pPr>
              <w:spacing w:line="320" w:lineRule="exact"/>
              <w:rPr>
                <w:rFonts w:hint="eastAsia" w:ascii="仿宋_GB2312" w:hAnsi="仿宋_GB2312" w:eastAsia="仿宋_GB2312" w:cs="仿宋_GB2312"/>
                <w:sz w:val="24"/>
              </w:rPr>
            </w:pPr>
          </w:p>
        </w:tc>
        <w:tc>
          <w:tcPr>
            <w:tcW w:w="477" w:type="dxa"/>
            <w:vMerge w:val="continue"/>
            <w:noWrap w:val="0"/>
            <w:vAlign w:val="center"/>
          </w:tcPr>
          <w:p>
            <w:pPr>
              <w:autoSpaceDN w:val="0"/>
              <w:spacing w:line="320" w:lineRule="exact"/>
              <w:rPr>
                <w:rFonts w:hint="eastAsia" w:ascii="仿宋_GB2312" w:hAnsi="仿宋_GB2312" w:eastAsia="仿宋_GB2312" w:cs="仿宋_GB2312"/>
                <w:sz w:val="24"/>
              </w:rPr>
            </w:pPr>
          </w:p>
        </w:tc>
        <w:tc>
          <w:tcPr>
            <w:tcW w:w="1246"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1"/>
                <w:szCs w:val="21"/>
              </w:rPr>
            </w:pPr>
            <w:r>
              <w:rPr>
                <w:rFonts w:hint="eastAsia" w:ascii="仿宋_GB2312" w:hAnsi="仿宋_GB2312" w:eastAsia="仿宋_GB2312" w:cs="仿宋_GB2312"/>
                <w:color w:val="000000"/>
                <w:spacing w:val="-6"/>
                <w:sz w:val="21"/>
                <w:szCs w:val="21"/>
              </w:rPr>
              <w:t>经济效益</w:t>
            </w:r>
          </w:p>
        </w:tc>
        <w:tc>
          <w:tcPr>
            <w:tcW w:w="3240" w:type="dxa"/>
            <w:gridSpan w:val="3"/>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w:t>
            </w:r>
            <w:r>
              <w:rPr>
                <w:rFonts w:hint="eastAsia" w:ascii="仿宋_GB2312" w:hAnsi="仿宋_GB2312" w:eastAsia="仿宋_GB2312" w:cs="仿宋_GB2312"/>
                <w:b w:val="0"/>
                <w:bCs w:val="0"/>
                <w:color w:val="000000"/>
                <w:sz w:val="21"/>
                <w:szCs w:val="21"/>
                <w:lang w:val="en-US" w:eastAsia="zh-CN"/>
              </w:rPr>
              <w:t>一）土整项目：每亩可增加产量10%，人均每年增产500元</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（二）土地收入支撑地方债务化解</w:t>
            </w:r>
          </w:p>
        </w:tc>
        <w:tc>
          <w:tcPr>
            <w:tcW w:w="3709" w:type="dxa"/>
            <w:gridSpan w:val="7"/>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（一）项目实施后每亩可增加产量10-20%，人均每年可增加产值964元</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（二）全市实现土地出让收入163.49亿元，支撑地方债务化解资金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466" w:hRule="atLeast"/>
          <w:jc w:val="center"/>
        </w:trPr>
        <w:tc>
          <w:tcPr>
            <w:tcW w:w="1210" w:type="dxa"/>
            <w:gridSpan w:val="2"/>
            <w:vMerge w:val="continue"/>
            <w:noWrap w:val="0"/>
            <w:vAlign w:val="center"/>
          </w:tcPr>
          <w:p>
            <w:pPr>
              <w:spacing w:line="320" w:lineRule="exact"/>
              <w:rPr>
                <w:rFonts w:hint="eastAsia" w:ascii="仿宋_GB2312" w:hAnsi="仿宋_GB2312" w:eastAsia="仿宋_GB2312" w:cs="仿宋_GB2312"/>
                <w:sz w:val="24"/>
              </w:rPr>
            </w:pPr>
          </w:p>
        </w:tc>
        <w:tc>
          <w:tcPr>
            <w:tcW w:w="477" w:type="dxa"/>
            <w:vMerge w:val="continue"/>
            <w:noWrap w:val="0"/>
            <w:vAlign w:val="center"/>
          </w:tcPr>
          <w:p>
            <w:pPr>
              <w:autoSpaceDN w:val="0"/>
              <w:spacing w:line="320" w:lineRule="exact"/>
              <w:rPr>
                <w:rFonts w:hint="eastAsia" w:ascii="仿宋_GB2312" w:hAnsi="仿宋_GB2312" w:eastAsia="仿宋_GB2312" w:cs="仿宋_GB2312"/>
                <w:sz w:val="24"/>
              </w:rPr>
            </w:pPr>
          </w:p>
        </w:tc>
        <w:tc>
          <w:tcPr>
            <w:tcW w:w="1246"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1"/>
                <w:szCs w:val="21"/>
              </w:rPr>
            </w:pPr>
            <w:r>
              <w:rPr>
                <w:rFonts w:hint="eastAsia" w:ascii="仿宋_GB2312" w:hAnsi="仿宋_GB2312" w:eastAsia="仿宋_GB2312" w:cs="仿宋_GB2312"/>
                <w:color w:val="000000"/>
                <w:spacing w:val="-6"/>
                <w:sz w:val="21"/>
                <w:szCs w:val="21"/>
                <w:lang w:eastAsia="zh-CN"/>
              </w:rPr>
              <w:t>环境</w:t>
            </w:r>
            <w:r>
              <w:rPr>
                <w:rFonts w:hint="eastAsia" w:ascii="仿宋_GB2312" w:hAnsi="仿宋_GB2312" w:eastAsia="仿宋_GB2312" w:cs="仿宋_GB2312"/>
                <w:color w:val="000000"/>
                <w:spacing w:val="-6"/>
                <w:sz w:val="21"/>
                <w:szCs w:val="21"/>
              </w:rPr>
              <w:t>效益</w:t>
            </w:r>
          </w:p>
        </w:tc>
        <w:tc>
          <w:tcPr>
            <w:tcW w:w="3240" w:type="dxa"/>
            <w:gridSpan w:val="3"/>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（一）严格管理矿产资源，切实做好自然保护地采矿权退出工作。严格保护好了自然资源。</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（二）稳步推进生态保护与修复，确保了绿水青山就是金山银山，生态平衡持续发展，造福子孙后代。</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（三）有效防止和减少水土流失，增强防洪抗灾能力。</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tc>
        <w:tc>
          <w:tcPr>
            <w:tcW w:w="3709" w:type="dxa"/>
            <w:gridSpan w:val="7"/>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（一）省级发证矿山签订关闭协议2个；4个市级发证矿山已退出注销；县级发证矿山注销5个。完成了绿色矿山建设方案的编制和评审24家，新增3家省级绿色矿山。</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（二）修复长江经济带废弃露天矿山133个，面积476.27公顷。</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（三）通过土地综合整治，改变预计项目区道路泥泞现状，疏通排水沟、改善排灌不畅，提高抵抗自然灾害能力，实现农村田园化生态景观。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06" w:hRule="atLeast"/>
          <w:jc w:val="center"/>
        </w:trPr>
        <w:tc>
          <w:tcPr>
            <w:tcW w:w="1210" w:type="dxa"/>
            <w:gridSpan w:val="2"/>
            <w:vMerge w:val="continue"/>
            <w:noWrap w:val="0"/>
            <w:vAlign w:val="center"/>
          </w:tcPr>
          <w:p>
            <w:pPr>
              <w:spacing w:line="320" w:lineRule="exact"/>
              <w:rPr>
                <w:rFonts w:hint="eastAsia" w:ascii="仿宋_GB2312" w:hAnsi="仿宋_GB2312" w:eastAsia="仿宋_GB2312" w:cs="仿宋_GB2312"/>
                <w:sz w:val="24"/>
              </w:rPr>
            </w:pPr>
          </w:p>
        </w:tc>
        <w:tc>
          <w:tcPr>
            <w:tcW w:w="477" w:type="dxa"/>
            <w:vMerge w:val="continue"/>
            <w:noWrap w:val="0"/>
            <w:vAlign w:val="center"/>
          </w:tcPr>
          <w:p>
            <w:pPr>
              <w:autoSpaceDN w:val="0"/>
              <w:spacing w:line="320" w:lineRule="exact"/>
              <w:rPr>
                <w:rFonts w:hint="eastAsia" w:ascii="仿宋_GB2312" w:hAnsi="仿宋_GB2312" w:eastAsia="仿宋_GB2312" w:cs="仿宋_GB2312"/>
                <w:sz w:val="24"/>
              </w:rPr>
            </w:pPr>
          </w:p>
        </w:tc>
        <w:tc>
          <w:tcPr>
            <w:tcW w:w="1246" w:type="dxa"/>
            <w:gridSpan w:val="2"/>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eastAsia" w:ascii="仿宋_GB2312" w:hAnsi="仿宋_GB2312" w:eastAsia="仿宋_GB2312" w:cs="仿宋_GB2312"/>
                <w:color w:val="000000"/>
                <w:spacing w:val="-6"/>
                <w:sz w:val="20"/>
                <w:szCs w:val="20"/>
              </w:rPr>
            </w:pPr>
            <w:r>
              <w:rPr>
                <w:rFonts w:hint="eastAsia" w:ascii="仿宋_GB2312" w:hAnsi="仿宋_GB2312" w:eastAsia="仿宋_GB2312" w:cs="仿宋_GB2312"/>
                <w:color w:val="000000"/>
                <w:spacing w:val="-6"/>
                <w:sz w:val="20"/>
                <w:szCs w:val="20"/>
              </w:rPr>
              <w:t>社会公众或服务对象满意度</w:t>
            </w:r>
          </w:p>
        </w:tc>
        <w:tc>
          <w:tcPr>
            <w:tcW w:w="3240" w:type="dxa"/>
            <w:gridSpan w:val="3"/>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0"/>
                <w:szCs w:val="20"/>
                <w:lang w:val="en-US" w:eastAsia="zh-CN"/>
              </w:rPr>
            </w:pPr>
            <w:r>
              <w:rPr>
                <w:rFonts w:hint="eastAsia" w:ascii="宋体" w:hAnsi="宋体" w:cs="宋体"/>
                <w:b w:val="0"/>
                <w:bCs w:val="0"/>
                <w:color w:val="auto"/>
                <w:spacing w:val="-6"/>
                <w:sz w:val="16"/>
                <w:szCs w:val="16"/>
                <w:highlight w:val="none"/>
                <w:lang w:val="en-US" w:eastAsia="zh-CN"/>
              </w:rPr>
              <w:t>议</w:t>
            </w:r>
            <w:r>
              <w:rPr>
                <w:rFonts w:hint="eastAsia" w:ascii="仿宋_GB2312" w:hAnsi="仿宋_GB2312" w:eastAsia="仿宋_GB2312" w:cs="仿宋_GB2312"/>
                <w:b w:val="0"/>
                <w:bCs w:val="0"/>
                <w:color w:val="000000"/>
                <w:sz w:val="20"/>
                <w:szCs w:val="20"/>
                <w:lang w:val="en-US" w:eastAsia="zh-CN"/>
              </w:rPr>
              <w:t>案回复满意率95%以上</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宋体" w:hAnsi="宋体" w:eastAsia="宋体" w:cs="宋体"/>
                <w:b w:val="0"/>
                <w:bCs w:val="0"/>
                <w:color w:val="auto"/>
                <w:spacing w:val="-6"/>
                <w:sz w:val="16"/>
                <w:szCs w:val="16"/>
                <w:highlight w:val="none"/>
                <w:lang w:val="en-US" w:eastAsia="zh-CN"/>
              </w:rPr>
            </w:pPr>
            <w:r>
              <w:rPr>
                <w:rFonts w:hint="eastAsia" w:ascii="仿宋_GB2312" w:hAnsi="仿宋_GB2312" w:eastAsia="仿宋_GB2312" w:cs="仿宋_GB2312"/>
                <w:b w:val="0"/>
                <w:bCs w:val="0"/>
                <w:color w:val="000000"/>
                <w:sz w:val="20"/>
                <w:szCs w:val="20"/>
                <w:lang w:val="en-US" w:eastAsia="zh-CN"/>
              </w:rPr>
              <w:t>信访办结回复满意率90%以上</w:t>
            </w:r>
          </w:p>
        </w:tc>
        <w:tc>
          <w:tcPr>
            <w:tcW w:w="3709" w:type="dxa"/>
            <w:gridSpan w:val="7"/>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0"/>
                <w:szCs w:val="20"/>
                <w:lang w:val="en-US" w:eastAsia="zh-CN"/>
              </w:rPr>
            </w:pPr>
            <w:r>
              <w:rPr>
                <w:rFonts w:hint="eastAsia" w:ascii="宋体" w:hAnsi="宋体" w:cs="宋体"/>
                <w:b w:val="0"/>
                <w:bCs w:val="0"/>
                <w:color w:val="auto"/>
                <w:spacing w:val="-6"/>
                <w:sz w:val="16"/>
                <w:szCs w:val="16"/>
                <w:highlight w:val="none"/>
                <w:lang w:val="en-US" w:eastAsia="zh-CN"/>
              </w:rPr>
              <w:t>议</w:t>
            </w:r>
            <w:r>
              <w:rPr>
                <w:rFonts w:hint="eastAsia" w:ascii="仿宋_GB2312" w:hAnsi="仿宋_GB2312" w:eastAsia="仿宋_GB2312" w:cs="仿宋_GB2312"/>
                <w:b w:val="0"/>
                <w:bCs w:val="0"/>
                <w:color w:val="000000"/>
                <w:sz w:val="20"/>
                <w:szCs w:val="20"/>
                <w:lang w:val="en-US" w:eastAsia="zh-CN"/>
              </w:rPr>
              <w:t>案回复满意率达95%以上</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宋体" w:hAnsi="宋体" w:eastAsia="宋体" w:cs="宋体"/>
                <w:b w:val="0"/>
                <w:bCs w:val="0"/>
                <w:color w:val="auto"/>
                <w:spacing w:val="-6"/>
                <w:sz w:val="16"/>
                <w:szCs w:val="16"/>
                <w:highlight w:val="none"/>
                <w:lang w:val="en-US" w:eastAsia="zh-CN"/>
              </w:rPr>
            </w:pPr>
            <w:r>
              <w:rPr>
                <w:rFonts w:hint="eastAsia" w:ascii="仿宋_GB2312" w:hAnsi="仿宋_GB2312" w:eastAsia="仿宋_GB2312" w:cs="仿宋_GB2312"/>
                <w:b w:val="0"/>
                <w:bCs w:val="0"/>
                <w:color w:val="000000"/>
                <w:sz w:val="20"/>
                <w:szCs w:val="20"/>
                <w:lang w:val="en-US" w:eastAsia="zh-CN"/>
              </w:rPr>
              <w:t>信访办结回复满意率达90%以上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582" w:hRule="atLeast"/>
          <w:jc w:val="center"/>
        </w:trPr>
        <w:tc>
          <w:tcPr>
            <w:tcW w:w="929" w:type="dxa"/>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绩效自评</w:t>
            </w:r>
          </w:p>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综合得分</w:t>
            </w:r>
          </w:p>
        </w:tc>
        <w:tc>
          <w:tcPr>
            <w:tcW w:w="8868" w:type="dxa"/>
            <w:gridSpan w:val="13"/>
            <w:noWrap w:val="0"/>
            <w:vAlign w:val="center"/>
          </w:tcPr>
          <w:p>
            <w:pPr>
              <w:autoSpaceDN w:val="0"/>
              <w:spacing w:line="400" w:lineRule="exact"/>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highlight w:val="none"/>
                <w:lang w:val="en-US" w:eastAsia="zh-CN"/>
              </w:rPr>
              <w:t>97.5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557" w:hRule="atLeast"/>
          <w:jc w:val="center"/>
        </w:trPr>
        <w:tc>
          <w:tcPr>
            <w:tcW w:w="92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评价等次</w:t>
            </w:r>
          </w:p>
        </w:tc>
        <w:tc>
          <w:tcPr>
            <w:tcW w:w="8868" w:type="dxa"/>
            <w:gridSpan w:val="13"/>
            <w:noWrap w:val="0"/>
            <w:vAlign w:val="center"/>
          </w:tcPr>
          <w:p>
            <w:pPr>
              <w:autoSpaceDN w:val="0"/>
              <w:spacing w:line="40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highlight w:val="none"/>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269" w:hRule="atLeast"/>
          <w:jc w:val="center"/>
        </w:trPr>
        <w:tc>
          <w:tcPr>
            <w:tcW w:w="9797" w:type="dxa"/>
            <w:gridSpan w:val="1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4"/>
                <w:szCs w:val="24"/>
              </w:rPr>
              <w:t>四、</w:t>
            </w:r>
            <w:r>
              <w:rPr>
                <w:rFonts w:hint="eastAsia" w:ascii="黑体" w:hAnsi="黑体" w:eastAsia="黑体" w:cs="黑体"/>
                <w:color w:val="000000"/>
                <w:sz w:val="24"/>
                <w:szCs w:val="24"/>
                <w:highlight w:val="none"/>
              </w:rPr>
              <w:t>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585" w:hRule="atLeast"/>
          <w:jc w:val="center"/>
        </w:trPr>
        <w:tc>
          <w:tcPr>
            <w:tcW w:w="92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姓  名</w:t>
            </w:r>
          </w:p>
        </w:tc>
        <w:tc>
          <w:tcPr>
            <w:tcW w:w="2004"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职务/职称</w:t>
            </w:r>
          </w:p>
        </w:tc>
        <w:tc>
          <w:tcPr>
            <w:tcW w:w="4838"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  位</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32"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张煌</w:t>
            </w:r>
          </w:p>
        </w:tc>
        <w:tc>
          <w:tcPr>
            <w:tcW w:w="2004" w:type="dxa"/>
            <w:gridSpan w:val="4"/>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副支队长</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执法支队</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82"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黄利平</w:t>
            </w:r>
          </w:p>
        </w:tc>
        <w:tc>
          <w:tcPr>
            <w:tcW w:w="2004" w:type="dxa"/>
            <w:gridSpan w:val="4"/>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副科长</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耕保科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91"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刘理珩</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副科长</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用途管制科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81"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蒋超</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副科长</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规划一科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82"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康笑</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副科长</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地环科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01"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卿华</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副科长</w:t>
            </w:r>
          </w:p>
        </w:tc>
        <w:tc>
          <w:tcPr>
            <w:tcW w:w="4838" w:type="dxa"/>
            <w:gridSpan w:val="6"/>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规划二科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253"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宋建世</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lang w:val="en-US" w:eastAsia="zh-CN"/>
              </w:rPr>
              <w:t>副科长</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矿管科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44"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廖伟</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lang w:val="en-US" w:eastAsia="zh-CN"/>
              </w:rPr>
              <w:t>副科长</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测绘科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82"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李拓</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人事科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44"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葛韬</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监察室</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44"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熊勇华</w:t>
            </w:r>
          </w:p>
        </w:tc>
        <w:tc>
          <w:tcPr>
            <w:tcW w:w="2004" w:type="dxa"/>
            <w:gridSpan w:val="4"/>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副主任</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信息中心</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30"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姜帅平</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办公室</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57"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张立明</w:t>
            </w:r>
          </w:p>
        </w:tc>
        <w:tc>
          <w:tcPr>
            <w:tcW w:w="2004" w:type="dxa"/>
            <w:gridSpan w:val="4"/>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副科长</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确权登记科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90" w:hRule="atLeast"/>
          <w:jc w:val="center"/>
        </w:trPr>
        <w:tc>
          <w:tcPr>
            <w:tcW w:w="929"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周红霞</w:t>
            </w:r>
          </w:p>
        </w:tc>
        <w:tc>
          <w:tcPr>
            <w:tcW w:w="2004" w:type="dxa"/>
            <w:gridSpan w:val="4"/>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副科长</w:t>
            </w:r>
          </w:p>
        </w:tc>
        <w:tc>
          <w:tcPr>
            <w:tcW w:w="4838" w:type="dxa"/>
            <w:gridSpan w:val="6"/>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财务科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085" w:hRule="atLeast"/>
          <w:jc w:val="center"/>
        </w:trPr>
        <w:tc>
          <w:tcPr>
            <w:tcW w:w="9797" w:type="dxa"/>
            <w:gridSpan w:val="1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3168" w:hRule="atLeast"/>
          <w:jc w:val="center"/>
        </w:trPr>
        <w:tc>
          <w:tcPr>
            <w:tcW w:w="9797" w:type="dxa"/>
            <w:gridSpan w:val="1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autoSpaceDN w:val="0"/>
              <w:spacing w:line="320" w:lineRule="exact"/>
              <w:ind w:firstLine="5040" w:firstLineChars="2100"/>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autoSpaceDN w:val="0"/>
              <w:spacing w:line="320" w:lineRule="exact"/>
              <w:ind w:firstLine="6000" w:firstLineChars="2500"/>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85" w:type="dxa"/>
          <w:trHeight w:val="4500" w:hRule="atLeast"/>
          <w:jc w:val="center"/>
        </w:trPr>
        <w:tc>
          <w:tcPr>
            <w:tcW w:w="9797" w:type="dxa"/>
            <w:gridSpan w:val="14"/>
            <w:noWrap w:val="0"/>
            <w:vAlign w:val="center"/>
          </w:tcPr>
          <w:p>
            <w:pPr>
              <w:spacing w:line="320" w:lineRule="exact"/>
              <w:jc w:val="left"/>
              <w:rPr>
                <w:rFonts w:hint="eastAsia" w:eastAsia="仿宋_GB2312"/>
                <w:sz w:val="24"/>
              </w:rPr>
            </w:pPr>
            <w:r>
              <w:rPr>
                <w:rFonts w:hint="eastAsia" w:eastAsia="仿宋_GB2312"/>
                <w:sz w:val="24"/>
              </w:rPr>
              <w:t>财政部门归口业务科室意见：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w:t>
            </w:r>
          </w:p>
          <w:p>
            <w:pPr>
              <w:spacing w:line="320" w:lineRule="exact"/>
              <w:ind w:firstLine="5040" w:firstLineChars="2100"/>
              <w:rPr>
                <w:rFonts w:hint="eastAsia" w:eastAsia="仿宋_GB2312"/>
                <w:sz w:val="24"/>
              </w:rPr>
            </w:pPr>
            <w:r>
              <w:rPr>
                <w:rFonts w:hint="eastAsia" w:eastAsia="仿宋_GB2312"/>
                <w:sz w:val="24"/>
              </w:rPr>
              <w:t>财政部门归口业务科室负责人（签章）：</w:t>
            </w:r>
          </w:p>
          <w:p>
            <w:pPr>
              <w:pStyle w:val="2"/>
              <w:rPr>
                <w:rFonts w:hint="eastAsia"/>
              </w:rPr>
            </w:pPr>
          </w:p>
          <w:p>
            <w:pPr>
              <w:autoSpaceDN w:val="0"/>
              <w:spacing w:line="320" w:lineRule="exact"/>
              <w:jc w:val="left"/>
              <w:textAlignment w:val="center"/>
              <w:rPr>
                <w:rFonts w:hint="eastAsia" w:eastAsia="仿宋_GB2312"/>
                <w:sz w:val="24"/>
              </w:rPr>
            </w:pPr>
            <w:r>
              <w:rPr>
                <w:rFonts w:hint="eastAsia" w:eastAsia="仿宋_GB2312"/>
                <w:sz w:val="24"/>
              </w:rPr>
              <w:t xml:space="preserve">                                                </w:t>
            </w:r>
          </w:p>
          <w:p>
            <w:pPr>
              <w:autoSpaceDN w:val="0"/>
              <w:spacing w:line="320" w:lineRule="exact"/>
              <w:ind w:firstLine="6000" w:firstLineChars="2500"/>
              <w:jc w:val="left"/>
              <w:textAlignment w:val="center"/>
              <w:rPr>
                <w:rFonts w:hint="eastAsia" w:ascii="仿宋_GB2312" w:hAnsi="仿宋_GB2312" w:eastAsia="仿宋_GB2312" w:cs="仿宋_GB2312"/>
                <w:color w:val="000000"/>
                <w:sz w:val="24"/>
              </w:rPr>
            </w:pPr>
            <w:r>
              <w:rPr>
                <w:rFonts w:hint="eastAsia" w:eastAsia="仿宋_GB2312"/>
                <w:sz w:val="24"/>
              </w:rPr>
              <w:t xml:space="preserve"> 年    月   日</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firstLine="0" w:firstLineChars="0"/>
        <w:jc w:val="center"/>
        <w:textAlignment w:val="auto"/>
        <w:rPr>
          <w:rFonts w:hint="eastAsia" w:ascii="宋体" w:hAnsi="宋体" w:eastAsia="宋体" w:cs="宋体"/>
          <w:b/>
          <w:bCs w:val="0"/>
          <w:sz w:val="36"/>
          <w:szCs w:val="36"/>
          <w:lang w:val="en-US"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eastAsia="仿宋_GB2312" w:cs="仿宋_GB2312"/>
          <w:bCs/>
          <w:sz w:val="28"/>
          <w:szCs w:val="28"/>
        </w:rPr>
        <w:t xml:space="preserve">填报人（签名）： </w:t>
      </w:r>
      <w:r>
        <w:rPr>
          <w:rFonts w:hint="eastAsia" w:eastAsia="仿宋_GB2312" w:cs="仿宋_GB2312"/>
          <w:bCs/>
          <w:sz w:val="28"/>
          <w:szCs w:val="28"/>
          <w:lang w:val="en-US" w:eastAsia="zh-CN"/>
        </w:rPr>
        <w:t>周红霞</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0730-8691983</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firstLine="0" w:firstLineChars="0"/>
        <w:jc w:val="center"/>
        <w:textAlignment w:val="auto"/>
        <w:rPr>
          <w:rFonts w:hint="eastAsia" w:ascii="宋体" w:hAnsi="宋体" w:eastAsia="宋体" w:cs="宋体"/>
          <w:b/>
          <w:bCs w:val="0"/>
          <w:sz w:val="36"/>
          <w:szCs w:val="36"/>
          <w:lang w:val="en-US" w:eastAsia="zh-CN"/>
        </w:rPr>
      </w:pPr>
      <w:r>
        <w:rPr>
          <w:rFonts w:hint="eastAsia" w:ascii="宋体" w:hAnsi="宋体" w:eastAsia="宋体" w:cs="宋体"/>
          <w:b/>
          <w:bCs w:val="0"/>
          <w:sz w:val="36"/>
          <w:szCs w:val="36"/>
          <w:lang w:val="en-US" w:eastAsia="zh-CN"/>
        </w:rPr>
        <w:t>2020年度</w:t>
      </w:r>
      <w:r>
        <w:rPr>
          <w:rFonts w:hint="eastAsia" w:ascii="宋体" w:hAnsi="宋体" w:cs="宋体"/>
          <w:b/>
          <w:bCs w:val="0"/>
          <w:sz w:val="36"/>
          <w:szCs w:val="36"/>
          <w:lang w:val="en-US" w:eastAsia="zh-CN"/>
        </w:rPr>
        <w:t>岳阳市</w:t>
      </w:r>
      <w:r>
        <w:rPr>
          <w:rFonts w:hint="eastAsia" w:ascii="宋体" w:hAnsi="宋体" w:eastAsia="宋体" w:cs="宋体"/>
          <w:b/>
          <w:bCs w:val="0"/>
          <w:sz w:val="36"/>
          <w:szCs w:val="36"/>
          <w:lang w:val="en-US" w:eastAsia="zh-CN"/>
        </w:rPr>
        <w:t>自然资源和规划局整体支出</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firstLine="0" w:firstLineChars="0"/>
        <w:jc w:val="center"/>
        <w:textAlignment w:val="auto"/>
        <w:rPr>
          <w:rFonts w:hint="eastAsia" w:ascii="黑体" w:hAnsi="黑体" w:eastAsia="黑体" w:cs="黑体"/>
          <w:b/>
          <w:bCs w:val="0"/>
          <w:sz w:val="28"/>
          <w:szCs w:val="28"/>
          <w:lang w:val="en-US" w:eastAsia="zh-CN"/>
        </w:rPr>
      </w:pPr>
      <w:r>
        <w:rPr>
          <w:rFonts w:hint="eastAsia" w:ascii="宋体" w:hAnsi="宋体" w:eastAsia="宋体" w:cs="宋体"/>
          <w:b/>
          <w:bCs w:val="0"/>
          <w:sz w:val="48"/>
          <w:szCs w:val="48"/>
          <w:lang w:val="en-US" w:eastAsia="zh-CN"/>
        </w:rPr>
        <w:t>绩效评价自评报告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val="0"/>
          <w:bCs/>
          <w:sz w:val="28"/>
          <w:szCs w:val="28"/>
          <w:lang w:val="en-US" w:eastAsia="zh-CN"/>
        </w:rPr>
        <w:t>根据绩效管理要求，岳阳市自然资源和规划局成立了绩效自评小组，由绩效自评小组组织对2020年度岳阳市自然资源和规划局局机关（以下简称：局机关）整体支出情况进行了自评。现将自评情况报告如下。</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一、基本情况</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（一）局机关基本情况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lang w:val="en-US" w:eastAsia="zh-CN"/>
        </w:rPr>
        <w:t>岳阳市自然资源和规划局于2019年3月4日挂牌成立，属全额预算拨款的正处级行政单位。</w:t>
      </w:r>
      <w:r>
        <w:rPr>
          <w:rFonts w:hint="eastAsia" w:asciiTheme="minorEastAsia" w:hAnsiTheme="minorEastAsia" w:eastAsiaTheme="minorEastAsia" w:cstheme="minorEastAsia"/>
          <w:bCs/>
          <w:sz w:val="28"/>
          <w:szCs w:val="28"/>
          <w:highlight w:val="none"/>
          <w:lang w:val="en-US" w:eastAsia="zh-CN"/>
        </w:rPr>
        <w:t>三定方案人员编制数97人（局机关行政编制58人、事业编制39人）,2020年实有在岗人员114人(含从分局和二级机构借调人员)。局下设办公室、自然资源调查监测科、国土空间生态修复科等24个职能科室和执法监察支队、规划监察支队等14个事业单位以及经济技术开发区分局、南湖新区分局等直属分局6个,其中自然资源和规划分局、不动产登记中心、不动产产权交易中心、不动产登记信息中心、国土资源执法监察支队和土地整理综合整治中心属财政一级预算单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color w:val="FF0000"/>
          <w:sz w:val="28"/>
          <w:szCs w:val="28"/>
          <w:highlight w:val="none"/>
          <w:lang w:val="en-US" w:eastAsia="zh-CN"/>
        </w:rPr>
      </w:pPr>
      <w:r>
        <w:rPr>
          <w:rFonts w:hint="eastAsia" w:asciiTheme="minorEastAsia" w:hAnsiTheme="minorEastAsia" w:eastAsiaTheme="minorEastAsia" w:cstheme="minorEastAsia"/>
          <w:bCs/>
          <w:color w:val="auto"/>
          <w:sz w:val="28"/>
          <w:szCs w:val="28"/>
          <w:highlight w:val="none"/>
          <w:lang w:val="en-US" w:eastAsia="zh-CN"/>
        </w:rPr>
        <w:t>2020年岳阳市自然资源和规划局及其分局、二级机构等全部分开独立核算。按市委考评工作规定,由主管单位对其实施绩效考评,所以本次仅对岳阳市自然资源和规划局机关进行部门整体支出预算绩效自评。</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630" w:leftChars="0" w:firstLine="0" w:firstLineChars="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主要职能职责</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 依法履行全民所有土地、矿产、森林、草原、湿地、水等自然资源资产所有者职责和国土空间用途管制职责。</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2、 负责自然资源调查监测评价。</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3、 负责自然资源统一确权登记工作。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4、 负责自然资源资产有偿使用工作。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5、 负责自然资源的合理开发利用。</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6、 负责建立国土空间规划体系并监督实施。</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7、 负责制定国土空间规划编制计划和近期建设规划，制定土地利用及储备供应、矿产资源保护利用、基础测绘、新增建设用地等年度计划，并组织实施；参与城市发展年度建设计划及实施工作。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8、 负责统筹国土空间生态修复。牵头组织编制国土空间生态修复规划并实施有关生态修复重大工程。牵头建立和实施生态保护补偿制度，并提出市级重大备选项目。</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9、 负责组织实施最严格的耕地保护制度。牵头实施耕地保护政策，负责耕地数量和生态保护，做好耕地质量保护有关工作。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10、负责管理地质勘查行业和全市地质工作。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11、负责地质灾害预防和治理。</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12、负责矿产资源管理工作。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13、推动自然资源领域科技发展。</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14、负责测绘地理信息管理工作。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15、根据授权，对市以下各级政府及相关部门落实市委、市政府关于自然资源、国土空间规划重大政策、决策部署及法规规章执行情况进行督察。依法查处自然资源开发利用、国土空间规划及测绘领域违法案件。负责涉及自然资源和规划管理事项的信访处理、行政复议、行政诉讼等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16、统一领导和管理市林业局。</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17、完成市委、市政府交办的其他事项。</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18、职能转变。</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520" w:lineRule="exact"/>
        <w:ind w:left="630" w:leftChars="0" w:firstLine="0" w:firstLineChars="0"/>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重点工作计划</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1、精心编制空间规划，强化大城市建设引领。一是重点推进总体规划编制，二是统筹推进各类规划编制，三是同步推进国土空间规划信息平台建设。</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2、全面服务重点项目，保障大城市建设要素。一是全力保障项目用地，二是全力优化营商环境，三是全力助推乡镇振兴。</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3、集约节约利用资源，优化大城市建设空间，一是严守耕地保护红线，二是加强资源集约节约利用，三是加大执法监管力度。</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4、抓好民生实事办理，增进大城市建设福祉。一是加强地质灾害防治，二是全力决胜脱贫攻坚，三是扎实抓好生态修复，四是推进矿山绿色转型。</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5、推进治理能力建设，提升大城市建设效能。一是全面推进信息建设，二是全面推进依法行政，三是全面推进精细管理。</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6、始终坚持党建引领，增强大城市建设保障。一是将政治建设贯穿始终，二是将关心激励贯穿始终，三是将党风廉政建设贯穿始终。</w:t>
      </w:r>
    </w:p>
    <w:p>
      <w:pPr>
        <w:pStyle w:val="3"/>
        <w:keepNext w:val="0"/>
        <w:keepLines w:val="0"/>
        <w:pageBreakBefore w:val="0"/>
        <w:widowControl w:val="0"/>
        <w:kinsoku/>
        <w:wordWrap/>
        <w:overflowPunct/>
        <w:topLinePunct w:val="0"/>
        <w:autoSpaceDE/>
        <w:autoSpaceDN/>
        <w:bidi w:val="0"/>
        <w:adjustRightInd/>
        <w:snapToGrid/>
        <w:spacing w:line="520" w:lineRule="exact"/>
        <w:ind w:left="0" w:leftChars="0" w:firstLine="562"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二、绩效目标及完成情况</w:t>
      </w:r>
    </w:p>
    <w:p>
      <w:pPr>
        <w:keepNext w:val="0"/>
        <w:keepLines w:val="0"/>
        <w:pageBreakBefore w:val="0"/>
        <w:widowControl w:val="0"/>
        <w:kinsoku/>
        <w:wordWrap/>
        <w:overflowPunct/>
        <w:topLinePunct w:val="0"/>
        <w:autoSpaceDE/>
        <w:autoSpaceDN/>
        <w:bidi w:val="0"/>
        <w:adjustRightInd/>
        <w:snapToGrid/>
        <w:spacing w:line="520" w:lineRule="exact"/>
        <w:ind w:firstLine="281" w:firstLineChars="100"/>
        <w:textAlignment w:val="auto"/>
        <w:rPr>
          <w:rFonts w:hint="default"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（一）定性目标</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2" w:firstLineChars="200"/>
        <w:textAlignment w:val="auto"/>
        <w:rPr>
          <w:rFonts w:hint="eastAsia" w:asciiTheme="minorEastAsia" w:hAnsiTheme="minorEastAsia" w:eastAsiaTheme="minorEastAsia" w:cstheme="minorEastAsia"/>
          <w:b w:val="0"/>
          <w:bCs/>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1、</w:t>
      </w:r>
      <w:r>
        <w:rPr>
          <w:rFonts w:hint="eastAsia" w:asciiTheme="minorEastAsia" w:hAnsiTheme="minorEastAsia" w:eastAsiaTheme="minorEastAsia" w:cstheme="minorEastAsia"/>
          <w:b w:val="0"/>
          <w:bCs/>
          <w:color w:val="auto"/>
          <w:kern w:val="2"/>
          <w:sz w:val="28"/>
          <w:szCs w:val="28"/>
          <w:highlight w:val="none"/>
          <w:lang w:val="en-US" w:eastAsia="zh-CN" w:bidi="ar-SA"/>
        </w:rPr>
        <w:t>编制国土空间规划，并形成多项成果。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2" w:firstLineChars="200"/>
        <w:textAlignment w:val="auto"/>
        <w:rPr>
          <w:rFonts w:hint="eastAsia" w:asciiTheme="minorEastAsia" w:hAnsiTheme="minorEastAsia" w:eastAsiaTheme="minorEastAsia" w:cstheme="minorEastAsia"/>
          <w:b w:val="0"/>
          <w:bCs/>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2、</w:t>
      </w:r>
      <w:r>
        <w:rPr>
          <w:rFonts w:hint="eastAsia" w:asciiTheme="minorEastAsia" w:hAnsiTheme="minorEastAsia" w:eastAsiaTheme="minorEastAsia" w:cstheme="minorEastAsia"/>
          <w:b w:val="0"/>
          <w:bCs/>
          <w:color w:val="auto"/>
          <w:kern w:val="2"/>
          <w:sz w:val="28"/>
          <w:szCs w:val="28"/>
          <w:highlight w:val="none"/>
          <w:lang w:val="en-US" w:eastAsia="zh-CN" w:bidi="ar-SA"/>
        </w:rPr>
        <w:t>高质量完成“三调工作”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2"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3、</w:t>
      </w:r>
      <w:r>
        <w:rPr>
          <w:rFonts w:hint="eastAsia" w:asciiTheme="minorEastAsia" w:hAnsiTheme="minorEastAsia" w:eastAsiaTheme="minorEastAsia" w:cstheme="minorEastAsia"/>
          <w:b w:val="0"/>
          <w:bCs/>
          <w:color w:val="auto"/>
          <w:kern w:val="2"/>
          <w:sz w:val="28"/>
          <w:szCs w:val="28"/>
          <w:highlight w:val="none"/>
          <w:lang w:val="en-US" w:eastAsia="zh-CN" w:bidi="ar-SA"/>
        </w:rPr>
        <w:t>落实防灾减灾责任，优化营商环境，落实“最多跑一次”改革成效</w:t>
      </w:r>
      <w:r>
        <w:rPr>
          <w:rFonts w:hint="eastAsia" w:asciiTheme="minorEastAsia" w:hAnsiTheme="minorEastAsia" w:eastAsiaTheme="minorEastAsia" w:cstheme="minorEastAsia"/>
          <w:b/>
          <w:bCs w:val="0"/>
          <w:color w:val="auto"/>
          <w:kern w:val="2"/>
          <w:sz w:val="28"/>
          <w:szCs w:val="28"/>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2"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4、</w:t>
      </w:r>
      <w:r>
        <w:rPr>
          <w:rFonts w:hint="eastAsia" w:asciiTheme="minorEastAsia" w:hAnsiTheme="minorEastAsia" w:eastAsiaTheme="minorEastAsia" w:cstheme="minorEastAsia"/>
          <w:b w:val="0"/>
          <w:bCs/>
          <w:color w:val="auto"/>
          <w:kern w:val="2"/>
          <w:sz w:val="28"/>
          <w:szCs w:val="28"/>
          <w:highlight w:val="none"/>
          <w:lang w:val="en-US" w:eastAsia="zh-CN" w:bidi="ar-SA"/>
        </w:rPr>
        <w:t>圆满完成脱贫攻坚任务</w:t>
      </w:r>
      <w:r>
        <w:rPr>
          <w:rFonts w:hint="eastAsia" w:asciiTheme="minorEastAsia" w:hAnsiTheme="minorEastAsia" w:eastAsiaTheme="minorEastAsia" w:cstheme="minorEastAsia"/>
          <w:b/>
          <w:bCs w:val="0"/>
          <w:color w:val="auto"/>
          <w:kern w:val="2"/>
          <w:sz w:val="28"/>
          <w:szCs w:val="28"/>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2"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5、</w:t>
      </w:r>
      <w:r>
        <w:rPr>
          <w:rFonts w:hint="eastAsia" w:asciiTheme="minorEastAsia" w:hAnsiTheme="minorEastAsia" w:eastAsiaTheme="minorEastAsia" w:cstheme="minorEastAsia"/>
          <w:b w:val="0"/>
          <w:bCs/>
          <w:color w:val="auto"/>
          <w:kern w:val="2"/>
          <w:sz w:val="28"/>
          <w:szCs w:val="28"/>
          <w:highlight w:val="none"/>
          <w:lang w:val="en-US" w:eastAsia="zh-CN" w:bidi="ar-SA"/>
        </w:rPr>
        <w:t>加强党建建设</w:t>
      </w:r>
      <w:r>
        <w:rPr>
          <w:rFonts w:hint="eastAsia" w:asciiTheme="minorEastAsia" w:hAnsiTheme="minorEastAsia" w:eastAsiaTheme="minorEastAsia" w:cstheme="minorEastAsia"/>
          <w:b/>
          <w:bCs w:val="0"/>
          <w:color w:val="auto"/>
          <w:kern w:val="2"/>
          <w:sz w:val="28"/>
          <w:szCs w:val="28"/>
          <w:highlight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2" w:firstLineChars="200"/>
        <w:textAlignment w:val="auto"/>
        <w:rPr>
          <w:rFonts w:hint="default"/>
          <w:sz w:val="28"/>
          <w:szCs w:val="28"/>
          <w:lang w:val="en-US" w:eastAsia="zh-CN"/>
        </w:rPr>
      </w:pPr>
      <w:r>
        <w:rPr>
          <w:rFonts w:hint="eastAsia" w:asciiTheme="minorEastAsia" w:hAnsiTheme="minorEastAsia" w:eastAsiaTheme="minorEastAsia" w:cstheme="minorEastAsia"/>
          <w:b/>
          <w:bCs w:val="0"/>
          <w:color w:val="auto"/>
          <w:kern w:val="2"/>
          <w:sz w:val="28"/>
          <w:szCs w:val="28"/>
          <w:highlight w:val="none"/>
          <w:lang w:val="en-US" w:eastAsia="zh-CN" w:bidi="ar-SA"/>
        </w:rPr>
        <w:t>6、</w:t>
      </w:r>
      <w:r>
        <w:rPr>
          <w:rFonts w:hint="eastAsia" w:asciiTheme="minorEastAsia" w:hAnsiTheme="minorEastAsia" w:eastAsiaTheme="minorEastAsia" w:cstheme="minorEastAsia"/>
          <w:b w:val="0"/>
          <w:bCs/>
          <w:color w:val="auto"/>
          <w:kern w:val="2"/>
          <w:sz w:val="28"/>
          <w:szCs w:val="28"/>
          <w:highlight w:val="none"/>
          <w:lang w:val="en-US" w:eastAsia="zh-CN" w:bidi="ar-SA"/>
        </w:rPr>
        <w:t>机构改革持续推进</w:t>
      </w:r>
      <w:r>
        <w:rPr>
          <w:rFonts w:hint="eastAsia" w:asciiTheme="minorEastAsia" w:hAnsiTheme="minorEastAsia" w:eastAsiaTheme="minorEastAsia" w:cstheme="minorEastAsia"/>
          <w:b/>
          <w:bCs w:val="0"/>
          <w:color w:val="auto"/>
          <w:kern w:val="2"/>
          <w:sz w:val="28"/>
          <w:szCs w:val="28"/>
          <w:highlight w:val="none"/>
          <w:lang w:val="en-US" w:eastAsia="zh-CN" w:bidi="ar-SA"/>
        </w:rPr>
        <w:t>。</w:t>
      </w:r>
    </w:p>
    <w:p>
      <w:pPr>
        <w:pStyle w:val="2"/>
        <w:numPr>
          <w:ilvl w:val="0"/>
          <w:numId w:val="2"/>
        </w:numPr>
        <w:ind w:left="0" w:leftChars="0" w:firstLine="0" w:firstLineChars="0"/>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定量目标</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auto"/>
          <w:spacing w:val="-6"/>
          <w:sz w:val="28"/>
          <w:szCs w:val="28"/>
          <w:lang w:eastAsia="zh-CN"/>
        </w:rPr>
      </w:pPr>
      <w:r>
        <w:rPr>
          <w:rFonts w:hint="eastAsia" w:asciiTheme="minorEastAsia" w:hAnsiTheme="minorEastAsia" w:eastAsiaTheme="minorEastAsia" w:cstheme="minorEastAsia"/>
          <w:b w:val="0"/>
          <w:bCs w:val="0"/>
          <w:color w:val="000000"/>
          <w:sz w:val="28"/>
          <w:szCs w:val="28"/>
          <w:lang w:val="en-US" w:eastAsia="zh-CN"/>
        </w:rPr>
        <w:t>1、服务中心重点，争资争项有成效</w:t>
      </w:r>
      <w:r>
        <w:rPr>
          <w:rFonts w:hint="eastAsia" w:asciiTheme="minorEastAsia" w:hAnsiTheme="minorEastAsia" w:eastAsiaTheme="minorEastAsia" w:cstheme="minorEastAsia"/>
          <w:b/>
          <w:bCs/>
          <w:color w:val="000000"/>
          <w:sz w:val="28"/>
          <w:szCs w:val="28"/>
          <w:lang w:val="en-US" w:eastAsia="zh-CN"/>
        </w:rPr>
        <w:t>。</w:t>
      </w:r>
      <w:r>
        <w:rPr>
          <w:rFonts w:hint="eastAsia" w:asciiTheme="minorEastAsia" w:hAnsiTheme="minorEastAsia" w:eastAsiaTheme="minorEastAsia" w:cstheme="minorEastAsia"/>
          <w:color w:val="000000"/>
          <w:sz w:val="28"/>
          <w:szCs w:val="28"/>
          <w:lang w:val="en-US" w:eastAsia="zh-CN"/>
        </w:rPr>
        <w:t>保障重点项目用地764宗3185.9公顷；</w:t>
      </w:r>
      <w:r>
        <w:rPr>
          <w:rFonts w:hint="eastAsia" w:asciiTheme="minorEastAsia" w:hAnsiTheme="minorEastAsia" w:eastAsiaTheme="minorEastAsia" w:cstheme="minorEastAsia"/>
          <w:b w:val="0"/>
          <w:bCs w:val="0"/>
          <w:color w:val="auto"/>
          <w:spacing w:val="-6"/>
          <w:sz w:val="28"/>
          <w:szCs w:val="28"/>
          <w:lang w:eastAsia="zh-CN"/>
        </w:rPr>
        <w:t>省报批项目</w:t>
      </w:r>
      <w:r>
        <w:rPr>
          <w:rFonts w:hint="eastAsia" w:asciiTheme="minorEastAsia" w:hAnsiTheme="minorEastAsia" w:eastAsiaTheme="minorEastAsia" w:cstheme="minorEastAsia"/>
          <w:b w:val="0"/>
          <w:bCs w:val="0"/>
          <w:color w:val="auto"/>
          <w:spacing w:val="-6"/>
          <w:sz w:val="28"/>
          <w:szCs w:val="28"/>
          <w:lang w:val="en-US" w:eastAsia="zh-CN"/>
        </w:rPr>
        <w:t>174个1809.36公顷，</w:t>
      </w:r>
      <w:r>
        <w:rPr>
          <w:rFonts w:hint="eastAsia" w:asciiTheme="minorEastAsia" w:hAnsiTheme="minorEastAsia" w:eastAsiaTheme="minorEastAsia" w:cstheme="minorEastAsia"/>
          <w:b w:val="0"/>
          <w:bCs w:val="0"/>
          <w:color w:val="auto"/>
          <w:spacing w:val="-6"/>
          <w:sz w:val="28"/>
          <w:szCs w:val="28"/>
          <w:lang w:eastAsia="zh-CN"/>
        </w:rPr>
        <w:t>面积同比增长；全年清零验收133个依法征收项目；“东洞庭湖流域山水林田湖草生态修复项目”申报总投资20.60亿元，争取地质灾害防治项目资金8.000.00余万元，土地综合整治项目3个，矿山生态修复项目资金1,000.00余万元。</w:t>
      </w:r>
    </w:p>
    <w:p>
      <w:pPr>
        <w:keepNext w:val="0"/>
        <w:keepLines w:val="0"/>
        <w:pageBreakBefore w:val="0"/>
        <w:widowControl w:val="0"/>
        <w:kinsoku/>
        <w:wordWrap/>
        <w:overflowPunct/>
        <w:topLinePunct w:val="0"/>
        <w:autoSpaceDE/>
        <w:autoSpaceDN w:val="0"/>
        <w:bidi w:val="0"/>
        <w:adjustRightInd/>
        <w:snapToGrid/>
        <w:spacing w:line="520" w:lineRule="exact"/>
        <w:ind w:firstLine="0" w:firstLineChars="0"/>
        <w:jc w:val="left"/>
        <w:textAlignment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b w:val="0"/>
          <w:bCs w:val="0"/>
          <w:sz w:val="28"/>
          <w:szCs w:val="28"/>
          <w:lang w:val="en-US" w:eastAsia="zh-CN"/>
        </w:rPr>
        <w:t xml:space="preserve"> 2、</w:t>
      </w:r>
      <w:r>
        <w:rPr>
          <w:rFonts w:hint="eastAsia" w:asciiTheme="minorEastAsia" w:hAnsiTheme="minorEastAsia" w:eastAsiaTheme="minorEastAsia" w:cstheme="minorEastAsia"/>
          <w:b w:val="0"/>
          <w:bCs w:val="0"/>
          <w:color w:val="000000"/>
          <w:sz w:val="28"/>
          <w:szCs w:val="28"/>
          <w:lang w:val="en-US" w:eastAsia="zh-CN"/>
        </w:rPr>
        <w:t>强化土地管理、严格管护自然资源。</w:t>
      </w:r>
      <w:r>
        <w:rPr>
          <w:rFonts w:hint="eastAsia" w:asciiTheme="minorEastAsia" w:hAnsiTheme="minorEastAsia" w:eastAsiaTheme="minorEastAsia" w:cstheme="minorEastAsia"/>
          <w:color w:val="000000"/>
          <w:sz w:val="28"/>
          <w:szCs w:val="28"/>
          <w:lang w:val="en-US" w:eastAsia="zh-CN"/>
        </w:rPr>
        <w:t>全年全市完成闲置土地处置面积985.38公顷，完成批而未供土地处置面积1182.3公顷，处置率均达到省厅50%考核标准；确认耕地开发项目86个，2510公顷，确认增减挂钩指标1897公顷；省级发证矿山签订关闭协议2个，4个市级发证矿山全部注销，县级发证矿山注销5个，新增3家省级绿色矿山；修复长江经济带废弃露天矿山133个，面积476.27公顷，完成省定任务。</w:t>
      </w:r>
    </w:p>
    <w:p>
      <w:pPr>
        <w:keepNext w:val="0"/>
        <w:keepLines w:val="0"/>
        <w:pageBreakBefore w:val="0"/>
        <w:widowControl w:val="0"/>
        <w:kinsoku/>
        <w:wordWrap/>
        <w:overflowPunct/>
        <w:topLinePunct w:val="0"/>
        <w:autoSpaceDE/>
        <w:autoSpaceDN w:val="0"/>
        <w:bidi w:val="0"/>
        <w:adjustRightInd/>
        <w:snapToGrid/>
        <w:spacing w:line="520" w:lineRule="exact"/>
        <w:ind w:firstLine="0" w:firstLineChars="0"/>
        <w:jc w:val="left"/>
        <w:textAlignment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b/>
          <w:bCs/>
          <w:color w:val="000000"/>
          <w:sz w:val="28"/>
          <w:szCs w:val="28"/>
          <w:lang w:val="en-US" w:eastAsia="zh-CN"/>
        </w:rPr>
        <w:t xml:space="preserve"> </w:t>
      </w:r>
      <w:r>
        <w:rPr>
          <w:rFonts w:hint="eastAsia" w:asciiTheme="minorEastAsia" w:hAnsiTheme="minorEastAsia" w:eastAsiaTheme="minorEastAsia" w:cstheme="minorEastAsia"/>
          <w:b w:val="0"/>
          <w:bCs w:val="0"/>
          <w:color w:val="000000"/>
          <w:sz w:val="28"/>
          <w:szCs w:val="28"/>
          <w:lang w:val="en-US" w:eastAsia="zh-CN"/>
        </w:rPr>
        <w:t xml:space="preserve">  3、全心全意服务群众。</w:t>
      </w:r>
      <w:r>
        <w:rPr>
          <w:rFonts w:hint="eastAsia" w:asciiTheme="minorEastAsia" w:hAnsiTheme="minorEastAsia" w:eastAsiaTheme="minorEastAsia" w:cstheme="minorEastAsia"/>
          <w:color w:val="000000"/>
          <w:sz w:val="28"/>
          <w:szCs w:val="28"/>
          <w:lang w:val="en-US" w:eastAsia="zh-CN"/>
        </w:rPr>
        <w:t>农村宅基地和集体建设用地房确权登记63万宗。</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4、违法用地整改率及信访问题化解率提高。</w:t>
      </w:r>
      <w:r>
        <w:rPr>
          <w:rFonts w:hint="eastAsia" w:asciiTheme="minorEastAsia" w:hAnsiTheme="minorEastAsia" w:eastAsiaTheme="minorEastAsia" w:cstheme="minorEastAsia"/>
          <w:color w:val="000000"/>
          <w:sz w:val="28"/>
          <w:szCs w:val="28"/>
          <w:lang w:val="en-US" w:eastAsia="zh-CN"/>
        </w:rPr>
        <w:t>全市月度卫片执法161个问题整改到位137个，市本级及各县市区被约谈问责为0；月清违法用地76宗，确认上报的24宗210栋违建别墅项目全部核销；整改耕地保护督察问题698个,到位率100%；所有来信来访及时答复办理，100%办结；全市纳入77个楼盘，化解39个，完成省定30%化解率目标；中心城区共拆违2858处40.35万平方米。</w:t>
      </w:r>
    </w:p>
    <w:p>
      <w:pPr>
        <w:pStyle w:val="2"/>
        <w:keepNext w:val="0"/>
        <w:keepLines w:val="0"/>
        <w:pageBreakBefore w:val="0"/>
        <w:widowControl w:val="0"/>
        <w:kinsoku/>
        <w:wordWrap/>
        <w:overflowPunct/>
        <w:topLinePunct w:val="0"/>
        <w:autoSpaceDE/>
        <w:bidi w:val="0"/>
        <w:adjustRightInd/>
        <w:snapToGrid/>
        <w:spacing w:line="520" w:lineRule="exact"/>
        <w:ind w:firstLine="0" w:firstLineChars="0"/>
        <w:rPr>
          <w:rFonts w:hint="eastAsia" w:asciiTheme="minorEastAsia" w:hAnsiTheme="minorEastAsia" w:eastAsiaTheme="minorEastAsia" w:cstheme="minorEastAsia"/>
          <w:b w:val="0"/>
          <w:bCs w:val="0"/>
          <w:sz w:val="28"/>
          <w:szCs w:val="28"/>
          <w:highlight w:val="none"/>
          <w:lang w:val="en-US" w:eastAsia="zh-CN"/>
        </w:rPr>
      </w:pP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color w:val="000000"/>
          <w:sz w:val="28"/>
          <w:szCs w:val="28"/>
          <w:highlight w:val="none"/>
          <w:lang w:val="en-US" w:eastAsia="zh-CN"/>
        </w:rPr>
        <w:t xml:space="preserve"> </w:t>
      </w:r>
      <w:r>
        <w:rPr>
          <w:rFonts w:hint="eastAsia" w:asciiTheme="minorEastAsia" w:hAnsiTheme="minorEastAsia" w:eastAsiaTheme="minorEastAsia" w:cstheme="minorEastAsia"/>
          <w:b w:val="0"/>
          <w:bCs w:val="0"/>
          <w:color w:val="000000"/>
          <w:sz w:val="28"/>
          <w:szCs w:val="28"/>
          <w:highlight w:val="none"/>
          <w:lang w:val="en-US" w:eastAsia="zh-CN"/>
        </w:rPr>
        <w:t xml:space="preserve"> 5、全年实现非税收入17400万元。</w:t>
      </w:r>
    </w:p>
    <w:p>
      <w:pPr>
        <w:keepNext w:val="0"/>
        <w:keepLines w:val="0"/>
        <w:pageBreakBefore w:val="0"/>
        <w:widowControl w:val="0"/>
        <w:kinsoku/>
        <w:wordWrap/>
        <w:overflowPunct/>
        <w:topLinePunct w:val="0"/>
        <w:autoSpaceDE/>
        <w:autoSpaceDN w:val="0"/>
        <w:bidi w:val="0"/>
        <w:adjustRightInd/>
        <w:snapToGrid/>
        <w:spacing w:line="520" w:lineRule="exact"/>
        <w:ind w:firstLine="280" w:firstLineChars="100"/>
        <w:jc w:val="left"/>
        <w:textAlignment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b/>
          <w:bCs/>
          <w:color w:val="000000"/>
          <w:sz w:val="28"/>
          <w:szCs w:val="28"/>
          <w:lang w:val="en-US" w:eastAsia="zh-CN"/>
        </w:rPr>
        <w:t xml:space="preserve"> (三）质量目标</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1、编制国土空间规划成果通过上级部门及专家审查通过。</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2、“三调工作”更新成果通过国家级内业核查。</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3、地质灾害隐患点“零死亡”“最多跑一次”改革落实到位，优化营商环境专项巡察整改率100%。</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4、结对帮扶的贫困村摘帽率100%；异地扶贫工作国检和省检通过率100%。</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5、违法行为查处整改率合格，上级部门约谈和问责为0次</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6、发展用地保证率100%</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7、重点项目跟踪服务落地率100%。</w:t>
      </w:r>
    </w:p>
    <w:p>
      <w:pPr>
        <w:pStyle w:val="2"/>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 xml:space="preserve">   </w:t>
      </w:r>
      <w:r>
        <w:rPr>
          <w:rFonts w:hint="eastAsia" w:asciiTheme="minorEastAsia" w:hAnsiTheme="minorEastAsia" w:eastAsiaTheme="minorEastAsia" w:cstheme="minorEastAsia"/>
          <w:b/>
          <w:bCs/>
          <w:color w:val="000000"/>
          <w:sz w:val="28"/>
          <w:szCs w:val="28"/>
          <w:lang w:val="en-US" w:eastAsia="zh-CN"/>
        </w:rPr>
        <w:t xml:space="preserve"> （四）时效目标</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default" w:asciiTheme="minorEastAsia" w:hAnsiTheme="minorEastAsia" w:eastAsiaTheme="minorEastAsia" w:cstheme="minorEastAsia"/>
          <w:color w:val="000000"/>
          <w:sz w:val="28"/>
          <w:szCs w:val="28"/>
          <w:lang w:val="en-US" w:eastAsia="zh-CN"/>
        </w:rPr>
      </w:pPr>
      <w:r>
        <w:rPr>
          <w:rFonts w:hint="default" w:asciiTheme="minorEastAsia" w:hAnsiTheme="minorEastAsia" w:eastAsiaTheme="minorEastAsia" w:cstheme="minorEastAsia"/>
          <w:color w:val="000000"/>
          <w:sz w:val="28"/>
          <w:szCs w:val="28"/>
          <w:lang w:val="en-US" w:eastAsia="zh-CN"/>
        </w:rPr>
        <w:t>1、优化营商环境，审批日期缩短10个工作日。</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default" w:asciiTheme="minorEastAsia" w:hAnsiTheme="minorEastAsia" w:eastAsiaTheme="minorEastAsia" w:cstheme="minorEastAsia"/>
          <w:color w:val="000000"/>
          <w:sz w:val="28"/>
          <w:szCs w:val="28"/>
          <w:lang w:val="en-US" w:eastAsia="zh-CN"/>
        </w:rPr>
      </w:pPr>
      <w:r>
        <w:rPr>
          <w:rFonts w:hint="default" w:asciiTheme="minorEastAsia" w:hAnsiTheme="minorEastAsia" w:eastAsiaTheme="minorEastAsia" w:cstheme="minorEastAsia"/>
          <w:color w:val="000000"/>
          <w:sz w:val="28"/>
          <w:szCs w:val="28"/>
          <w:lang w:val="en-US" w:eastAsia="zh-CN"/>
        </w:rPr>
        <w:t>2、所有来信来访及时答复</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default" w:asciiTheme="minorEastAsia" w:hAnsiTheme="minorEastAsia" w:eastAsiaTheme="minorEastAsia" w:cstheme="minorEastAsia"/>
          <w:color w:val="000000"/>
          <w:sz w:val="28"/>
          <w:szCs w:val="28"/>
          <w:lang w:val="en-US" w:eastAsia="zh-CN"/>
        </w:rPr>
      </w:pPr>
      <w:r>
        <w:rPr>
          <w:rFonts w:hint="default" w:asciiTheme="minorEastAsia" w:hAnsiTheme="minorEastAsia" w:eastAsiaTheme="minorEastAsia" w:cstheme="minorEastAsia"/>
          <w:color w:val="000000"/>
          <w:sz w:val="28"/>
          <w:szCs w:val="28"/>
          <w:lang w:val="en-US" w:eastAsia="zh-CN"/>
        </w:rPr>
        <w:t>3、在规定时限内腾地、供地和完成整改、销号等任务</w:t>
      </w:r>
    </w:p>
    <w:p>
      <w:pPr>
        <w:pStyle w:val="2"/>
        <w:rPr>
          <w:rFonts w:hint="default"/>
          <w:b/>
          <w:bCs/>
          <w:lang w:val="en-US" w:eastAsia="zh-CN"/>
        </w:rPr>
      </w:pP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b/>
          <w:bCs/>
          <w:color w:val="000000"/>
          <w:sz w:val="28"/>
          <w:szCs w:val="28"/>
          <w:lang w:val="en-US" w:eastAsia="zh-CN"/>
        </w:rPr>
        <w:t xml:space="preserve"> （五）成本控制</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1、全度预算资金控制额</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default"/>
          <w:b w:val="0"/>
          <w:bCs w:val="0"/>
          <w:lang w:val="en-US" w:eastAsia="zh-CN"/>
        </w:rPr>
      </w:pPr>
      <w:r>
        <w:rPr>
          <w:rFonts w:hint="eastAsia" w:asciiTheme="minorEastAsia" w:hAnsiTheme="minorEastAsia" w:eastAsiaTheme="minorEastAsia" w:cstheme="minorEastAsia"/>
          <w:b w:val="0"/>
          <w:bCs w:val="0"/>
          <w:color w:val="000000"/>
          <w:sz w:val="28"/>
          <w:szCs w:val="28"/>
          <w:lang w:val="en-US" w:eastAsia="zh-CN"/>
        </w:rPr>
        <w:t>2、项目资金控制额</w:t>
      </w:r>
    </w:p>
    <w:p>
      <w:pPr>
        <w:keepNext w:val="0"/>
        <w:keepLines w:val="0"/>
        <w:pageBreakBefore w:val="0"/>
        <w:widowControl w:val="0"/>
        <w:kinsoku/>
        <w:wordWrap/>
        <w:overflowPunct/>
        <w:topLinePunct w:val="0"/>
        <w:autoSpaceDE/>
        <w:autoSpaceDN w:val="0"/>
        <w:bidi w:val="0"/>
        <w:adjustRightInd/>
        <w:snapToGrid/>
        <w:spacing w:line="520" w:lineRule="exact"/>
        <w:ind w:firstLine="281" w:firstLineChars="100"/>
        <w:jc w:val="left"/>
        <w:textAlignment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val="en-US" w:eastAsia="zh-CN"/>
        </w:rPr>
        <w:t>（六）效益、社会公众及服好务对象满意度</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1、社会效益：一是利用国家和省厅土地管理新政的有利契机，竭尽全力服务和保障省市重点项目用地，有效解决了项目“落地难、落地慢”的问题；二是落实落细园区周围用地政策，推进工业用地弹性出让，持续降低用地成本；三是连续实现耕地占补平衡，牢守耕地保护红线，坚持“逢占必补、先补后占、占优补先”原则，大力推进耕地开发的高标准农田项目建设；四是维护生态矿山修复，防范地质灾害，保护人民生命财产安全</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2、经济效益：土整项目：每亩可增加产量10%，人均每年增产500元；实现土地收入支撑地方债务化解</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3、环境效益：一是严格管理矿产资源，切实做好自然保护地采矿权退出工作；二是严格保护好了自然资源；稳步推进生态保护与修复，造福子孙后代；有效防止和减少水土流失，增强防洪抗灾能力。</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default"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4、发展可持续性。推进生态保护和修复，确保了绿水青山就是金山银山，生态平衡持续发展，守护好“一江碧水”。</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default"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5、社会公众及服务对象满意度：议案回复满意率95%以上；信访办结回复满意率90%以上</w:t>
      </w:r>
    </w:p>
    <w:p>
      <w:pPr>
        <w:keepNext w:val="0"/>
        <w:keepLines w:val="0"/>
        <w:pageBreakBefore w:val="0"/>
        <w:widowControl w:val="0"/>
        <w:kinsoku/>
        <w:wordWrap/>
        <w:overflowPunct/>
        <w:topLinePunct w:val="0"/>
        <w:autoSpaceDE/>
        <w:autoSpaceDN w:val="0"/>
        <w:bidi w:val="0"/>
        <w:adjustRightInd/>
        <w:snapToGrid/>
        <w:spacing w:line="520" w:lineRule="exact"/>
        <w:ind w:firstLine="562" w:firstLineChars="200"/>
        <w:jc w:val="left"/>
        <w:textAlignment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val="en-US" w:eastAsia="zh-CN"/>
        </w:rPr>
        <w:t>（七）绩效目标完成具体情况</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default"/>
          <w:lang w:val="en-US" w:eastAsia="zh-CN"/>
        </w:rPr>
      </w:pPr>
      <w:r>
        <w:rPr>
          <w:rFonts w:hint="eastAsia" w:asciiTheme="minorEastAsia" w:hAnsiTheme="minorEastAsia" w:eastAsiaTheme="minorEastAsia" w:cstheme="minorEastAsia"/>
          <w:b w:val="0"/>
          <w:bCs w:val="0"/>
          <w:color w:val="000000"/>
          <w:sz w:val="28"/>
          <w:szCs w:val="28"/>
          <w:lang w:val="en-US" w:eastAsia="zh-CN"/>
        </w:rPr>
        <w:t>见本报告“主要绩效分析”。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jc w:val="both"/>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 xml:space="preserve">三、局机关整体支出情况  </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2"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（一）部门整体收支情况</w:t>
      </w:r>
    </w:p>
    <w:p>
      <w:pPr>
        <w:numPr>
          <w:ilvl w:val="0"/>
          <w:numId w:val="0"/>
        </w:numPr>
        <w:spacing w:line="440" w:lineRule="exact"/>
        <w:ind w:firstLine="560" w:firstLineChars="200"/>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收入合计14,765.55万元，</w:t>
      </w:r>
      <w:r>
        <w:rPr>
          <w:rFonts w:hint="eastAsia" w:ascii="宋体" w:hAnsi="宋体" w:cs="宋体"/>
          <w:bCs/>
          <w:sz w:val="28"/>
          <w:szCs w:val="28"/>
          <w:highlight w:val="none"/>
          <w:lang w:val="en-US" w:eastAsia="zh-CN"/>
        </w:rPr>
        <w:t>其中：一般公共预算财政拨款收入8,029.78万元，政府性基金预算财政拨款收入3,460.00万元，上年结转3,275.77万元；</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jc w:val="left"/>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支出合计8,634.66万元，其中:基本支3,395.83万元；项目支出5,238.83万元。</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color w:val="auto"/>
          <w:kern w:val="2"/>
          <w:sz w:val="28"/>
          <w:szCs w:val="28"/>
          <w:highlight w:val="none"/>
          <w:lang w:val="en-US" w:eastAsia="zh-CN" w:bidi="ar-SA"/>
        </w:rPr>
        <w:t>本年结转结余(累计结余)6,130.89元（其中：2020年结余2,855.12万元，上年末结转结余3,275.77万元）。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jc w:val="both"/>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（二）基本支出情况分析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both"/>
        <w:textAlignment w:val="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2020年局机关基本支出3,395.83万元，其中：人员经费支出2,081.14万元，占基本支出61.29%;公用经费支出1,314.69万元,占基本支出38.71%。具体支出项目如下：</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宋体" w:hAnsi="宋体" w:cs="宋体"/>
          <w:bCs/>
          <w:sz w:val="28"/>
          <w:szCs w:val="28"/>
          <w:lang w:val="en-US" w:eastAsia="zh-CN"/>
        </w:rPr>
        <w:t>工资福利支出1,685.60元，支付</w:t>
      </w:r>
      <w:r>
        <w:rPr>
          <w:rFonts w:hint="eastAsia" w:asciiTheme="minorEastAsia" w:hAnsiTheme="minorEastAsia" w:eastAsiaTheme="minorEastAsia" w:cstheme="minorEastAsia"/>
          <w:bCs/>
          <w:sz w:val="28"/>
          <w:szCs w:val="28"/>
          <w:highlight w:val="none"/>
          <w:lang w:val="en-US" w:eastAsia="zh-CN"/>
        </w:rPr>
        <w:t>职工工资、津补贴、绩效工资及社会缴费等。</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商品和服务支出</w:t>
      </w:r>
      <w:r>
        <w:rPr>
          <w:rFonts w:hint="eastAsia" w:ascii="宋体" w:hAnsi="宋体" w:cs="宋体"/>
          <w:bCs/>
          <w:sz w:val="28"/>
          <w:szCs w:val="28"/>
          <w:lang w:val="en-US" w:eastAsia="zh-CN"/>
        </w:rPr>
        <w:t>1,239.96万元</w:t>
      </w:r>
      <w:r>
        <w:rPr>
          <w:rFonts w:hint="eastAsia" w:asciiTheme="minorEastAsia" w:hAnsiTheme="minorEastAsia" w:eastAsiaTheme="minorEastAsia" w:cstheme="minorEastAsia"/>
          <w:bCs/>
          <w:sz w:val="28"/>
          <w:szCs w:val="28"/>
          <w:lang w:val="en-US" w:eastAsia="zh-CN"/>
        </w:rPr>
        <w:t>，主要用于办公费、水电费、物业费、办公用品、印刷费、会议费、公务接待费、公务用车运行费等机关运转费用支出。</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对个人和家庭补助支出</w:t>
      </w:r>
      <w:r>
        <w:rPr>
          <w:rFonts w:hint="eastAsia" w:ascii="宋体" w:hAnsi="宋体" w:cs="宋体"/>
          <w:bCs/>
          <w:sz w:val="28"/>
          <w:szCs w:val="28"/>
          <w:lang w:val="en-US" w:eastAsia="zh-CN"/>
        </w:rPr>
        <w:t>395.54万元</w:t>
      </w:r>
      <w:r>
        <w:rPr>
          <w:rFonts w:hint="eastAsia" w:asciiTheme="minorEastAsia" w:hAnsiTheme="minorEastAsia" w:eastAsiaTheme="minorEastAsia" w:cstheme="minorEastAsia"/>
          <w:bCs/>
          <w:sz w:val="28"/>
          <w:szCs w:val="28"/>
          <w:lang w:val="en-US" w:eastAsia="zh-CN"/>
        </w:rPr>
        <w:t>，主要开支离退休费用、抚恤费、医保等费用等。</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资本性支出</w:t>
      </w:r>
      <w:r>
        <w:rPr>
          <w:rFonts w:hint="eastAsia" w:ascii="宋体" w:hAnsi="宋体" w:cs="宋体"/>
          <w:bCs/>
          <w:sz w:val="28"/>
          <w:szCs w:val="28"/>
          <w:lang w:val="en-US" w:eastAsia="zh-CN"/>
        </w:rPr>
        <w:t>74.73万元万元</w:t>
      </w:r>
      <w:r>
        <w:rPr>
          <w:rFonts w:hint="eastAsia" w:asciiTheme="minorEastAsia" w:hAnsiTheme="minorEastAsia" w:eastAsiaTheme="minorEastAsia" w:cstheme="minorEastAsia"/>
          <w:bCs/>
          <w:sz w:val="28"/>
          <w:szCs w:val="28"/>
          <w:lang w:val="en-US" w:eastAsia="zh-CN"/>
        </w:rPr>
        <w:t>,主要用于办公设备购置以及软件购置。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（三）项目（专项）支出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2020年度，资规局机关计划完成国土资源类专项8个，</w:t>
      </w:r>
      <w:r>
        <w:rPr>
          <w:rFonts w:hint="eastAsia" w:ascii="宋体" w:hAnsi="宋体" w:cs="宋体"/>
          <w:bCs/>
          <w:color w:val="auto"/>
          <w:sz w:val="28"/>
          <w:szCs w:val="28"/>
          <w:highlight w:val="none"/>
          <w:lang w:val="en-US" w:eastAsia="zh-CN"/>
        </w:rPr>
        <w:t>资金主要来源于财政专项拨款,</w:t>
      </w:r>
      <w:r>
        <w:rPr>
          <w:rFonts w:hint="eastAsia" w:ascii="宋体" w:hAnsi="宋体" w:cs="宋体"/>
          <w:bCs/>
          <w:sz w:val="28"/>
          <w:szCs w:val="28"/>
          <w:highlight w:val="none"/>
          <w:lang w:val="en-US" w:eastAsia="zh-CN"/>
        </w:rPr>
        <w:t>预算投入4,949.80万元，实际专项支出5,238.83万元，具体支出项目如下：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default"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办案费支出120万元、土地征收业务费3618.57万元、基础测绘项目支出68.4万元、国土项目补助资金19万元、20年地质勘查资金375.68万元、国土项目补助资金577.18万元、灾害建设资金460万元。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yellow"/>
          <w:lang w:val="en-US" w:eastAsia="zh-CN"/>
        </w:rPr>
      </w:pPr>
      <w:r>
        <w:rPr>
          <w:rFonts w:hint="eastAsia" w:asciiTheme="minorEastAsia" w:hAnsiTheme="minorEastAsia" w:eastAsiaTheme="minorEastAsia" w:cstheme="minorEastAsia"/>
          <w:b/>
          <w:bCs w:val="0"/>
          <w:sz w:val="28"/>
          <w:szCs w:val="28"/>
          <w:highlight w:val="none"/>
          <w:lang w:val="en-US" w:eastAsia="zh-CN"/>
        </w:rPr>
        <w:t>（四）三公经费使用和管理情况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宋体" w:hAnsi="宋体" w:cs="宋体"/>
          <w:bCs/>
          <w:sz w:val="28"/>
          <w:szCs w:val="28"/>
          <w:highlight w:val="none"/>
          <w:lang w:val="en-US" w:eastAsia="zh-CN"/>
        </w:rPr>
        <w:t>2020年度资规局机关三公经费预算172.00万元，实际开支148.02万元，</w:t>
      </w:r>
      <w:r>
        <w:rPr>
          <w:rFonts w:hint="eastAsia" w:asciiTheme="minorEastAsia" w:hAnsiTheme="minorEastAsia" w:eastAsiaTheme="minorEastAsia" w:cstheme="minorEastAsia"/>
          <w:bCs/>
          <w:sz w:val="28"/>
          <w:szCs w:val="28"/>
          <w:highlight w:val="none"/>
          <w:lang w:val="en-US" w:eastAsia="zh-CN"/>
        </w:rPr>
        <w:t>三公经费控制率为82.57%,三公经费控制较好；三公经费同期变动率小，2020年支出明细如下：</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因公出国（境）团组情况：无预算，无无因公出国（境）经费支出。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（2）公务接待费：本年公务接待费年初预算72万元，</w:t>
      </w:r>
      <w:r>
        <w:rPr>
          <w:rFonts w:hint="eastAsia" w:ascii="宋体" w:hAnsi="宋体" w:cs="宋体"/>
          <w:bCs/>
          <w:sz w:val="28"/>
          <w:szCs w:val="28"/>
          <w:highlight w:val="none"/>
          <w:lang w:val="en-US" w:eastAsia="zh-CN"/>
        </w:rPr>
        <w:t>实际支出18.79万元，</w:t>
      </w:r>
      <w:r>
        <w:rPr>
          <w:rFonts w:hint="eastAsia" w:asciiTheme="minorEastAsia" w:hAnsiTheme="minorEastAsia" w:eastAsiaTheme="minorEastAsia" w:cstheme="minorEastAsia"/>
          <w:bCs/>
          <w:sz w:val="28"/>
          <w:szCs w:val="28"/>
          <w:highlight w:val="none"/>
          <w:lang w:val="en-US" w:eastAsia="zh-CN"/>
        </w:rPr>
        <w:t>主要支付加班餐费及部分公务接待费用，节省预算53.24万元。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（3）公务用车购置及运行维护费：</w:t>
      </w:r>
      <w:r>
        <w:rPr>
          <w:rFonts w:hint="eastAsia" w:ascii="宋体" w:hAnsi="宋体" w:cs="宋体"/>
          <w:bCs/>
          <w:sz w:val="28"/>
          <w:szCs w:val="28"/>
          <w:highlight w:val="none"/>
          <w:lang w:val="en-US" w:eastAsia="zh-CN"/>
        </w:rPr>
        <w:t>年初预算100.00万元，实际支出公务用车运行维护费26.27万元，节省预算</w:t>
      </w:r>
      <w:r>
        <w:rPr>
          <w:rFonts w:hint="eastAsia" w:asciiTheme="minorEastAsia" w:hAnsiTheme="minorEastAsia" w:eastAsiaTheme="minorEastAsia" w:cstheme="minorEastAsia"/>
          <w:bCs/>
          <w:sz w:val="28"/>
          <w:szCs w:val="28"/>
          <w:highlight w:val="none"/>
          <w:lang w:val="en-US" w:eastAsia="zh-CN"/>
        </w:rPr>
        <w:t>73.73万元。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（4）其他交通费用：无年初预算，实际支出102.96万元</w:t>
      </w:r>
      <w:r>
        <w:rPr>
          <w:rFonts w:hint="eastAsia" w:ascii="宋体" w:hAnsi="宋体" w:cs="宋体"/>
          <w:bCs/>
          <w:sz w:val="28"/>
          <w:szCs w:val="28"/>
          <w:highlight w:val="none"/>
          <w:lang w:val="en-US" w:eastAsia="zh-CN"/>
        </w:rPr>
        <w:t>。其中：公务交通补贴77.92万元</w:t>
      </w:r>
      <w:r>
        <w:rPr>
          <w:rFonts w:hint="eastAsia" w:ascii="宋体" w:hAnsi="宋体" w:cs="宋体"/>
          <w:bCs/>
          <w:sz w:val="28"/>
          <w:szCs w:val="28"/>
          <w:highlight w:val="none"/>
          <w:lang w:val="en-US" w:eastAsia="zh-CN"/>
        </w:rPr>
        <w:t>；租车费用15.49万元；燃料及通行费等9.55万元。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五、固定资产管理情况分析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cs="宋体"/>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按照例行节约、物尽其用的原则，资规局机关资产管理采取统一建帐、统一核算管理，对每件固定资产使用明确保管职责，闲置的资产，由办公室统一调整，合理流动，发挥其效益。</w:t>
      </w:r>
      <w:r>
        <w:rPr>
          <w:rFonts w:hint="eastAsia" w:ascii="宋体" w:hAnsi="宋体" w:cs="宋体"/>
          <w:bCs/>
          <w:sz w:val="28"/>
          <w:szCs w:val="28"/>
          <w:highlight w:val="none"/>
          <w:lang w:val="en-US" w:eastAsia="zh-CN"/>
        </w:rPr>
        <w:t>至2020年12月末固定资产帐面余额30,230.01万元，均为在用固定资产。其中：2020年新增固定资产593.07万元，均按规定的程序报政府采购管理办公室批准购置，严格按固定资产管理办法进行核算及管理。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（三）重点项目组织实施情况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宋体" w:hAnsi="宋体" w:cs="宋体"/>
          <w:bCs/>
          <w:sz w:val="28"/>
          <w:szCs w:val="28"/>
          <w:highlight w:val="none"/>
          <w:lang w:val="en-US" w:eastAsia="zh-CN"/>
        </w:rPr>
        <w:t>2020年度，资规局机关已完成国土资源类专项7个，实际专项支出5,238.83万元，由局机关相关部门负责组织实施，</w:t>
      </w:r>
      <w:r>
        <w:rPr>
          <w:rFonts w:hint="eastAsia" w:asciiTheme="minorEastAsia" w:hAnsiTheme="minorEastAsia" w:eastAsiaTheme="minorEastAsia" w:cstheme="minorEastAsia"/>
          <w:bCs/>
          <w:sz w:val="28"/>
          <w:szCs w:val="28"/>
          <w:highlight w:val="none"/>
          <w:lang w:val="en-US" w:eastAsia="zh-CN"/>
        </w:rPr>
        <w:t>各相关部门按照相关制度及管理办法操作；项目立项依据充分，进行了财政评审，对符合招投标条件的均进行了公开招投标；达到政府采购限额标准的严格按政府采购规定操作；严抓项目质量，做到严格实行公告制、合同制、招投标制、监理制和法人责任制；严把材料设备采购关、操作流程关；项目支出均按合同规定时间进度及质量要求支付，对于技术性强的土地综合整治及地质灾害防治工作，工程完工后，专门组织技术专家验收，听众专家意见，实行验收专家负责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（四）内部管理及财务管理制度建设情况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1、建立了专项资金财务管理制度。2019年省自然资源厅和省财政厅联合下发了专项资金管理办法。资规局严格遵照执行，并对局属各单位和县区分局进行督查。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实行资金跟踪监控。机关制订较完整内部管理规章制度及财务管理制度，对项目资金使用实行专户储存、专账核算、专款专用三专管理。全程接受财政等部门的监管，严格执行国库集中支付制度,确保专款专用,严防截留、挪用资金。</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健全财务管理机制。建立专项资金管理制度、领导责任制、会计制度和出纳制度等。制定了专项资金使用管理暂行办法、预算资金管理办法等制度,从资金取得—使用管理—用后监管都进行了规定,加强了专项资金使用过程的控制和追踪问效。严格执行国家各项财经纪律和财务制度。进一步加强和规范局机关资金使用审批程序和财务管理，提高资金使用效益，凡涉及政府采购的预算项目，严格按照《政府采购法》和《招投标法》的相关规定和程序执行。</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4、加强会计基础工作管理。要求会计科目设置规范,账务处理正确,入账依据充分,各种审批手续完备；严格按预算管理要求使用资金,严格按进度和合同拨付资金,严格执行政府采购制度；执行预决算管理要求。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5、严格审批程序。按照"先报再审后用”的原则,由实施方提出申请,相关单位签署意见确认工程数量和资金额度,经财务科初审后,报局分管领导审批。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6、实行“三个转变”。由传统财务核算管理向项目工程质量管理转变、由专项资金日常财务管理向专项资金绩效管理的转变、由被动管理向制度管理转变。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（五）重大事项公开公示情况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 xml:space="preserve">    2020年自然资源和规划局官网对2020年度财政预算进行公示，对2020年年度决算情况进行了公示。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default"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三、部门整体支出绩效评价工作实施情况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（一）绩效评价工作的目的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通过绩效评价，全面了解工作目标是否合理；工作计划与实际完成情况之间的差异；管理制度健全性；实际人员与编制人员的控制比率；完成重点项目的力度；预算执行的完成率；支付进度率；“三公经费”控制率；政府采购执行率；资金使用合规性；资产管理利用率；社会效益、经济效益、服务对象满意率等。充分发挥财政资金的使用效益，更好地为国土资源事业服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（二）部门整体支出评价原则、指标评价体系、评价方法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1、部门整体支出评价原则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遵循客观公正，操作简便高效，尊重客观实际，实事求是的原则。</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部门整体支出指标评价体系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指标体系包括共性指标和个性指标两部分，本次主要参照了财政部门制定的《部门整体支出绩效评价指标体系》的相关内容，根据部门具体情况对个性指标进行了调整细化，形成了《岳阳市2020年度资规局整体支出绩效评价指标体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3、评分等级标准。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评价等次分为优秀（S≧90）、良好（90&gt;S≧80）、合格（80&gt;S≧70）不合格S&lt;70）4个评价等次。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4、本次绩效评价方法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default"/>
          <w:lang w:val="en-US" w:eastAsia="zh-CN"/>
        </w:rPr>
      </w:pPr>
      <w:r>
        <w:rPr>
          <w:rFonts w:hint="eastAsia" w:asciiTheme="minorEastAsia" w:hAnsiTheme="minorEastAsia" w:eastAsiaTheme="minorEastAsia" w:cstheme="minorEastAsia"/>
          <w:bCs/>
          <w:sz w:val="28"/>
          <w:szCs w:val="28"/>
          <w:highlight w:val="none"/>
          <w:lang w:val="en-US" w:eastAsia="zh-CN"/>
        </w:rPr>
        <w:t>主要采取目标评价法、询问查证法及定性和定量相结合的方法进行评分；通过听取项目情况介绍，评价人员座谈交流等方式进行定性评分；制定评价指标，通过评价指标对项目进行定量评分。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（三）绩效评价工作过程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1、前期准备： 按照市财政对绩效评价的要求我单位成立了绩效评价小组，并进行职责分工，下发评价通知。根据资规局机关2020年工作重点及计划完成情况，制定的绩效评价工作方案，设计了绩效评价指标体系和问卷调查表。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组织实施：评价小组核查2020年岳阳市财政预算批复执行及部门整体支出情况，着重核查了“三公”经费及资产管理、内部控制制度情况，认真对照上级下达的目标任务及单位工作计划等文件，核实年度目标定性、定量目标任务完成情况，并按照绩效评价自评表分值进行自评分；通过财务数据分析当年收入、支出、结余情况，编制基础数据。</w:t>
      </w:r>
    </w:p>
    <w:p>
      <w:pPr>
        <w:pStyle w:val="2"/>
        <w:keepNext w:val="0"/>
        <w:keepLines w:val="0"/>
        <w:pageBreakBefore w:val="0"/>
        <w:widowControl w:val="0"/>
        <w:kinsoku/>
        <w:wordWrap/>
        <w:overflowPunct/>
        <w:topLinePunct w:val="0"/>
        <w:autoSpaceDE/>
        <w:autoSpaceDN/>
        <w:bidi w:val="0"/>
        <w:adjustRightInd/>
        <w:snapToGrid/>
        <w:spacing w:line="520" w:lineRule="exact"/>
        <w:ind w:firstLine="56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3、撰写自评报告。评价小组根据绩效评价收集资料及数据，进行分析、核算、讨论、汇总，形成自评报告初稿，经相关领导审核后形成《岳阳市自然资源和规划局机关整体支出绩效自评报告》。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yellow"/>
          <w:lang w:val="en-US" w:eastAsia="zh-CN"/>
        </w:rPr>
      </w:pPr>
      <w:r>
        <w:rPr>
          <w:rFonts w:hint="eastAsia" w:asciiTheme="minorEastAsia" w:hAnsiTheme="minorEastAsia" w:eastAsiaTheme="minorEastAsia" w:cstheme="minorEastAsia"/>
          <w:b/>
          <w:bCs w:val="0"/>
          <w:sz w:val="28"/>
          <w:szCs w:val="28"/>
          <w:highlight w:val="none"/>
          <w:lang w:val="en-US" w:eastAsia="zh-CN"/>
        </w:rPr>
        <w:t>四、整体支出综合评价及结论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评价小组认为：2020年资规局机关工作人员认真履行本部门职责职能，认真按年初考核任务要求较好地完成各项目标任务，工作效率性较高、质量好，预算成本控制较好，整体支出绩效优秀，达到既定的目标要求，</w:t>
      </w:r>
      <w:r>
        <w:rPr>
          <w:rFonts w:hint="eastAsia" w:ascii="宋体" w:hAnsi="宋体" w:cs="宋体"/>
          <w:bCs/>
          <w:sz w:val="28"/>
          <w:szCs w:val="28"/>
          <w:highlight w:val="none"/>
          <w:lang w:val="en-US" w:eastAsia="zh-CN"/>
        </w:rPr>
        <w:t>2020年全省自然资源系统政务信息等5项工作被评为省先进，年度综合绩效考评等14项工作被评为市先进</w:t>
      </w:r>
      <w:r>
        <w:rPr>
          <w:rFonts w:hint="eastAsia" w:asciiTheme="minorEastAsia" w:hAnsiTheme="minorEastAsia" w:eastAsiaTheme="minorEastAsia" w:cstheme="minorEastAsia"/>
          <w:bCs/>
          <w:sz w:val="28"/>
          <w:szCs w:val="28"/>
          <w:highlight w:val="none"/>
          <w:lang w:val="en-US" w:eastAsia="zh-CN"/>
        </w:rPr>
        <w:t>等荣誉，成效显著。具有良好社会效益、经济效益、生态环境效益及可持续性发展。根据评价指标综合自评，得分为97.5分，评价等级确认为“优秀”。其中：</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1、资金投入总分15分，得分14分，  扣1分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2、过程管理总分40分，得分38.5分，扣1.5分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3、产出管理总分25分，得分25分，  扣0分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4、绩效管理总分20分，得分20分，  扣0分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具体见《岳阳市资规局（机关）整体支出绩效评价评分表》</w:t>
      </w:r>
    </w:p>
    <w:p>
      <w:pPr>
        <w:pStyle w:val="3"/>
        <w:ind w:left="0" w:leftChars="0" w:firstLine="0" w:firstLineChars="0"/>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0" w:leftChars="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五、主要绩效分析</w:t>
      </w:r>
    </w:p>
    <w:p>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560" w:leftChars="0" w:firstLine="0" w:firstLineChars="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全力服务中心重点</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14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全力保障重点项目用地</w:t>
      </w:r>
      <w:r>
        <w:rPr>
          <w:rFonts w:hint="eastAsia" w:asciiTheme="minorEastAsia" w:hAnsiTheme="minorEastAsia" w:eastAsiaTheme="minorEastAsia" w:cstheme="minorEastAsia"/>
          <w:bCs/>
          <w:sz w:val="28"/>
          <w:szCs w:val="28"/>
          <w:highlight w:val="none"/>
          <w:lang w:val="en-US" w:eastAsia="zh-CN"/>
        </w:rPr>
        <w:t>。2020年度共向省报批174个项目1,809.36公顷，面积同比增长4%。其中市本级向省报批34个项目588.06公顷，面积同比增长42%。全年共供应土地764宗3,185.90公顷，出让价款163.49亿元，其中市中心城区出让价款53.11亿元，追缴往年土地欠缴出让金近10亿元，全年市本级出让金入库财政71.02亿元。全年清零验收133个依法征收项目，实现腾地2,310.88公顷。全力做好过渡时期项目落地建设的土地利用总体规划及城市总体规划的优化完善工作，完成省级权限调规项目58个，市级权限调规项目182个。</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14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争资争项卓有成效</w:t>
      </w:r>
      <w:r>
        <w:rPr>
          <w:rFonts w:hint="eastAsia" w:asciiTheme="minorEastAsia" w:hAnsiTheme="minorEastAsia" w:eastAsiaTheme="minorEastAsia" w:cstheme="minorEastAsia"/>
          <w:bCs/>
          <w:sz w:val="28"/>
          <w:szCs w:val="28"/>
          <w:highlight w:val="none"/>
          <w:lang w:val="en-US" w:eastAsia="zh-CN"/>
        </w:rPr>
        <w:t>。“东洞庭湖流域山水林田湖草生态修复项目”经省政府审查批准，成功上报自然资源部和财政部项目库，申报总投资20.60亿元，是我省唯一申报中央重点生态保护修复资金项目储备库的项目。全市争取地质灾害防治项目资金8.000.00余万元，土地综合整治项目3个，矿山生态修复项目资金1,000.00余万元。</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14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机构改革持续推进</w:t>
      </w:r>
      <w:r>
        <w:rPr>
          <w:rFonts w:hint="eastAsia" w:asciiTheme="minorEastAsia" w:hAnsiTheme="minorEastAsia" w:eastAsiaTheme="minorEastAsia" w:cstheme="minorEastAsia"/>
          <w:bCs/>
          <w:sz w:val="28"/>
          <w:szCs w:val="28"/>
          <w:highlight w:val="none"/>
          <w:lang w:val="en-US" w:eastAsia="zh-CN"/>
        </w:rPr>
        <w:t>。通过制定完善工作流程和机制，进一步理顺了全市自然资源和规划管理。严格干部选拔任用，一批优秀干部得到提拔重用，部分岗位得到轮岗、消超，系统干部队伍结构进一步优化，活力进一步增强。同时，全力配合，主动协调，做好了3个区级分局的下放、2个事业单位改制工作，对执法机构进行了初步整合，持续释放了机构改革综合效应。</w:t>
      </w:r>
    </w:p>
    <w:p>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560" w:leftChars="0" w:firstLine="0" w:firstLineChars="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扎实推进重大工作</w:t>
      </w:r>
    </w:p>
    <w:p>
      <w:pPr>
        <w:keepNext w:val="0"/>
        <w:keepLines w:val="0"/>
        <w:pageBreakBefore w:val="0"/>
        <w:widowControl w:val="0"/>
        <w:numPr>
          <w:ilvl w:val="0"/>
          <w:numId w:val="8"/>
        </w:numPr>
        <w:kinsoku/>
        <w:wordWrap/>
        <w:overflowPunct/>
        <w:topLinePunct w:val="0"/>
        <w:autoSpaceDE/>
        <w:autoSpaceDN/>
        <w:bidi w:val="0"/>
        <w:adjustRightInd/>
        <w:snapToGrid/>
        <w:spacing w:line="520" w:lineRule="exact"/>
        <w:ind w:left="7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精心编制国土空间规划</w:t>
      </w:r>
      <w:r>
        <w:rPr>
          <w:rFonts w:hint="eastAsia" w:asciiTheme="minorEastAsia" w:hAnsiTheme="minorEastAsia" w:eastAsiaTheme="minorEastAsia" w:cstheme="minorEastAsia"/>
          <w:bCs/>
          <w:sz w:val="28"/>
          <w:szCs w:val="28"/>
          <w:highlight w:val="none"/>
          <w:lang w:val="en-US" w:eastAsia="zh-CN"/>
        </w:rPr>
        <w:t>。全市模拟调整优化了2.8万亩的基本农田保护线，形成了国土空间规划大纲年度成果、山体水体保护规划阶段性成果、生态红线划定和城镇开发边界拟定技术成果，总体城市设计、综合交通体系规划形成方案，“十大”专题报告完成专家审查并形成成果。全面完成100个村庄规划试点、“一湖两岸”城市设计、主城区综合治堵规划等。</w:t>
      </w:r>
    </w:p>
    <w:p>
      <w:pPr>
        <w:keepNext w:val="0"/>
        <w:keepLines w:val="0"/>
        <w:pageBreakBefore w:val="0"/>
        <w:widowControl w:val="0"/>
        <w:numPr>
          <w:ilvl w:val="0"/>
          <w:numId w:val="8"/>
        </w:numPr>
        <w:kinsoku/>
        <w:wordWrap/>
        <w:overflowPunct/>
        <w:topLinePunct w:val="0"/>
        <w:autoSpaceDE/>
        <w:autoSpaceDN/>
        <w:bidi w:val="0"/>
        <w:adjustRightInd/>
        <w:snapToGrid/>
        <w:spacing w:line="520" w:lineRule="exact"/>
        <w:ind w:left="7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大力强化土地管理</w:t>
      </w:r>
      <w:r>
        <w:rPr>
          <w:rFonts w:hint="eastAsia" w:asciiTheme="minorEastAsia" w:hAnsiTheme="minorEastAsia" w:eastAsiaTheme="minorEastAsia" w:cstheme="minorEastAsia"/>
          <w:bCs/>
          <w:sz w:val="28"/>
          <w:szCs w:val="28"/>
          <w:highlight w:val="none"/>
          <w:lang w:val="en-US" w:eastAsia="zh-CN"/>
        </w:rPr>
        <w:t>。坚持把“月清三地”作为土地管理的重中之重，积极解决土地粗放利用状况和建设用地低效闲置现象，全年全市完成闲置土地处置面积985.38公顷，处置率为76.93%，完成批而未供土地处置面积1,182.30公顷，处置率为61.34%，均达到省厅50%考核标准；近4年供地率全面达标。“月清三地”工作受到省通报表彰。</w:t>
      </w:r>
    </w:p>
    <w:p>
      <w:pPr>
        <w:keepNext w:val="0"/>
        <w:keepLines w:val="0"/>
        <w:pageBreakBefore w:val="0"/>
        <w:widowControl w:val="0"/>
        <w:numPr>
          <w:ilvl w:val="0"/>
          <w:numId w:val="8"/>
        </w:numPr>
        <w:kinsoku/>
        <w:wordWrap/>
        <w:overflowPunct/>
        <w:topLinePunct w:val="0"/>
        <w:autoSpaceDE/>
        <w:autoSpaceDN/>
        <w:bidi w:val="0"/>
        <w:adjustRightInd/>
        <w:snapToGrid/>
        <w:spacing w:line="520" w:lineRule="exact"/>
        <w:ind w:left="7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严格管护自然资源</w:t>
      </w:r>
      <w:r>
        <w:rPr>
          <w:rFonts w:hint="eastAsia" w:asciiTheme="minorEastAsia" w:hAnsiTheme="minorEastAsia" w:eastAsiaTheme="minorEastAsia" w:cstheme="minorEastAsia"/>
          <w:bCs/>
          <w:sz w:val="28"/>
          <w:szCs w:val="28"/>
          <w:highlight w:val="none"/>
          <w:lang w:val="en-US" w:eastAsia="zh-CN"/>
        </w:rPr>
        <w:t>。全力做好耕地数量、质量、生态“三位一体”保护、管控和建设，牢牢守住了耕地保护红线。全年确认耕地开发项目86个2,510.92公顷，确认增减挂钩指标1,897.00公顷。严格管理矿产资源，完成砂石土矿专项规划编制，切实做好自然保护地采矿权退出工作，4个省级发证矿山签订关闭协议2个；4个市级发证矿山已全部退出注销；7个县级发证矿山注销5个。绿色矿山建设有力推进，24家矿山完成了绿色矿山建设方案的编制和评审，新增3家省级绿色矿山。</w:t>
      </w:r>
    </w:p>
    <w:p>
      <w:pPr>
        <w:keepNext w:val="0"/>
        <w:keepLines w:val="0"/>
        <w:pageBreakBefore w:val="0"/>
        <w:widowControl w:val="0"/>
        <w:numPr>
          <w:ilvl w:val="0"/>
          <w:numId w:val="8"/>
        </w:numPr>
        <w:kinsoku/>
        <w:wordWrap/>
        <w:overflowPunct/>
        <w:topLinePunct w:val="0"/>
        <w:autoSpaceDE/>
        <w:autoSpaceDN/>
        <w:bidi w:val="0"/>
        <w:adjustRightInd/>
        <w:snapToGrid/>
        <w:spacing w:line="520" w:lineRule="exact"/>
        <w:ind w:left="7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稳步推进生态保护与修复</w:t>
      </w:r>
      <w:r>
        <w:rPr>
          <w:rFonts w:hint="eastAsia" w:asciiTheme="minorEastAsia" w:hAnsiTheme="minorEastAsia" w:eastAsiaTheme="minorEastAsia" w:cstheme="minorEastAsia"/>
          <w:bCs/>
          <w:sz w:val="28"/>
          <w:szCs w:val="28"/>
          <w:highlight w:val="none"/>
          <w:lang w:val="en-US" w:eastAsia="zh-CN"/>
        </w:rPr>
        <w:t>。自觉担牢担实“守护好一江碧水”历史责任，修复长江经济带废弃露天矿山133个，面积476.27公顷，全面完成省定任务。</w:t>
      </w:r>
    </w:p>
    <w:p>
      <w:pPr>
        <w:keepNext w:val="0"/>
        <w:keepLines w:val="0"/>
        <w:pageBreakBefore w:val="0"/>
        <w:widowControl w:val="0"/>
        <w:numPr>
          <w:ilvl w:val="0"/>
          <w:numId w:val="8"/>
        </w:numPr>
        <w:kinsoku/>
        <w:wordWrap/>
        <w:overflowPunct/>
        <w:topLinePunct w:val="0"/>
        <w:autoSpaceDE/>
        <w:autoSpaceDN/>
        <w:bidi w:val="0"/>
        <w:adjustRightInd/>
        <w:snapToGrid/>
        <w:spacing w:line="520" w:lineRule="exact"/>
        <w:ind w:left="7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高质量完成“三调工作</w:t>
      </w:r>
      <w:r>
        <w:rPr>
          <w:rFonts w:hint="eastAsia" w:asciiTheme="minorEastAsia" w:hAnsiTheme="minorEastAsia" w:eastAsiaTheme="minorEastAsia" w:cstheme="minorEastAsia"/>
          <w:bCs/>
          <w:sz w:val="28"/>
          <w:szCs w:val="28"/>
          <w:highlight w:val="none"/>
          <w:lang w:val="en-US" w:eastAsia="zh-CN"/>
        </w:rPr>
        <w:t>”。完成了初始调查成果的整改和完善、“三调”统一时点更新，更新成果作为全省第一批成果上报国家核查，并全部顺利通过国家级内业核查。</w:t>
      </w:r>
    </w:p>
    <w:p>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560" w:leftChars="0" w:firstLine="0" w:firstLineChars="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用心用情服务群众</w:t>
      </w:r>
    </w:p>
    <w:p>
      <w:pPr>
        <w:keepNext w:val="0"/>
        <w:keepLines w:val="0"/>
        <w:pageBreakBefore w:val="0"/>
        <w:widowControl w:val="0"/>
        <w:numPr>
          <w:ilvl w:val="0"/>
          <w:numId w:val="9"/>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地质灾害有效防治</w:t>
      </w:r>
      <w:r>
        <w:rPr>
          <w:rFonts w:hint="eastAsia" w:asciiTheme="minorEastAsia" w:hAnsiTheme="minorEastAsia" w:eastAsiaTheme="minorEastAsia" w:cstheme="minorEastAsia"/>
          <w:bCs/>
          <w:sz w:val="28"/>
          <w:szCs w:val="28"/>
          <w:highlight w:val="none"/>
          <w:lang w:val="en-US" w:eastAsia="zh-CN"/>
        </w:rPr>
        <w:t>。坚决落实防灾减灾责任，坚持技防与人防相结合，全市地质灾害隐患点持续保持“零死亡”，有力保障了群众生命财产安全。</w:t>
      </w:r>
    </w:p>
    <w:p>
      <w:pPr>
        <w:keepNext w:val="0"/>
        <w:keepLines w:val="0"/>
        <w:pageBreakBefore w:val="0"/>
        <w:widowControl w:val="0"/>
        <w:numPr>
          <w:ilvl w:val="0"/>
          <w:numId w:val="9"/>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“最多跑一次”改革成效显著</w:t>
      </w:r>
      <w:r>
        <w:rPr>
          <w:rFonts w:hint="eastAsia" w:asciiTheme="minorEastAsia" w:hAnsiTheme="minorEastAsia" w:eastAsiaTheme="minorEastAsia" w:cstheme="minorEastAsia"/>
          <w:bCs/>
          <w:sz w:val="28"/>
          <w:szCs w:val="28"/>
          <w:highlight w:val="none"/>
          <w:lang w:val="en-US" w:eastAsia="zh-CN"/>
        </w:rPr>
        <w:t>。疫情期间坚守窗口，积极落实工程建设项目审批制度改革的各项措施，为企业群众提供了优质高效服务；认真落实市委“最多跑一次”、优化营商环境专项巡察整改，18项整改问题，销号17项，建议移交1项；打通“互联网+不动产登记”，建设完成不动产登记综合平台，做到“信息多跑路、群众少跑腿”；整合窗口、加速提速，不动产登记60分钟出证办理业务5000多笔，成功试点“交房即交证”“交地即交证”改革；全面开放测绘市场，启用“多测合一”信息平台，完成工程验收阶段“多测合一”改革，测量时间从35天缩减到16天，费用同比减少46.7%。</w:t>
      </w:r>
    </w:p>
    <w:p>
      <w:pPr>
        <w:keepNext w:val="0"/>
        <w:keepLines w:val="0"/>
        <w:pageBreakBefore w:val="0"/>
        <w:widowControl w:val="0"/>
        <w:numPr>
          <w:ilvl w:val="0"/>
          <w:numId w:val="9"/>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脱贫攻坚圆满完成</w:t>
      </w:r>
      <w:r>
        <w:rPr>
          <w:rFonts w:hint="eastAsia" w:asciiTheme="minorEastAsia" w:hAnsiTheme="minorEastAsia" w:eastAsiaTheme="minorEastAsia" w:cstheme="minorEastAsia"/>
          <w:bCs/>
          <w:sz w:val="28"/>
          <w:szCs w:val="28"/>
          <w:highlight w:val="none"/>
          <w:lang w:val="en-US" w:eastAsia="zh-CN"/>
        </w:rPr>
        <w:t>。全系统结对帮扶的贫困村全部成功摘帽；认真履行督查责任，督查到位14个村，并协调解决了一批问题；切实做好行业扶贫工作，抓好了异地扶贫搬迁后续拆旧复垦、确权登记等扶持工作，顺利通过国检和省检。</w:t>
      </w:r>
    </w:p>
    <w:p>
      <w:pPr>
        <w:keepNext w:val="0"/>
        <w:keepLines w:val="0"/>
        <w:pageBreakBefore w:val="0"/>
        <w:widowControl w:val="0"/>
        <w:numPr>
          <w:ilvl w:val="0"/>
          <w:numId w:val="9"/>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农村宅基地和集体建设用地房地一体确权登记全面完成</w:t>
      </w:r>
      <w:r>
        <w:rPr>
          <w:rFonts w:hint="eastAsia" w:asciiTheme="minorEastAsia" w:hAnsiTheme="minorEastAsia" w:eastAsiaTheme="minorEastAsia" w:cstheme="minorEastAsia"/>
          <w:bCs/>
          <w:sz w:val="28"/>
          <w:szCs w:val="28"/>
          <w:highlight w:val="none"/>
          <w:lang w:val="en-US" w:eastAsia="zh-CN"/>
        </w:rPr>
        <w:t>。全市共确权登记63万宗，100%完成任务，是全省提前100%完成任务的三个市州之一。</w:t>
      </w:r>
    </w:p>
    <w:p>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560" w:leftChars="0" w:firstLine="0" w:firstLineChars="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聚焦难点奋力攻坚</w:t>
      </w:r>
    </w:p>
    <w:p>
      <w:pPr>
        <w:keepNext w:val="0"/>
        <w:keepLines w:val="0"/>
        <w:pageBreakBefore w:val="0"/>
        <w:widowControl w:val="0"/>
        <w:numPr>
          <w:ilvl w:val="0"/>
          <w:numId w:val="1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违法用地形势明显好转</w:t>
      </w:r>
      <w:r>
        <w:rPr>
          <w:rFonts w:hint="eastAsia" w:asciiTheme="minorEastAsia" w:hAnsiTheme="minorEastAsia" w:eastAsiaTheme="minorEastAsia" w:cstheme="minorEastAsia"/>
          <w:bCs/>
          <w:sz w:val="28"/>
          <w:szCs w:val="28"/>
          <w:highlight w:val="none"/>
          <w:lang w:val="en-US" w:eastAsia="zh-CN"/>
        </w:rPr>
        <w:t>。持续保持高压态势，违法用地秩序好转，违法占用耕地面积比例较低。全市月度卫片执法161个问题整改到位137个，整改到位率85.09%，全省居前，市本级及各县市区均无被约谈问责情况；全市共下发月清违法用地76宗，均达到月清标准，月清率100%；全市共确认上报的24宗210栋违建别墅项目全部核销；共整改耕地保护督察问题698个,到位率99.29%。同时，还完成了农村乱占耕地建房问题摸排及上报等工作。</w:t>
      </w:r>
    </w:p>
    <w:p>
      <w:pPr>
        <w:keepNext w:val="0"/>
        <w:keepLines w:val="0"/>
        <w:pageBreakBefore w:val="0"/>
        <w:widowControl w:val="0"/>
        <w:numPr>
          <w:ilvl w:val="0"/>
          <w:numId w:val="1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禁拆治违工作强力推进</w:t>
      </w:r>
      <w:r>
        <w:rPr>
          <w:rFonts w:hint="eastAsia" w:asciiTheme="minorEastAsia" w:hAnsiTheme="minorEastAsia" w:eastAsiaTheme="minorEastAsia" w:cstheme="minorEastAsia"/>
          <w:bCs/>
          <w:sz w:val="28"/>
          <w:szCs w:val="28"/>
          <w:highlight w:val="none"/>
          <w:lang w:val="en-US" w:eastAsia="zh-CN"/>
        </w:rPr>
        <w:t>。积极营造良好居住环境，着力提升城市品质，大力开展中心城区违法建设集中整治行动。全年中心城区共拆违2858处40.35万平方米，有力促进城区人居环境的提升改善。</w:t>
      </w:r>
    </w:p>
    <w:p>
      <w:pPr>
        <w:keepNext w:val="0"/>
        <w:keepLines w:val="0"/>
        <w:pageBreakBefore w:val="0"/>
        <w:widowControl w:val="0"/>
        <w:numPr>
          <w:ilvl w:val="0"/>
          <w:numId w:val="1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房地产信访问题得到有效化解</w:t>
      </w:r>
      <w:r>
        <w:rPr>
          <w:rFonts w:hint="eastAsia" w:asciiTheme="minorEastAsia" w:hAnsiTheme="minorEastAsia" w:eastAsiaTheme="minorEastAsia" w:cstheme="minorEastAsia"/>
          <w:bCs/>
          <w:sz w:val="28"/>
          <w:szCs w:val="28"/>
          <w:highlight w:val="none"/>
          <w:lang w:val="en-US" w:eastAsia="zh-CN"/>
        </w:rPr>
        <w:t>。用心用情用力做好信访工作，依法依规解决群众合理诉求。全年接待群众来信来访53件390余人次，国家、部、省交办转办件79件，所有来信来访及时答复办理，100%办结。按照“依法依规、民生优先、实事求是、分类施策、标准兼治”原则，大力推进集中化解房地产办证信访突出问题专项行动。全市纳入77个楼盘，化解39个，化解率50.65%，完成省定30%化解率目标，有效维护了购房群众合法权益和社会稳定。</w:t>
      </w:r>
    </w:p>
    <w:p>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560" w:leftChars="0" w:firstLine="0" w:firstLineChars="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党的建设全面加强</w:t>
      </w:r>
    </w:p>
    <w:p>
      <w:pPr>
        <w:keepNext w:val="0"/>
        <w:keepLines w:val="0"/>
        <w:pageBreakBefore w:val="0"/>
        <w:widowControl w:val="0"/>
        <w:numPr>
          <w:ilvl w:val="0"/>
          <w:numId w:val="11"/>
        </w:numPr>
        <w:kinsoku/>
        <w:wordWrap/>
        <w:overflowPunct/>
        <w:topLinePunct w:val="0"/>
        <w:autoSpaceDE/>
        <w:autoSpaceDN/>
        <w:bidi w:val="0"/>
        <w:adjustRightInd/>
        <w:snapToGrid/>
        <w:spacing w:line="520" w:lineRule="exact"/>
        <w:ind w:left="7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坚决站稳政治立场</w:t>
      </w:r>
      <w:r>
        <w:rPr>
          <w:rFonts w:hint="eastAsia" w:asciiTheme="minorEastAsia" w:hAnsiTheme="minorEastAsia" w:eastAsiaTheme="minorEastAsia" w:cstheme="minorEastAsia"/>
          <w:bCs/>
          <w:sz w:val="28"/>
          <w:szCs w:val="28"/>
          <w:highlight w:val="none"/>
          <w:lang w:val="en-US" w:eastAsia="zh-CN"/>
        </w:rPr>
        <w:t>。定期开展局党组中心组集中学习活动，局党组班子会学理论、学政策、学法规成为“规定动作”，全年组织党组理论学习和中心组集中（扩大）学习共17次，推动了习近平新时代中国特色社会主义思想见学习、见行动。</w:t>
      </w:r>
    </w:p>
    <w:p>
      <w:pPr>
        <w:keepNext w:val="0"/>
        <w:keepLines w:val="0"/>
        <w:pageBreakBefore w:val="0"/>
        <w:widowControl w:val="0"/>
        <w:numPr>
          <w:ilvl w:val="0"/>
          <w:numId w:val="11"/>
        </w:numPr>
        <w:kinsoku/>
        <w:wordWrap/>
        <w:overflowPunct/>
        <w:topLinePunct w:val="0"/>
        <w:autoSpaceDE/>
        <w:autoSpaceDN/>
        <w:bidi w:val="0"/>
        <w:adjustRightInd/>
        <w:snapToGrid/>
        <w:spacing w:line="520" w:lineRule="exact"/>
        <w:ind w:left="7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坚决担牢党建责任</w:t>
      </w:r>
      <w:r>
        <w:rPr>
          <w:rFonts w:hint="eastAsia" w:asciiTheme="minorEastAsia" w:hAnsiTheme="minorEastAsia" w:eastAsiaTheme="minorEastAsia" w:cstheme="minorEastAsia"/>
          <w:bCs/>
          <w:sz w:val="28"/>
          <w:szCs w:val="28"/>
          <w:highlight w:val="none"/>
          <w:lang w:val="en-US" w:eastAsia="zh-CN"/>
        </w:rPr>
        <w:t>。严格落实“一岗双责”，坚持党建工作与业务工作一同部署、一同落实。局班子成员在抓好分管工作的同时，还切实抓好分管和联点单位的党建工作，构建了层层推进、环环相扣的党建责任体系。严格落实“三会一课”制度，深入开展了批评和自我批评；严格落实民主集中制，在“三重一大”等事项决策上充分听取意见，形成了会前沟通商量、会上集体研究、会后全力执行的良好氛围。</w:t>
      </w:r>
    </w:p>
    <w:p>
      <w:pPr>
        <w:keepNext w:val="0"/>
        <w:keepLines w:val="0"/>
        <w:pageBreakBefore w:val="0"/>
        <w:widowControl w:val="0"/>
        <w:numPr>
          <w:ilvl w:val="0"/>
          <w:numId w:val="11"/>
        </w:numPr>
        <w:kinsoku/>
        <w:wordWrap/>
        <w:overflowPunct/>
        <w:topLinePunct w:val="0"/>
        <w:autoSpaceDE/>
        <w:autoSpaceDN/>
        <w:bidi w:val="0"/>
        <w:adjustRightInd/>
        <w:snapToGrid/>
        <w:spacing w:line="520" w:lineRule="exact"/>
        <w:ind w:left="7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坚决落实廉政责任</w:t>
      </w:r>
      <w:r>
        <w:rPr>
          <w:rFonts w:hint="eastAsia" w:asciiTheme="minorEastAsia" w:hAnsiTheme="minorEastAsia" w:eastAsiaTheme="minorEastAsia" w:cstheme="minorEastAsia"/>
          <w:bCs/>
          <w:sz w:val="28"/>
          <w:szCs w:val="28"/>
          <w:highlight w:val="none"/>
          <w:lang w:val="en-US" w:eastAsia="zh-CN"/>
        </w:rPr>
        <w:t>。切实履行党风廉政建设主体责任和“一岗双责”，深入开展廉政风险排查防控，做到关键岗位和重点环节排查到位，针对性地制定切实管用、操作性强的防控措施。坚持挺纪在前，开展廉政谈心谈话40人次，作风监督检查10余次，处分违纪人员6人。狠抓廉政教育，筑牢反腐防线，让党员干部知敬畏、存戒惧、守底线。</w:t>
      </w:r>
    </w:p>
    <w:p>
      <w:pPr>
        <w:keepNext w:val="0"/>
        <w:keepLines w:val="0"/>
        <w:pageBreakBefore w:val="0"/>
        <w:widowControl w:val="0"/>
        <w:numPr>
          <w:ilvl w:val="0"/>
          <w:numId w:val="11"/>
        </w:numPr>
        <w:kinsoku/>
        <w:wordWrap/>
        <w:overflowPunct/>
        <w:topLinePunct w:val="0"/>
        <w:autoSpaceDE/>
        <w:autoSpaceDN/>
        <w:bidi w:val="0"/>
        <w:adjustRightInd/>
        <w:snapToGrid/>
        <w:spacing w:line="520" w:lineRule="exact"/>
        <w:ind w:left="70" w:leftChars="0" w:firstLine="560" w:firstLineChars="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坚决守住思想阵地</w:t>
      </w:r>
      <w:r>
        <w:rPr>
          <w:rFonts w:hint="eastAsia" w:asciiTheme="minorEastAsia" w:hAnsiTheme="minorEastAsia" w:eastAsiaTheme="minorEastAsia" w:cstheme="minorEastAsia"/>
          <w:bCs/>
          <w:sz w:val="28"/>
          <w:szCs w:val="28"/>
          <w:highlight w:val="none"/>
          <w:lang w:val="en-US" w:eastAsia="zh-CN"/>
        </w:rPr>
        <w:t>。坚持把维护意识形态安全作为重要使命，研究出台意识形态责任制和突发重大网络舆情应急处置预案，制定《网络媒体管理办法》，成立70名干部职工组成的网评员队伍。微宣讲短视频《众志成诚、同心抗疫》获市委宣传部优胜奖，全系统工作多次被中央、省市重要媒体宣传报道，全年网络、报刊等未出现负面新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六、存在的主要问题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基本支出预算编制科学性、合理性有待提高。如：保障机关正常运行的办公费、水电费等根据人头标准预算，与实际支出相差较大，不能满足实际需要，无法按预算执行。同时一般商品和服务支出预算而其他经费的支出可执行性也不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2、多个项目后期维护保障不足。后续维护缺乏制度保障，无相关经费安排，不利于项目的维护，持续发挥效益。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default"/>
          <w:highlight w:val="none"/>
          <w:lang w:val="en-US" w:eastAsia="zh-CN"/>
        </w:rPr>
      </w:pPr>
      <w:r>
        <w:rPr>
          <w:rFonts w:hint="eastAsia" w:asciiTheme="minorEastAsia" w:hAnsiTheme="minorEastAsia" w:eastAsiaTheme="minorEastAsia" w:cstheme="minorEastAsia"/>
          <w:bCs/>
          <w:sz w:val="28"/>
          <w:szCs w:val="28"/>
          <w:highlight w:val="none"/>
          <w:lang w:val="en-US" w:eastAsia="zh-CN"/>
        </w:rPr>
        <w:t>3、实际在岗人数超编制人数。编委定编65人，实际岗位人数114人（包含借调部分分局和二级机构人员），超编委定编人员，存在占用个别分局和二级机构人力资源的现象。原因：自然资源局机构改革事多、事杂，机关工作人员不够，暂借用个别分局和二级机构工作人员。</w:t>
      </w: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heme="minorEastAsia" w:hAnsiTheme="minorEastAsia" w:eastAsiaTheme="minorEastAsia" w:cstheme="minorEastAsia"/>
          <w:bCs/>
          <w:kern w:val="2"/>
          <w:sz w:val="28"/>
          <w:szCs w:val="28"/>
          <w:highlight w:val="none"/>
          <w:lang w:val="en-US" w:eastAsia="zh-CN" w:bidi="ar-SA"/>
        </w:rPr>
      </w:pPr>
      <w:r>
        <w:rPr>
          <w:rFonts w:hint="eastAsia" w:asciiTheme="minorEastAsia" w:hAnsiTheme="minorEastAsia" w:eastAsiaTheme="minorEastAsia" w:cstheme="minorEastAsia"/>
          <w:bCs/>
          <w:kern w:val="2"/>
          <w:sz w:val="28"/>
          <w:szCs w:val="28"/>
          <w:highlight w:val="none"/>
          <w:lang w:val="en-US" w:eastAsia="zh-CN" w:bidi="ar-SA"/>
        </w:rPr>
        <w:t xml:space="preserve">    4、固定资产更新有待加强。由于原国土局与规划局合并，原固定资产陈旧，有超保质期限的问题，需进行报损处理进行更新。</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kern w:val="2"/>
          <w:sz w:val="28"/>
          <w:szCs w:val="28"/>
          <w:highlight w:val="none"/>
          <w:lang w:val="en-US" w:eastAsia="zh-CN" w:bidi="ar-SA"/>
        </w:rPr>
        <w:t>七、改进措施和</w:t>
      </w:r>
      <w:r>
        <w:rPr>
          <w:rFonts w:hint="eastAsia" w:asciiTheme="minorEastAsia" w:hAnsiTheme="minorEastAsia" w:eastAsiaTheme="minorEastAsia" w:cstheme="minorEastAsia"/>
          <w:b/>
          <w:bCs w:val="0"/>
          <w:sz w:val="28"/>
          <w:szCs w:val="28"/>
          <w:highlight w:val="none"/>
          <w:lang w:val="en-US" w:eastAsia="zh-CN"/>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1、合理编制年度预算。参考上年度预算执行情况和本年度收支预测，制订科学合理的预算标准，将预算支出项目细化，遵循实事求是的原则，进一步提高预算的可执行性。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2、进一步加强资产管理。应对账面固定资产实物进行核查，对历年应收、应付呆账等进行清理、处置,调整账务，夯实资产资金管理基础，摸清资产家底，以最大限度利用好现有资产。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进一步完善项目监管机制。项目立项须严格遵循一切从实际出发的原则，结合工作的必要性、以维护人民群众利益为落脚点。将项目做实，环环守规，节节有矩。项目前期加强预算审核、严格执行政府采购程序，项目中监管实施到位，确保项目的质量效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4、加强预算编制计划性及准确性。定期做好预算支出财务分析，做好部门整体支出评价工作。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八、其他需要说明的问题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无其他需要说明的问题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p>
    <w:p>
      <w:pPr>
        <w:numPr>
          <w:ilvl w:val="0"/>
          <w:numId w:val="0"/>
        </w:numPr>
        <w:spacing w:line="440" w:lineRule="exact"/>
        <w:ind w:firstLine="560" w:firstLineChars="200"/>
        <w:rPr>
          <w:rFonts w:hint="eastAsia" w:ascii="宋体" w:hAnsi="宋体" w:cs="宋体"/>
          <w:bCs/>
          <w:sz w:val="28"/>
          <w:szCs w:val="28"/>
          <w:highlight w:val="none"/>
          <w:lang w:val="en-US" w:eastAsia="zh-CN"/>
        </w:rPr>
      </w:pPr>
      <w:r>
        <w:rPr>
          <w:rFonts w:hint="eastAsia" w:ascii="宋体" w:hAnsi="宋体" w:cs="宋体"/>
          <w:bCs/>
          <w:sz w:val="28"/>
          <w:szCs w:val="28"/>
          <w:highlight w:val="none"/>
          <w:lang w:val="en-US" w:eastAsia="zh-CN"/>
        </w:rPr>
        <w:t>附件：绩效评价通知</w:t>
      </w:r>
    </w:p>
    <w:p>
      <w:pPr>
        <w:pStyle w:val="2"/>
        <w:rPr>
          <w:rFonts w:hint="default"/>
          <w:lang w:val="en-US" w:eastAsia="zh-CN"/>
        </w:rPr>
      </w:pPr>
      <w:r>
        <w:rPr>
          <w:rFonts w:hint="eastAsia" w:ascii="宋体" w:hAnsi="宋体" w:cs="宋体"/>
          <w:bCs/>
          <w:sz w:val="28"/>
          <w:szCs w:val="28"/>
          <w:highlight w:val="none"/>
          <w:lang w:val="en-US" w:eastAsia="zh-CN"/>
        </w:rPr>
        <w:t xml:space="preserve">          市自然资源和规划局机关整体支出绩效评价评分表</w:t>
      </w: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r>
        <w:rPr>
          <w:rFonts w:hint="default" w:ascii="宋体" w:hAnsi="宋体" w:cs="宋体"/>
          <w:bCs/>
          <w:sz w:val="28"/>
          <w:szCs w:val="28"/>
          <w:highlight w:val="none"/>
          <w:lang w:val="en-US" w:eastAsia="zh-CN"/>
        </w:rPr>
        <w:t>湖南恒兴联合                 中国注册会计师:</w:t>
      </w: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r>
        <w:rPr>
          <w:rFonts w:hint="default" w:ascii="宋体" w:hAnsi="宋体" w:cs="宋体"/>
          <w:bCs/>
          <w:sz w:val="28"/>
          <w:szCs w:val="28"/>
          <w:highlight w:val="none"/>
          <w:lang w:val="en-US" w:eastAsia="zh-CN"/>
        </w:rPr>
        <w:t>会计师事务所                 中国注册会计师：</w:t>
      </w: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r>
        <w:rPr>
          <w:rFonts w:hint="default" w:ascii="宋体" w:hAnsi="宋体" w:cs="宋体"/>
          <w:bCs/>
          <w:sz w:val="28"/>
          <w:szCs w:val="28"/>
          <w:highlight w:val="none"/>
          <w:lang w:val="en-US" w:eastAsia="zh-CN"/>
        </w:rPr>
        <w:t>湖南.岳阳                   二〇二〇年六月二十日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宋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22A1EB"/>
    <w:multiLevelType w:val="singleLevel"/>
    <w:tmpl w:val="9322A1EB"/>
    <w:lvl w:ilvl="0" w:tentative="0">
      <w:start w:val="1"/>
      <w:numFmt w:val="decimal"/>
      <w:suff w:val="nothing"/>
      <w:lvlText w:val="%1、"/>
      <w:lvlJc w:val="left"/>
      <w:pPr>
        <w:ind w:left="-140"/>
      </w:pPr>
    </w:lvl>
  </w:abstractNum>
  <w:abstractNum w:abstractNumId="1">
    <w:nsid w:val="B59E1349"/>
    <w:multiLevelType w:val="singleLevel"/>
    <w:tmpl w:val="B59E1349"/>
    <w:lvl w:ilvl="0" w:tentative="0">
      <w:start w:val="1"/>
      <w:numFmt w:val="decimal"/>
      <w:suff w:val="nothing"/>
      <w:lvlText w:val="%1、"/>
      <w:lvlJc w:val="left"/>
    </w:lvl>
  </w:abstractNum>
  <w:abstractNum w:abstractNumId="2">
    <w:nsid w:val="C74226F3"/>
    <w:multiLevelType w:val="singleLevel"/>
    <w:tmpl w:val="C74226F3"/>
    <w:lvl w:ilvl="0" w:tentative="0">
      <w:start w:val="1"/>
      <w:numFmt w:val="decimal"/>
      <w:suff w:val="nothing"/>
      <w:lvlText w:val="%1、"/>
      <w:lvlJc w:val="left"/>
      <w:pPr>
        <w:ind w:left="70"/>
      </w:pPr>
    </w:lvl>
  </w:abstractNum>
  <w:abstractNum w:abstractNumId="3">
    <w:nsid w:val="CBF78070"/>
    <w:multiLevelType w:val="singleLevel"/>
    <w:tmpl w:val="CBF78070"/>
    <w:lvl w:ilvl="0" w:tentative="0">
      <w:start w:val="2"/>
      <w:numFmt w:val="chineseCounting"/>
      <w:suff w:val="nothing"/>
      <w:lvlText w:val="（%1）"/>
      <w:lvlJc w:val="left"/>
      <w:pPr>
        <w:ind w:left="0" w:leftChars="0" w:firstLine="0" w:firstLineChars="0"/>
      </w:pPr>
      <w:rPr>
        <w:rFonts w:hint="eastAsia"/>
      </w:rPr>
    </w:lvl>
  </w:abstractNum>
  <w:abstractNum w:abstractNumId="4">
    <w:nsid w:val="E7679B32"/>
    <w:multiLevelType w:val="singleLevel"/>
    <w:tmpl w:val="E7679B32"/>
    <w:lvl w:ilvl="0" w:tentative="0">
      <w:start w:val="1"/>
      <w:numFmt w:val="decimal"/>
      <w:suff w:val="nothing"/>
      <w:lvlText w:val="%1、"/>
      <w:lvlJc w:val="left"/>
      <w:pPr>
        <w:ind w:left="70"/>
      </w:pPr>
    </w:lvl>
  </w:abstractNum>
  <w:abstractNum w:abstractNumId="5">
    <w:nsid w:val="0229B9FA"/>
    <w:multiLevelType w:val="singleLevel"/>
    <w:tmpl w:val="0229B9FA"/>
    <w:lvl w:ilvl="0" w:tentative="0">
      <w:start w:val="2"/>
      <w:numFmt w:val="decimal"/>
      <w:suff w:val="nothing"/>
      <w:lvlText w:val="%1、"/>
      <w:lvlJc w:val="left"/>
    </w:lvl>
  </w:abstractNum>
  <w:abstractNum w:abstractNumId="6">
    <w:nsid w:val="19CADED2"/>
    <w:multiLevelType w:val="singleLevel"/>
    <w:tmpl w:val="19CADED2"/>
    <w:lvl w:ilvl="0" w:tentative="0">
      <w:start w:val="1"/>
      <w:numFmt w:val="decimal"/>
      <w:suff w:val="nothing"/>
      <w:lvlText w:val="%1、"/>
      <w:lvlJc w:val="left"/>
    </w:lvl>
  </w:abstractNum>
  <w:abstractNum w:abstractNumId="7">
    <w:nsid w:val="34781E92"/>
    <w:multiLevelType w:val="singleLevel"/>
    <w:tmpl w:val="34781E92"/>
    <w:lvl w:ilvl="0" w:tentative="0">
      <w:start w:val="1"/>
      <w:numFmt w:val="decimal"/>
      <w:suff w:val="nothing"/>
      <w:lvlText w:val="%1、"/>
      <w:lvlJc w:val="left"/>
    </w:lvl>
  </w:abstractNum>
  <w:abstractNum w:abstractNumId="8">
    <w:nsid w:val="46C9AC08"/>
    <w:multiLevelType w:val="singleLevel"/>
    <w:tmpl w:val="46C9AC08"/>
    <w:lvl w:ilvl="0" w:tentative="0">
      <w:start w:val="1"/>
      <w:numFmt w:val="decimal"/>
      <w:suff w:val="nothing"/>
      <w:lvlText w:val="（%1）"/>
      <w:lvlJc w:val="left"/>
    </w:lvl>
  </w:abstractNum>
  <w:abstractNum w:abstractNumId="9">
    <w:nsid w:val="5A4B67DD"/>
    <w:multiLevelType w:val="singleLevel"/>
    <w:tmpl w:val="5A4B67DD"/>
    <w:lvl w:ilvl="0" w:tentative="0">
      <w:start w:val="1"/>
      <w:numFmt w:val="chineseCounting"/>
      <w:suff w:val="nothing"/>
      <w:lvlText w:val="（%1）"/>
      <w:lvlJc w:val="left"/>
      <w:pPr>
        <w:ind w:left="560" w:leftChars="0" w:firstLine="0" w:firstLineChars="0"/>
      </w:pPr>
      <w:rPr>
        <w:rFonts w:hint="eastAsia"/>
      </w:rPr>
    </w:lvl>
  </w:abstractNum>
  <w:abstractNum w:abstractNumId="10">
    <w:nsid w:val="7A2B7A44"/>
    <w:multiLevelType w:val="singleLevel"/>
    <w:tmpl w:val="7A2B7A44"/>
    <w:lvl w:ilvl="0" w:tentative="0">
      <w:start w:val="2"/>
      <w:numFmt w:val="chineseCounting"/>
      <w:suff w:val="nothing"/>
      <w:lvlText w:val="（%1）"/>
      <w:lvlJc w:val="left"/>
      <w:pPr>
        <w:ind w:left="630" w:leftChars="0" w:firstLine="0" w:firstLineChars="0"/>
      </w:pPr>
      <w:rPr>
        <w:rFonts w:hint="eastAsia"/>
      </w:rPr>
    </w:lvl>
  </w:abstractNum>
  <w:num w:numId="1">
    <w:abstractNumId w:val="10"/>
  </w:num>
  <w:num w:numId="2">
    <w:abstractNumId w:val="3"/>
  </w:num>
  <w:num w:numId="3">
    <w:abstractNumId w:val="6"/>
  </w:num>
  <w:num w:numId="4">
    <w:abstractNumId w:val="8"/>
  </w:num>
  <w:num w:numId="5">
    <w:abstractNumId w:val="5"/>
  </w:num>
  <w:num w:numId="6">
    <w:abstractNumId w:val="9"/>
  </w:num>
  <w:num w:numId="7">
    <w:abstractNumId w:val="0"/>
  </w:num>
  <w:num w:numId="8">
    <w:abstractNumId w:val="2"/>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7772530"/>
    <w:rsid w:val="0A583B92"/>
    <w:rsid w:val="0ED54E67"/>
    <w:rsid w:val="0EEA7130"/>
    <w:rsid w:val="10260A97"/>
    <w:rsid w:val="1263719A"/>
    <w:rsid w:val="16E52614"/>
    <w:rsid w:val="1A0641EC"/>
    <w:rsid w:val="1A0F4551"/>
    <w:rsid w:val="1A8225F1"/>
    <w:rsid w:val="240E771F"/>
    <w:rsid w:val="24AD7223"/>
    <w:rsid w:val="25286B70"/>
    <w:rsid w:val="25D07DA6"/>
    <w:rsid w:val="2F3B2DA0"/>
    <w:rsid w:val="323B2B8E"/>
    <w:rsid w:val="33A86E90"/>
    <w:rsid w:val="380044D3"/>
    <w:rsid w:val="38BE5ED9"/>
    <w:rsid w:val="4A733183"/>
    <w:rsid w:val="574C19DE"/>
    <w:rsid w:val="58697EF4"/>
    <w:rsid w:val="5ED339EB"/>
    <w:rsid w:val="618636DE"/>
    <w:rsid w:val="628237BE"/>
    <w:rsid w:val="66313984"/>
    <w:rsid w:val="6B790669"/>
    <w:rsid w:val="6F2221F6"/>
    <w:rsid w:val="6F7E103C"/>
    <w:rsid w:val="73176B8B"/>
    <w:rsid w:val="75463AA4"/>
    <w:rsid w:val="78A813DF"/>
    <w:rsid w:val="7CFE5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toc 5"/>
    <w:basedOn w:val="1"/>
    <w:next w:val="1"/>
    <w:qFormat/>
    <w:uiPriority w:val="0"/>
    <w:pPr>
      <w:ind w:left="1680" w:leftChars="800"/>
    </w:pPr>
  </w:style>
  <w:style w:type="paragraph" w:styleId="4">
    <w:name w:val="Body Text Indent"/>
    <w:basedOn w:val="1"/>
    <w:semiHidden/>
    <w:unhideWhenUsed/>
    <w:qFormat/>
    <w:uiPriority w:val="99"/>
    <w:pPr>
      <w:spacing w:after="120"/>
      <w:ind w:left="420" w:leftChars="200"/>
    </w:pPr>
  </w:style>
  <w:style w:type="paragraph" w:styleId="5">
    <w:name w:val="footer"/>
    <w:basedOn w:val="1"/>
    <w:qFormat/>
    <w:uiPriority w:val="0"/>
    <w:pPr>
      <w:tabs>
        <w:tab w:val="center" w:pos="4153"/>
        <w:tab w:val="right" w:pos="8306"/>
      </w:tabs>
      <w:snapToGrid w:val="0"/>
      <w:jc w:val="left"/>
    </w:pPr>
    <w:rPr>
      <w:kern w:val="0"/>
      <w:sz w:val="18"/>
      <w:szCs w:val="18"/>
    </w:rPr>
  </w:style>
  <w:style w:type="paragraph" w:styleId="6">
    <w:name w:val="Body Text First Indent 2"/>
    <w:basedOn w:val="4"/>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2021-06-10T03:41:00Z</dcterms:created>
  <dc:creator>Lenovo</dc:creator>
  <cp:lastModifiedBy>黎红枚</cp:lastModifiedBy>
  <cp:lastPrinted>2021-06-19T03:09:00Z</cp:lastPrinted>
  <dcterms:modified xsi:type="dcterms:W3CDTF">2021-07-01T04:04:13Z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DC8B5FDF0AC04770AC22746187ACD65D</vt:lpwstr>
  </property>
</Properties>
</file>