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岳阳市</w:t>
      </w:r>
      <w:r>
        <w:rPr>
          <w:rFonts w:hint="eastAsia" w:ascii="方正小标宋简体" w:hAnsi="方正小标宋简体" w:eastAsia="方正小标宋简体" w:cs="方正小标宋简体"/>
          <w:b w:val="0"/>
          <w:bCs w:val="0"/>
          <w:color w:val="auto"/>
          <w:sz w:val="44"/>
          <w:szCs w:val="44"/>
          <w:lang w:val="en-US" w:eastAsia="zh-CN"/>
        </w:rPr>
        <w:t>沿湖风光带管理</w:t>
      </w:r>
      <w:r>
        <w:rPr>
          <w:rFonts w:hint="eastAsia" w:ascii="方正小标宋简体" w:hAnsi="方正小标宋简体" w:eastAsia="方正小标宋简体" w:cs="方正小标宋简体"/>
          <w:b w:val="0"/>
          <w:bCs w:val="0"/>
          <w:color w:val="auto"/>
          <w:sz w:val="44"/>
          <w:szCs w:val="44"/>
          <w:lang w:eastAsia="zh-CN"/>
        </w:rPr>
        <w:t>中心</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2020年度部门整体支出绩效评价</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自评报告综述</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一、部门（单位）概况</w:t>
      </w:r>
    </w:p>
    <w:p>
      <w:pPr>
        <w:keepNext w:val="0"/>
        <w:keepLines w:val="0"/>
        <w:pageBreakBefore w:val="0"/>
        <w:kinsoku/>
        <w:wordWrap/>
        <w:overflowPunct/>
        <w:topLinePunct w:val="0"/>
        <w:autoSpaceDE/>
        <w:autoSpaceDN/>
        <w:bidi w:val="0"/>
        <w:adjustRightInd/>
        <w:snapToGrid/>
        <w:spacing w:line="240" w:lineRule="auto"/>
        <w:ind w:firstLine="641"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rPr>
        <w:t>（一）部门（单位）基本情况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仿宋_GB2312" w:hAnsi="仿宋_GB2312" w:eastAsia="仿宋_GB2312" w:cs="仿宋_GB2312"/>
          <w:b/>
          <w:bCs w:val="0"/>
          <w:color w:val="auto"/>
          <w:sz w:val="32"/>
          <w:szCs w:val="32"/>
          <w:lang w:val="en-US" w:eastAsia="zh-CN"/>
        </w:rPr>
        <w:t>1.人员、机构构成</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岳阳市沿湖风光带管理中心是岳阳市城市管理与综合执法局下属全额财政拨款二级机构，事业单位编制。在职全额编制人数9人，实际人数8人。内设综合股、文秘股两个职能股室。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color w:val="auto"/>
          <w:sz w:val="32"/>
          <w:szCs w:val="32"/>
          <w:lang w:val="en-US" w:eastAsia="zh-CN"/>
        </w:rPr>
        <w:t>2.单位主要职责</w:t>
      </w:r>
    </w:p>
    <w:p>
      <w:pPr>
        <w:ind w:firstLine="640" w:firstLineChars="200"/>
        <w:rPr>
          <w:rFonts w:ascii="仿宋_GB2312" w:eastAsia="仿宋_GB2312"/>
          <w:sz w:val="32"/>
          <w:szCs w:val="32"/>
        </w:rPr>
      </w:pPr>
      <w:r>
        <w:rPr>
          <w:rFonts w:hint="eastAsia" w:ascii="仿宋_GB2312" w:eastAsia="仿宋_GB2312"/>
          <w:sz w:val="32"/>
          <w:szCs w:val="32"/>
        </w:rPr>
        <w:t>岳阳市沿湖风光带管理中心主要职能有：负责对相关管理和养护单位的日常工作进行督查和考核。负责沿湖风光带范围内破占道行为和户外广告管理。负责对沿湖风光带范围内违反城市管理法规的行为进行查处。负责沿湖风光带范围内市政设施的维护和管理。负责与岳阳楼景区管委会、海事、交通、堤防、防汛等部门的工作联系和协调。根据园林绿化、环境卫生等行业标准，负责制定沿湖风光带范围内日常管理工作标准及考评细则。</w:t>
      </w:r>
    </w:p>
    <w:p>
      <w:pPr>
        <w:keepNext w:val="0"/>
        <w:keepLines w:val="0"/>
        <w:pageBreakBefore w:val="0"/>
        <w:kinsoku/>
        <w:wordWrap/>
        <w:overflowPunct/>
        <w:topLinePunct w:val="0"/>
        <w:autoSpaceDE/>
        <w:autoSpaceDN/>
        <w:bidi w:val="0"/>
        <w:adjustRightInd/>
        <w:snapToGrid/>
        <w:spacing w:line="240" w:lineRule="auto"/>
        <w:ind w:firstLine="641"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lang w:eastAsia="zh-CN"/>
        </w:rPr>
        <w:t>（二）</w:t>
      </w:r>
      <w:r>
        <w:rPr>
          <w:rFonts w:hint="eastAsia" w:ascii="华文楷体" w:hAnsi="华文楷体" w:eastAsia="华文楷体" w:cs="华文楷体"/>
          <w:b/>
          <w:bCs w:val="0"/>
          <w:color w:val="auto"/>
          <w:sz w:val="32"/>
          <w:szCs w:val="32"/>
        </w:rPr>
        <w:t>部门（单位）整体支出规模、使用方向和主要内容、涉及范围等</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度实际支出283.09万元。其中，基本支出115.65万元，项目支出167.44万元。基本支出主要列支人员工资福利和公用工作经费。项目支出主要列巴陵广场环卫保洁费、绿化维护费、水电音响设施设备维护费、协管员经费、沿湖风光带管理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二、部门（单位）整体支出管理及使用情况</w:t>
      </w:r>
    </w:p>
    <w:p>
      <w:pPr>
        <w:keepNext w:val="0"/>
        <w:keepLines w:val="0"/>
        <w:pageBreakBefore w:val="0"/>
        <w:kinsoku/>
        <w:wordWrap/>
        <w:overflowPunct/>
        <w:topLinePunct w:val="0"/>
        <w:autoSpaceDE/>
        <w:autoSpaceDN/>
        <w:bidi w:val="0"/>
        <w:adjustRightInd/>
        <w:snapToGrid/>
        <w:spacing w:line="240" w:lineRule="auto"/>
        <w:ind w:firstLine="641"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rPr>
        <w:t>（一）基本支出</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2020年度，单位基本支出105.5万元，其中人员支出93.42万元，公用支出12.08万元。本年度公务接待费支出0万元,公务用车运行维护费支出0万元，均控制在预算之内。</w:t>
      </w:r>
    </w:p>
    <w:p>
      <w:pPr>
        <w:spacing w:line="560" w:lineRule="exact"/>
        <w:ind w:firstLine="630" w:firstLineChars="196"/>
        <w:rPr>
          <w:rFonts w:ascii="黑体" w:hAnsi="黑体" w:eastAsia="黑体" w:cs="黑体"/>
          <w:b/>
          <w:bCs/>
          <w:sz w:val="28"/>
          <w:szCs w:val="28"/>
        </w:rPr>
      </w:pPr>
      <w:r>
        <w:rPr>
          <w:rFonts w:hint="eastAsia" w:ascii="楷体" w:hAnsi="楷体" w:eastAsia="楷体" w:cs="Times New Roman"/>
          <w:b/>
          <w:sz w:val="32"/>
          <w:szCs w:val="32"/>
        </w:rPr>
        <w:t>（二）专项支出</w:t>
      </w:r>
    </w:p>
    <w:p>
      <w:pPr>
        <w:spacing w:line="60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1、专项资金安排落实、总投入和实际使用等情况分析。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2020年度项目资金预算179.95万元，项目资金支出187.08万元（上年专项资金结转12.30万元），主要支付本年度巴陵广场绿化维护经费、水电音响设施设备维护费、环卫保洁费、协管员经费、沿湖风光带管理经费。</w:t>
      </w:r>
    </w:p>
    <w:p>
      <w:pPr>
        <w:spacing w:line="60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2、专项资金管理情况分析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结合本单位实际情况修订了</w:t>
      </w:r>
      <w:bookmarkStart w:id="0" w:name="_Toc32445"/>
      <w:r>
        <w:rPr>
          <w:rFonts w:hint="eastAsia" w:ascii="仿宋_GB2312" w:hAnsi="仿宋_GB2312" w:eastAsia="仿宋_GB2312" w:cs="仿宋_GB2312"/>
          <w:bCs/>
          <w:sz w:val="32"/>
          <w:szCs w:val="32"/>
        </w:rPr>
        <w:t>内控管理制度，依据《预算业务管理制度》、《政府采购业务管理制度》</w:t>
      </w:r>
      <w:bookmarkEnd w:id="0"/>
      <w:r>
        <w:rPr>
          <w:rFonts w:hint="eastAsia" w:ascii="仿宋_GB2312" w:hAnsi="仿宋_GB2312" w:eastAsia="仿宋_GB2312" w:cs="仿宋_GB2312"/>
          <w:bCs/>
          <w:sz w:val="32"/>
          <w:szCs w:val="32"/>
        </w:rPr>
        <w:t>，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三、部门（单位）专项组织实施情况</w:t>
      </w:r>
    </w:p>
    <w:p>
      <w:pPr>
        <w:spacing w:line="60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（一）专项组织情况分析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主要专项是环卫保洁费、绿化维护费、协管员经费及水电音响设施设备维护费支出项目。对巴陵广场和沿湖路管理进行专业化、精细化管理，巴陵广场环卫保洁承包给了市环卫局，协管员都与劳务派遣签订了合同并缴纳五金，广场绿化请了专业的绿化工人进行打理。</w:t>
      </w:r>
    </w:p>
    <w:p>
      <w:pPr>
        <w:spacing w:line="60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（二）专项管理情况分析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位进一步修订了《财务管理制度》、《管理考评实施方案》等4项工作制度，严格按照年初预算针对管理项目的具体情况，合理安排资金，使有限的资金发挥出最大效能，切实改善巴陵广场和沿湖路环境。工作中不断创新污染源监管手段，探索沿湖路污染源监管的源头化管理、智能化监管和社会化监督的新模式。搭建了“沿湖路路面污染联防”微信群，将沿湖路沿线工地、码头、水泥搅拌厂等污染源进行了智能化监管和社会化监督，使沿湖路路面污染现象明显减少。另外，单位投入5.1万元在巴陵广场配置了监控设备一套，对广场进行全方位全时段视频录像，广场安全配套设施全面升级，市民安全感进一步提升。同时开展市民满意度调查，不断强化本单位职能部门和服务单位的服务意识。</w:t>
      </w:r>
    </w:p>
    <w:p>
      <w:pPr>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eastAsia="zh-CN"/>
        </w:rPr>
        <w:t>　</w:t>
      </w:r>
      <w:r>
        <w:rPr>
          <w:rFonts w:hint="eastAsia" w:ascii="黑体" w:hAnsi="黑体" w:eastAsia="黑体" w:cs="黑体"/>
          <w:color w:val="auto"/>
          <w:sz w:val="32"/>
          <w:szCs w:val="32"/>
          <w:lang w:eastAsia="zh-CN"/>
        </w:rPr>
        <w:t>　四、</w:t>
      </w:r>
      <w:r>
        <w:rPr>
          <w:rFonts w:hint="eastAsia" w:ascii="黑体" w:hAnsi="黑体" w:eastAsia="黑体" w:cs="黑体"/>
          <w:color w:val="auto"/>
          <w:sz w:val="32"/>
          <w:szCs w:val="32"/>
        </w:rPr>
        <w:t>部门（单位）整体支出绩效情况</w:t>
      </w:r>
    </w:p>
    <w:p>
      <w:pPr>
        <w:spacing w:line="600" w:lineRule="exact"/>
        <w:ind w:firstLine="643" w:firstLineChars="200"/>
        <w:rPr>
          <w:rFonts w:ascii="仿宋_GB2312" w:hAnsi="仿宋_GB2312" w:eastAsia="仿宋_GB2312" w:cs="仿宋_GB2312"/>
          <w:bCs/>
          <w:sz w:val="32"/>
          <w:szCs w:val="32"/>
        </w:rPr>
      </w:pPr>
      <w:r>
        <w:rPr>
          <w:rFonts w:hint="eastAsia" w:ascii="楷体" w:hAnsi="楷体" w:eastAsia="楷体" w:cs="Times New Roman"/>
          <w:b/>
          <w:sz w:val="32"/>
          <w:szCs w:val="32"/>
        </w:rPr>
        <w:t>（一）持之以恒抓服务，公共秩序更加有序。一是</w:t>
      </w:r>
      <w:r>
        <w:rPr>
          <w:rFonts w:hint="eastAsia" w:ascii="仿宋_GB2312" w:hAnsi="仿宋_GB2312" w:eastAsia="仿宋_GB2312" w:cs="仿宋_GB2312"/>
          <w:bCs/>
          <w:sz w:val="32"/>
          <w:szCs w:val="32"/>
        </w:rPr>
        <w:t>应急处置妥善高效。在实行24小时无间隙管理的基础上，成立以中心领导班子和精干力量组成的应急队伍，快速妥善处置了洞庭湖水暴涨，淹没广场、绿地，社会车辆意外损毁广场设施等各类突发事件。特别是新冠疫情期间，实行定人定时定点消杀制度，对巴陵广场内的公共设施，进行全面消杀；对废弃口罩等特殊有害垃圾进行单独收集；督促保洁责任单位单独及时清运，全面、精细清扫巴陵广场和沿湖路，定时冲洗巴陵广场；严格落实人员监测排查；利用宣传栏、电子屏、广播开展抗疫宣传；组织队员劝导市民游客保持距离等措施，有效确保了中心范围内的安全、稳定。</w:t>
      </w:r>
      <w:r>
        <w:rPr>
          <w:rFonts w:hint="eastAsia" w:ascii="楷体" w:hAnsi="楷体" w:eastAsia="楷体" w:cs="Times New Roman"/>
          <w:b/>
          <w:sz w:val="32"/>
          <w:szCs w:val="32"/>
        </w:rPr>
        <w:t>二是</w:t>
      </w:r>
      <w:r>
        <w:rPr>
          <w:rFonts w:hint="eastAsia" w:ascii="仿宋_GB2312" w:hAnsi="仿宋_GB2312" w:eastAsia="仿宋_GB2312" w:cs="仿宋_GB2312"/>
          <w:bCs/>
          <w:sz w:val="32"/>
          <w:szCs w:val="32"/>
        </w:rPr>
        <w:t>市民活动规范有序。广场上市民群体性活动较多，活动群体与周边市民因噪声容易产生争执，甚至不同活动群体相互之间也会产生摩擦，为此，我中心召集活动组织者进行反复沟通和协调，并制定了相关的工作措施，规范活动区域、活动时间和活动时的音量。逐步增加夜间值班队员，加大巡查力度，发现突发问题及时处置。通过这些努力，使广场上健身的市民和周边居民更加融洽。</w:t>
      </w:r>
      <w:r>
        <w:rPr>
          <w:rFonts w:hint="eastAsia" w:ascii="楷体" w:hAnsi="楷体" w:eastAsia="楷体" w:cs="Times New Roman"/>
          <w:b/>
          <w:sz w:val="32"/>
          <w:szCs w:val="32"/>
        </w:rPr>
        <w:t>三是</w:t>
      </w:r>
      <w:r>
        <w:rPr>
          <w:rFonts w:hint="eastAsia" w:ascii="仿宋_GB2312" w:hAnsi="仿宋_GB2312" w:eastAsia="仿宋_GB2312" w:cs="仿宋_GB2312"/>
          <w:bCs/>
          <w:sz w:val="32"/>
          <w:szCs w:val="32"/>
        </w:rPr>
        <w:t>志愿服务持续推进。开展“三表率一模范”活动，在巴陵广场值班岗亭设立“党员示范岗”，坚持开展学雷锋志愿便民服务，寓城市管理工作于文明服务中。一年来劝导市民游客攀爬雕塑、攀折树枝、乱丢乱吐、践踏绿地的不文明行为3850余人次；捡到并归还手机、背包等钱物20多次，价值逾5万多元；为市民游客排忧解难，如指引路线、帮残疾人上下台阶、免费提供手机充电等不计其数。这些工作大大方便了市民，使我们的工作得到了广大市民的理解和支持。</w:t>
      </w:r>
    </w:p>
    <w:p>
      <w:pPr>
        <w:spacing w:line="600" w:lineRule="exact"/>
        <w:ind w:firstLine="643" w:firstLineChars="200"/>
        <w:rPr>
          <w:rFonts w:ascii="仿宋_GB2312" w:hAnsi="仿宋_GB2312" w:eastAsia="仿宋_GB2312" w:cs="仿宋_GB2312"/>
          <w:bCs/>
          <w:sz w:val="32"/>
          <w:szCs w:val="32"/>
        </w:rPr>
      </w:pPr>
      <w:r>
        <w:rPr>
          <w:rFonts w:hint="eastAsia" w:ascii="楷体" w:hAnsi="楷体" w:eastAsia="楷体" w:cs="Times New Roman"/>
          <w:b/>
          <w:sz w:val="32"/>
          <w:szCs w:val="32"/>
        </w:rPr>
        <w:t>（二）坚持不懈抓管养，日常管理全面达标。一是</w:t>
      </w:r>
      <w:r>
        <w:rPr>
          <w:rFonts w:hint="eastAsia" w:ascii="仿宋_GB2312" w:hAnsi="仿宋_GB2312" w:eastAsia="仿宋_GB2312" w:cs="仿宋_GB2312"/>
          <w:bCs/>
          <w:sz w:val="32"/>
          <w:szCs w:val="32"/>
        </w:rPr>
        <w:t>绿地养护务实有效。标准化、精细化开展绿化养护工作，全年修剪草坪、花灌木45000平方米，枯枝清理基本做到随产随清，补植洞庭湖水淹毁绿地6180平方米，使广场整体环境得到进一步优化。此外，针对洞庭新城二期项目改建，主动到项目部上门督促7次，现场协调4次，指导改造景观小品1处，优化绿地设计3处，调整施工方案2次，有效提升了广场的景观效果，得到了上级领导的肯定。</w:t>
      </w:r>
      <w:r>
        <w:rPr>
          <w:rFonts w:hint="eastAsia" w:ascii="楷体" w:hAnsi="楷体" w:eastAsia="楷体" w:cs="Times New Roman"/>
          <w:b/>
          <w:sz w:val="32"/>
          <w:szCs w:val="32"/>
        </w:rPr>
        <w:t>二是</w:t>
      </w:r>
      <w:r>
        <w:rPr>
          <w:rFonts w:hint="eastAsia" w:ascii="仿宋_GB2312" w:hAnsi="仿宋_GB2312" w:eastAsia="仿宋_GB2312" w:cs="仿宋_GB2312"/>
          <w:bCs/>
          <w:sz w:val="32"/>
          <w:szCs w:val="32"/>
        </w:rPr>
        <w:t>公共设施修缮及时。加强对公共设施的巡查，发现问题及时解决，全年修缮排水管道、阀门及通道地砖等基础设施160余处，坐椅50套；督促路灯管理处维修广场照明设施25处等。特别是7、8月份汛期，巴陵广场亲水台因涨水长时间浸泡和过往船只引起的波浪冲击，导致栏杆倒塌损毁，台阶、地板松脱破碎，公共设施损毁面积近2300平方米。退水后，我中心立即组织修缮单位和养护单位对受损栏杆、台阶、地板等公共设施进行抢修，确保了设施完好。</w:t>
      </w:r>
      <w:r>
        <w:rPr>
          <w:rFonts w:hint="eastAsia" w:ascii="楷体" w:hAnsi="楷体" w:eastAsia="楷体" w:cs="Times New Roman"/>
          <w:b/>
          <w:sz w:val="32"/>
          <w:szCs w:val="32"/>
        </w:rPr>
        <w:t>三是</w:t>
      </w:r>
      <w:r>
        <w:rPr>
          <w:rFonts w:hint="eastAsia" w:ascii="仿宋_GB2312" w:hAnsi="仿宋_GB2312" w:eastAsia="仿宋_GB2312" w:cs="仿宋_GB2312"/>
          <w:bCs/>
          <w:sz w:val="32"/>
          <w:szCs w:val="32"/>
        </w:rPr>
        <w:t>强化公共安全管理。为加强巴陵广场公共安全管理，防范暴恐袭击，我中心在巴陵广场安装了监控设备，对广场进行全方位全时段视频录像；提升反恐防暴能力，配备了反恐防暴器材，组织队员开展</w:t>
      </w:r>
      <w:r>
        <w:fldChar w:fldCharType="begin"/>
      </w:r>
      <w:r>
        <w:instrText xml:space="preserve"> HYPERLINK "http://www.baidu.com/link?url=M1hwH9Zz4xpa-hzmAo1LuXWcIFlaUJY7mpMNUvpufqpZJ6cR0VodVjcvW8KGxM4JEnNCcjtceCRXxNi6Y27Y2q" \t "https://www.baidu.com/_blank" </w:instrText>
      </w:r>
      <w:r>
        <w:fldChar w:fldCharType="separate"/>
      </w:r>
      <w:r>
        <w:rPr>
          <w:rFonts w:hint="eastAsia" w:ascii="仿宋_GB2312" w:hAnsi="仿宋_GB2312" w:eastAsia="仿宋_GB2312" w:cs="仿宋_GB2312"/>
          <w:bCs/>
          <w:sz w:val="32"/>
          <w:szCs w:val="32"/>
        </w:rPr>
        <w:t>防恐防暴器械使用、单人对抗、多人配合等专项训练</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。同时，与辖区公安机关建立信息快报、应急联动、快速反应机制，市民安全感进一步提升。</w:t>
      </w:r>
    </w:p>
    <w:p>
      <w:pPr>
        <w:spacing w:line="600" w:lineRule="exact"/>
        <w:ind w:firstLine="643" w:firstLineChars="200"/>
        <w:rPr>
          <w:rFonts w:ascii="仿宋_GB2312" w:hAnsi="仿宋_GB2312" w:eastAsia="仿宋_GB2312" w:cs="仿宋_GB2312"/>
          <w:bCs/>
          <w:sz w:val="32"/>
          <w:szCs w:val="32"/>
        </w:rPr>
      </w:pPr>
      <w:r>
        <w:rPr>
          <w:rFonts w:hint="eastAsia" w:ascii="楷体" w:hAnsi="楷体" w:eastAsia="楷体" w:cs="Times New Roman"/>
          <w:b/>
          <w:sz w:val="32"/>
          <w:szCs w:val="32"/>
        </w:rPr>
        <w:t>（三）驰而不息抓秩序，综合整治卓有成效。一是</w:t>
      </w:r>
      <w:r>
        <w:rPr>
          <w:rFonts w:hint="eastAsia" w:ascii="仿宋_GB2312" w:hAnsi="仿宋_GB2312" w:eastAsia="仿宋_GB2312" w:cs="仿宋_GB2312"/>
          <w:bCs/>
          <w:sz w:val="32"/>
          <w:szCs w:val="32"/>
        </w:rPr>
        <w:t>游摊走贩整治效果良好。疫情之后，发展地摊经济作为提振经济的举措之一，使广场上游摊走贩迅速抬头，为防止出现脏、乱、差的现象，中心采取现场规劝、规范定点等疏堵结合的办法开展游摊走贩整治工作，累计劝离、引导流动摊贩5600余人次，使巴陵广场良好秩序得到有效保持。</w:t>
      </w:r>
      <w:r>
        <w:rPr>
          <w:rFonts w:hint="eastAsia" w:ascii="楷体" w:hAnsi="楷体" w:eastAsia="楷体" w:cs="Times New Roman"/>
          <w:b/>
          <w:sz w:val="32"/>
          <w:szCs w:val="32"/>
        </w:rPr>
        <w:t>二是</w:t>
      </w:r>
      <w:r>
        <w:rPr>
          <w:rFonts w:hint="eastAsia" w:ascii="仿宋_GB2312" w:hAnsi="仿宋_GB2312" w:eastAsia="仿宋_GB2312" w:cs="仿宋_GB2312"/>
          <w:bCs/>
          <w:sz w:val="32"/>
          <w:szCs w:val="32"/>
        </w:rPr>
        <w:t>创新污染源监管手段。探索沿湖路污染源管理的源头化、智能化监管和社会化监督的新模式。搭建了“沿湖路路面污染联防”微信群，沿湖路沿线工地、码头、水泥搅拌厂等负责人、中心工作人员共同参与，对污染源进行了实时智能化监管，使沿湖路路面污染现象明显减少。</w:t>
      </w:r>
      <w:r>
        <w:rPr>
          <w:rFonts w:hint="eastAsia" w:ascii="楷体" w:hAnsi="楷体" w:eastAsia="楷体" w:cs="Times New Roman"/>
          <w:b/>
          <w:sz w:val="32"/>
          <w:szCs w:val="32"/>
        </w:rPr>
        <w:t>三是</w:t>
      </w:r>
      <w:r>
        <w:rPr>
          <w:rFonts w:hint="eastAsia" w:ascii="仿宋_GB2312" w:hAnsi="仿宋_GB2312" w:eastAsia="仿宋_GB2312" w:cs="仿宋_GB2312"/>
          <w:bCs/>
          <w:sz w:val="32"/>
          <w:szCs w:val="32"/>
        </w:rPr>
        <w:t>迎检整治全面有力。为做好全国文明城市文明指数测评工作，中心加强领导，精心组织，全面落实“一线工作法”，带领全体干部职工齐心协力投入到迎检工作中。对公益广告、卫生状况和公共设施三类问题18处进行全面整改。将巴陵广场和沿湖路划分为两个责任网格，把所有人员包括班子成员全部下到网格内，实行定人、定岗、定责、定奖惩，为我市顺利通过文明城市测评作出了应有的贡献。</w:t>
      </w:r>
    </w:p>
    <w:p>
      <w:pPr>
        <w:spacing w:line="600" w:lineRule="exact"/>
        <w:ind w:firstLine="643" w:firstLineChars="200"/>
        <w:rPr>
          <w:rFonts w:ascii="仿宋_GB2312" w:hAnsi="仿宋_GB2312" w:eastAsia="仿宋_GB2312" w:cs="仿宋_GB2312"/>
          <w:bCs/>
          <w:sz w:val="32"/>
          <w:szCs w:val="32"/>
        </w:rPr>
      </w:pPr>
      <w:r>
        <w:rPr>
          <w:rFonts w:hint="eastAsia" w:ascii="楷体" w:hAnsi="楷体" w:eastAsia="楷体" w:cs="Times New Roman"/>
          <w:b/>
          <w:sz w:val="32"/>
          <w:szCs w:val="32"/>
        </w:rPr>
        <w:t>（四）锲而不舍抓队伍，内部管理更加规范。一是</w:t>
      </w:r>
      <w:r>
        <w:rPr>
          <w:rFonts w:hint="eastAsia" w:ascii="仿宋_GB2312" w:hAnsi="仿宋_GB2312" w:eastAsia="仿宋_GB2312" w:cs="仿宋_GB2312"/>
          <w:bCs/>
          <w:sz w:val="32"/>
          <w:szCs w:val="32"/>
        </w:rPr>
        <w:t>制度建设更加完善。制定了《公务出行管理办法》，进一步修订了《效能建设制度》、《财务管理制度》、《管理考评实施方案》等4项工作制度。同时，组织全体干部职工定期学习，使规章制度在干部职工中入脑入心，用制度指导工作、保障和推进中心内部管理水平的提升。</w:t>
      </w:r>
      <w:r>
        <w:rPr>
          <w:rFonts w:hint="eastAsia" w:ascii="楷体" w:hAnsi="楷体" w:eastAsia="楷体" w:cs="Times New Roman"/>
          <w:b/>
          <w:sz w:val="32"/>
          <w:szCs w:val="32"/>
        </w:rPr>
        <w:t>二是</w:t>
      </w:r>
      <w:r>
        <w:rPr>
          <w:rFonts w:hint="eastAsia" w:ascii="仿宋_GB2312" w:hAnsi="仿宋_GB2312" w:eastAsia="仿宋_GB2312" w:cs="仿宋_GB2312"/>
          <w:bCs/>
          <w:sz w:val="32"/>
          <w:szCs w:val="32"/>
        </w:rPr>
        <w:t>党建工作更加扎实。以“三表率一模范”为抓手，全面提升基层党建工作的规范化和科学化水平。严格落实“三会一课”，全年召开党员大会7次，支委会9次，党员大会11次，党课学习7次；召开</w:t>
      </w:r>
      <w:r>
        <w:fldChar w:fldCharType="begin"/>
      </w:r>
      <w:r>
        <w:instrText xml:space="preserve"> HYPERLINK "http://www.wm114.cn/0v/119/index.html" </w:instrText>
      </w:r>
      <w:r>
        <w:fldChar w:fldCharType="separate"/>
      </w:r>
      <w:r>
        <w:rPr>
          <w:rFonts w:hint="eastAsia" w:ascii="仿宋_GB2312" w:hAnsi="仿宋_GB2312" w:eastAsia="仿宋_GB2312" w:cs="仿宋_GB2312"/>
          <w:bCs/>
          <w:sz w:val="32"/>
          <w:szCs w:val="32"/>
        </w:rPr>
        <w:t>民主生活会</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次，组织生活会2次；每月至少开展了一次“党员活动日”活动。建立党员电子信息台账，实行了党员积分管理，落实了党员月度、季度、年度的考核评价工作；创新形式和方法，利用“学习强国”、专家培训班、革命根据地参观培训等教育资源，对党员进行培训。结合“政治机关”建设和“纠‘四风’”等专项整治活动，进一步提升了中心党员干部的工作作风。组织干部职工开展“八项规定”、“普法”、“学法”、禁毒知识抢答等活动，通过学习既提高了干部职工的工作能力，又提升了中心的凝聚力和战斗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存在的主要问题</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（一）近年来，洞庭湖水淹没部分广场等季节性应急事件频发，给中心工作带来了一定的压力。</w:t>
      </w:r>
    </w:p>
    <w:p>
      <w:pPr>
        <w:spacing w:line="600" w:lineRule="exact"/>
        <w:ind w:firstLine="640" w:firstLineChars="200"/>
        <w:rPr>
          <w:rFonts w:ascii="仿宋_GB2312" w:hAnsi="楷体" w:eastAsia="仿宋_GB2312"/>
          <w:sz w:val="28"/>
          <w:szCs w:val="28"/>
        </w:rPr>
      </w:pPr>
      <w:r>
        <w:rPr>
          <w:rFonts w:hint="eastAsia" w:ascii="仿宋_GB2312" w:hAnsi="仿宋_GB2312" w:eastAsia="仿宋_GB2312" w:cs="仿宋_GB2312"/>
          <w:bCs/>
          <w:sz w:val="32"/>
          <w:szCs w:val="32"/>
        </w:rPr>
        <w:t xml:space="preserve">（二）近年来，沿湖路周边开发建设规模较大，渣土车、建材运输车辆带泥上路现象时有发生，给沿湖路环境整治带来了一定的压力。 </w:t>
      </w:r>
      <w:r>
        <w:rPr>
          <w:rFonts w:hint="eastAsia" w:ascii="仿宋_GB2312" w:hAnsi="楷体" w:eastAsia="仿宋_GB2312"/>
          <w:sz w:val="28"/>
          <w:szCs w:val="28"/>
        </w:rPr>
        <w:t xml:space="preserve">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六、改进措施和有关建议</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（一）针对洞庭湖水淹没部分广场等季节性应急事件，中心成立了应急处置工作小组，并联合相关部门和周边单位开展专项应急演练，提升应急管理能力。</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 针对沿湖路渣土车、建材运输车辆带泥上路时有发生的现象，我中心将深入沿湖路搅拌水泥生产企业、建设工地和周边社区、物业，开展法规宣传工作，督促建设单位对建设工地出入口进行硬化，减少污染现象的发生。</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（三）加强预算的约束力，响应政府压缩一般性财政支出的号召，做到专款专用，提高经费使用效益。</w:t>
      </w:r>
    </w:p>
    <w:p>
      <w:pPr>
        <w:spacing w:line="600" w:lineRule="exact"/>
        <w:ind w:firstLine="640" w:firstLineChars="200"/>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firstLine="560"/>
        <w:jc w:val="right"/>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28"/>
          <w:szCs w:val="28"/>
          <w:lang w:val="en-US" w:eastAsia="zh-CN" w:bidi="ar-SA"/>
        </w:rPr>
        <w:t xml:space="preserve"> </w:t>
      </w:r>
      <w:r>
        <w:rPr>
          <w:rFonts w:hint="eastAsia" w:ascii="仿宋_GB2312" w:hAnsi="仿宋_GB2312" w:eastAsia="仿宋_GB2312" w:cs="仿宋_GB2312"/>
          <w:bCs/>
          <w:color w:val="auto"/>
          <w:kern w:val="2"/>
          <w:sz w:val="32"/>
          <w:szCs w:val="32"/>
          <w:lang w:val="en-US" w:eastAsia="zh-CN" w:bidi="ar-SA"/>
        </w:rPr>
        <w:t xml:space="preserve"> 岳阳市沿湖风光带管理中心</w:t>
      </w:r>
      <w:bookmarkStart w:id="1" w:name="_GoBack"/>
      <w:bookmarkEnd w:id="1"/>
    </w:p>
    <w:p>
      <w:pPr>
        <w:keepNext w:val="0"/>
        <w:keepLines w:val="0"/>
        <w:pageBreakBefore w:val="0"/>
        <w:kinsoku/>
        <w:wordWrap/>
        <w:overflowPunct/>
        <w:topLinePunct w:val="0"/>
        <w:autoSpaceDE/>
        <w:autoSpaceDN/>
        <w:bidi w:val="0"/>
        <w:adjustRightInd/>
        <w:snapToGrid/>
        <w:spacing w:line="240" w:lineRule="auto"/>
        <w:ind w:firstLine="560"/>
        <w:jc w:val="right"/>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 xml:space="preserve">                         2021年5月31日</w:t>
      </w:r>
    </w:p>
    <w:p>
      <w:pPr>
        <w:spacing w:line="600" w:lineRule="exact"/>
        <w:ind w:firstLine="640" w:firstLineChars="200"/>
        <w:rPr>
          <w:rFonts w:hint="eastAsia" w:ascii="仿宋_GB2312" w:hAnsi="仿宋_GB2312" w:eastAsia="仿宋_GB2312" w:cs="仿宋_GB2312"/>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4099F"/>
    <w:rsid w:val="44E4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2021-09-16T06:47:00Z</dcterms:created>
  <dc:creator>Administrator</dc:creator>
  <cp:lastModifiedBy>Administrator</cp:lastModifiedBy>
  <dcterms:modified xsi:type="dcterms:W3CDTF">2021-09-16T06:53:56Z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6D47BE9C55E347439CF05BCFFC593492</vt:lpwstr>
  </property>
</Properties>
</file>