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06" w:rsidRDefault="00BB5306" w:rsidP="00BB5306">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BB5306" w:rsidRDefault="00BB5306" w:rsidP="00BB5306">
      <w:pPr>
        <w:spacing w:line="348" w:lineRule="auto"/>
        <w:jc w:val="center"/>
        <w:rPr>
          <w:rFonts w:eastAsia="方正小标宋简体"/>
          <w:bCs/>
          <w:sz w:val="42"/>
          <w:szCs w:val="42"/>
        </w:rPr>
      </w:pPr>
    </w:p>
    <w:p w:rsidR="00BB5306" w:rsidRPr="00BF4EA3" w:rsidRDefault="00BB5306" w:rsidP="00BB5306">
      <w:pPr>
        <w:spacing w:line="800" w:lineRule="exact"/>
        <w:jc w:val="center"/>
        <w:rPr>
          <w:rFonts w:ascii="黑体" w:eastAsia="黑体" w:hAnsi="黑体"/>
          <w:bCs/>
          <w:sz w:val="46"/>
          <w:szCs w:val="46"/>
        </w:rPr>
      </w:pPr>
      <w:r w:rsidRPr="00BF4EA3">
        <w:rPr>
          <w:rFonts w:ascii="黑体" w:eastAsia="黑体" w:hAnsi="黑体" w:hint="eastAsia"/>
          <w:bCs/>
          <w:sz w:val="46"/>
          <w:szCs w:val="46"/>
        </w:rPr>
        <w:t>岳阳市2020年度部门整体支出</w:t>
      </w:r>
    </w:p>
    <w:p w:rsidR="00BB5306" w:rsidRPr="00BF4EA3" w:rsidRDefault="00BB5306" w:rsidP="00BB5306">
      <w:pPr>
        <w:spacing w:line="800" w:lineRule="exact"/>
        <w:jc w:val="center"/>
        <w:rPr>
          <w:rFonts w:ascii="黑体" w:eastAsia="黑体" w:hAnsi="黑体"/>
          <w:bCs/>
          <w:sz w:val="46"/>
          <w:szCs w:val="46"/>
        </w:rPr>
      </w:pPr>
      <w:r w:rsidRPr="00BF4EA3">
        <w:rPr>
          <w:rFonts w:ascii="黑体" w:eastAsia="黑体" w:hAnsi="黑体" w:hint="eastAsia"/>
          <w:bCs/>
          <w:sz w:val="46"/>
          <w:szCs w:val="46"/>
        </w:rPr>
        <w:t>绩效评价自评报告</w:t>
      </w:r>
    </w:p>
    <w:p w:rsidR="00BB5306" w:rsidRDefault="00BB5306" w:rsidP="00BB5306">
      <w:pPr>
        <w:rPr>
          <w:rFonts w:eastAsia="仿宋_GB2312"/>
          <w:b/>
          <w:sz w:val="32"/>
        </w:rPr>
      </w:pPr>
    </w:p>
    <w:p w:rsidR="00BB5306" w:rsidRDefault="00BB5306" w:rsidP="00BB5306">
      <w:pPr>
        <w:rPr>
          <w:rFonts w:eastAsia="仿宋_GB2312"/>
          <w:b/>
          <w:sz w:val="32"/>
        </w:rPr>
      </w:pPr>
    </w:p>
    <w:p w:rsidR="00BB5306" w:rsidRDefault="00BB5306" w:rsidP="00BB5306">
      <w:pPr>
        <w:rPr>
          <w:rFonts w:eastAsia="仿宋_GB2312"/>
          <w:b/>
          <w:sz w:val="32"/>
        </w:rPr>
      </w:pPr>
    </w:p>
    <w:p w:rsidR="00BB5306" w:rsidRDefault="00BB5306" w:rsidP="00BF4EA3">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5B46EC">
        <w:rPr>
          <w:rFonts w:eastAsia="仿宋_GB2312" w:hint="eastAsia"/>
          <w:sz w:val="32"/>
          <w:szCs w:val="32"/>
          <w:u w:val="single"/>
        </w:rPr>
        <w:t>岳阳市信访局</w:t>
      </w:r>
      <w:r w:rsidR="005B46EC">
        <w:rPr>
          <w:rFonts w:eastAsia="仿宋_GB2312" w:hint="eastAsia"/>
          <w:sz w:val="32"/>
          <w:szCs w:val="32"/>
          <w:u w:val="single"/>
        </w:rPr>
        <w:t xml:space="preserve">   </w:t>
      </w:r>
      <w:r>
        <w:rPr>
          <w:rFonts w:eastAsia="仿宋_GB2312" w:hint="eastAsia"/>
          <w:sz w:val="32"/>
          <w:szCs w:val="32"/>
          <w:u w:val="single"/>
        </w:rPr>
        <w:t xml:space="preserve">                 </w:t>
      </w:r>
    </w:p>
    <w:p w:rsidR="00BB5306" w:rsidRDefault="00BB5306" w:rsidP="00BF4EA3">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5B46EC">
        <w:rPr>
          <w:rFonts w:eastAsia="仿宋_GB2312" w:hint="eastAsia"/>
          <w:spacing w:val="20"/>
          <w:sz w:val="32"/>
          <w:szCs w:val="32"/>
          <w:u w:val="single"/>
        </w:rPr>
        <w:t xml:space="preserve">52801          </w:t>
      </w:r>
      <w:r>
        <w:rPr>
          <w:rFonts w:eastAsia="仿宋_GB2312" w:hint="eastAsia"/>
          <w:spacing w:val="20"/>
          <w:sz w:val="32"/>
          <w:szCs w:val="32"/>
          <w:u w:val="single"/>
        </w:rPr>
        <w:t xml:space="preserve">           </w:t>
      </w:r>
    </w:p>
    <w:p w:rsidR="00BB5306" w:rsidRDefault="00BB5306" w:rsidP="00BF4EA3">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BB5306" w:rsidRDefault="00BB5306" w:rsidP="00BF4EA3">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BB5306" w:rsidRDefault="00BB5306" w:rsidP="00BB5306">
      <w:pPr>
        <w:spacing w:line="720" w:lineRule="exact"/>
        <w:ind w:firstLineChars="690" w:firstLine="2182"/>
        <w:rPr>
          <w:rFonts w:eastAsia="仿宋_GB2312"/>
          <w:sz w:val="32"/>
        </w:rPr>
      </w:pPr>
    </w:p>
    <w:p w:rsidR="00BB5306" w:rsidRDefault="00BB5306" w:rsidP="00BB5306">
      <w:pPr>
        <w:spacing w:line="720" w:lineRule="exact"/>
        <w:ind w:firstLineChars="690" w:firstLine="2182"/>
        <w:rPr>
          <w:rFonts w:eastAsia="仿宋_GB2312"/>
          <w:sz w:val="32"/>
        </w:rPr>
      </w:pPr>
    </w:p>
    <w:p w:rsidR="00BB5306" w:rsidRDefault="00BB5306" w:rsidP="00BB5306">
      <w:pPr>
        <w:spacing w:line="720" w:lineRule="exact"/>
        <w:ind w:firstLineChars="690" w:firstLine="2182"/>
        <w:rPr>
          <w:rFonts w:eastAsia="仿宋_GB2312"/>
          <w:sz w:val="32"/>
        </w:rPr>
      </w:pPr>
    </w:p>
    <w:p w:rsidR="00BB5306" w:rsidRDefault="00BB5306" w:rsidP="00BB5306">
      <w:pPr>
        <w:spacing w:line="348" w:lineRule="auto"/>
        <w:jc w:val="center"/>
        <w:rPr>
          <w:rFonts w:eastAsia="仿宋_GB2312"/>
          <w:sz w:val="32"/>
        </w:rPr>
      </w:pPr>
      <w:r>
        <w:rPr>
          <w:rFonts w:eastAsia="仿宋_GB2312" w:hint="eastAsia"/>
          <w:sz w:val="32"/>
        </w:rPr>
        <w:t>报告日期：</w:t>
      </w:r>
      <w:r w:rsidR="00840DAD">
        <w:rPr>
          <w:rFonts w:eastAsia="仿宋_GB2312" w:hint="eastAsia"/>
          <w:sz w:val="32"/>
        </w:rPr>
        <w:t>2021</w:t>
      </w:r>
      <w:r>
        <w:rPr>
          <w:rFonts w:eastAsia="仿宋_GB2312" w:hint="eastAsia"/>
          <w:sz w:val="32"/>
        </w:rPr>
        <w:t>年</w:t>
      </w:r>
      <w:r w:rsidR="00840DAD">
        <w:rPr>
          <w:rFonts w:eastAsia="仿宋_GB2312" w:hint="eastAsia"/>
          <w:sz w:val="32"/>
        </w:rPr>
        <w:t>6</w:t>
      </w:r>
      <w:r>
        <w:rPr>
          <w:rFonts w:eastAsia="仿宋_GB2312" w:hint="eastAsia"/>
          <w:sz w:val="32"/>
        </w:rPr>
        <w:t xml:space="preserve"> </w:t>
      </w:r>
      <w:r>
        <w:rPr>
          <w:rFonts w:eastAsia="仿宋_GB2312" w:hint="eastAsia"/>
          <w:sz w:val="32"/>
        </w:rPr>
        <w:t>月</w:t>
      </w:r>
      <w:r w:rsidR="00840DAD">
        <w:rPr>
          <w:rFonts w:eastAsia="仿宋_GB2312" w:hint="eastAsia"/>
          <w:sz w:val="32"/>
        </w:rPr>
        <w:t>23</w:t>
      </w:r>
      <w:r>
        <w:rPr>
          <w:rFonts w:eastAsia="仿宋_GB2312" w:hint="eastAsia"/>
          <w:sz w:val="32"/>
        </w:rPr>
        <w:t>日</w:t>
      </w:r>
    </w:p>
    <w:p w:rsidR="00BB5306" w:rsidRDefault="00BB5306" w:rsidP="00BB5306">
      <w:pPr>
        <w:autoSpaceDN w:val="0"/>
        <w:jc w:val="center"/>
        <w:textAlignment w:val="center"/>
        <w:rPr>
          <w:rFonts w:eastAsia="仿宋_GB2312"/>
          <w:sz w:val="32"/>
          <w:szCs w:val="32"/>
        </w:rPr>
        <w:sectPr w:rsidR="00BB5306" w:rsidSect="00EF294C">
          <w:headerReference w:type="default" r:id="rId7"/>
          <w:footerReference w:type="even" r:id="rId8"/>
          <w:footerReference w:type="default" r:id="rId9"/>
          <w:pgSz w:w="11906" w:h="16838"/>
          <w:pgMar w:top="1247" w:right="1588" w:bottom="1247"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BB5306" w:rsidTr="00D84233">
        <w:trPr>
          <w:trHeight w:val="567"/>
          <w:jc w:val="center"/>
        </w:trPr>
        <w:tc>
          <w:tcPr>
            <w:tcW w:w="9800" w:type="dxa"/>
            <w:gridSpan w:val="17"/>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B5306" w:rsidTr="00D84233">
        <w:trPr>
          <w:trHeight w:val="567"/>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BB5306" w:rsidRDefault="00BF055B"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吴浙军</w:t>
            </w:r>
          </w:p>
        </w:tc>
        <w:tc>
          <w:tcPr>
            <w:tcW w:w="1479" w:type="dxa"/>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BB5306" w:rsidRDefault="00BF055B"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13874020944</w:t>
            </w:r>
          </w:p>
        </w:tc>
      </w:tr>
      <w:tr w:rsidR="00BB5306" w:rsidTr="00D84233">
        <w:trPr>
          <w:trHeight w:val="567"/>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BB5306" w:rsidRDefault="00BF055B"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sidR="009C4901">
              <w:rPr>
                <w:rFonts w:ascii="仿宋_GB2312" w:eastAsia="仿宋_GB2312" w:hAnsi="仿宋_GB2312" w:cs="仿宋_GB2312" w:hint="eastAsia"/>
                <w:color w:val="000000"/>
                <w:sz w:val="24"/>
              </w:rPr>
              <w:t>4</w:t>
            </w:r>
          </w:p>
        </w:tc>
        <w:tc>
          <w:tcPr>
            <w:tcW w:w="1479" w:type="dxa"/>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BB5306" w:rsidRDefault="00BF055B"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w:t>
            </w:r>
          </w:p>
        </w:tc>
      </w:tr>
      <w:tr w:rsidR="00BB5306" w:rsidTr="00D84233">
        <w:trPr>
          <w:trHeight w:val="1500"/>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（1）负责处理人民群众给市委、市政府及其领导同志的来信，接待处理群众来访，受理处理网络信访，为领导同志接待上访群众做好组织服务工作。</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（2）承办中央、省和市委、市政府交办的信访事项，向县市区、市直部门和中央、省驻岳单位交办信访事项，督促检查处理落实情况。</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（3）综合、反映人民群众在信访中提出的重要意见、建议和问题，开展调查研究，为市委、市政府提供信访信息。</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（4）协同有关部门处理跨地区、跨部门的重大信访问题，协调处理群众到市赴省进京上访，协调全市各级党政机关的信访工作。</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（5）研究、起草有关信访工作的政策规定;开展信访工作宣传和调研；指导全市信访工作业务，总结推广信访工作经验，提出加强和改进信访工作的意见。</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（6）掌握全市信访工作队伍建设情况，提出加强信访队伍建设的措施，对信访工作中失职、渎职行为提出处理建议，组织信访干部培训，指导信访部门办公自动化建设。</w:t>
            </w:r>
          </w:p>
          <w:p w:rsidR="00BB5306" w:rsidRPr="002108D1" w:rsidRDefault="002108D1" w:rsidP="006D4CE4">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（7）承办市委、市政府交办的其他事项。</w:t>
            </w:r>
          </w:p>
        </w:tc>
      </w:tr>
      <w:tr w:rsidR="00BB5306" w:rsidTr="00D84233">
        <w:trPr>
          <w:trHeight w:val="2464"/>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BB5306" w:rsidRDefault="00BB530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952900" w:rsidRPr="00952900">
              <w:rPr>
                <w:rFonts w:ascii="仿宋_GB2312" w:eastAsia="仿宋_GB2312" w:hAnsi="仿宋_GB2312" w:cs="仿宋_GB2312" w:hint="eastAsia"/>
                <w:color w:val="000000"/>
                <w:sz w:val="24"/>
              </w:rPr>
              <w:t>高位推进信访工作</w:t>
            </w:r>
          </w:p>
          <w:p w:rsidR="00BB5306" w:rsidRDefault="00BB530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952900" w:rsidRPr="00952900">
              <w:rPr>
                <w:rFonts w:ascii="仿宋_GB2312" w:eastAsia="仿宋_GB2312" w:hAnsi="仿宋_GB2312" w:cs="仿宋_GB2312" w:hint="eastAsia"/>
                <w:color w:val="000000"/>
                <w:sz w:val="24"/>
              </w:rPr>
              <w:t>不断夯实基层基础</w:t>
            </w:r>
          </w:p>
          <w:p w:rsidR="00BB5306" w:rsidRPr="00952900" w:rsidRDefault="00BB530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952900" w:rsidRPr="00952900">
              <w:rPr>
                <w:rFonts w:ascii="仿宋_GB2312" w:eastAsia="仿宋_GB2312" w:hAnsi="仿宋_GB2312" w:cs="仿宋_GB2312" w:hint="eastAsia"/>
                <w:color w:val="000000"/>
                <w:sz w:val="24"/>
              </w:rPr>
              <w:t>持续提升业务水平</w:t>
            </w:r>
          </w:p>
          <w:p w:rsidR="00952900" w:rsidRDefault="00952900" w:rsidP="009529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w:t>
            </w:r>
            <w:r w:rsidRPr="00952900">
              <w:rPr>
                <w:rFonts w:ascii="仿宋_GB2312" w:eastAsia="仿宋_GB2312" w:hAnsi="仿宋_GB2312" w:cs="仿宋_GB2312" w:hint="eastAsia"/>
                <w:color w:val="000000"/>
                <w:sz w:val="24"/>
              </w:rPr>
              <w:t>积极推进“满意窗口”</w:t>
            </w:r>
          </w:p>
        </w:tc>
      </w:tr>
      <w:tr w:rsidR="00BB5306" w:rsidTr="00D84233">
        <w:trPr>
          <w:trHeight w:val="2260"/>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B1297C" w:rsidRPr="00B1297C" w:rsidRDefault="00B1297C" w:rsidP="00B1297C">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B1297C">
              <w:rPr>
                <w:rFonts w:ascii="仿宋_GB2312" w:eastAsia="仿宋_GB2312" w:hAnsi="仿宋_GB2312" w:cs="仿宋_GB2312" w:hint="eastAsia"/>
                <w:color w:val="000000"/>
                <w:sz w:val="24"/>
              </w:rPr>
              <w:t>2020年，全市信访系统坚持以习近平新时代中国特色社会主义思想为指导，深入贯彻落实习近平总书记关于加强和改进人民信访工作的重要思想，紧紧围绕实现“四个转变”、落实“六个强化”、建设“五有干部”的目标，聚焦基层基础、源头治理、突出问题、责任落实，扎实推进全年信访重点工作，努力打造更高水平的阳光信访、责任信访、法治信访。</w:t>
            </w:r>
          </w:p>
          <w:p w:rsidR="00BB5306" w:rsidRPr="00B1297C" w:rsidRDefault="00BB5306" w:rsidP="006D4CE4">
            <w:pPr>
              <w:autoSpaceDN w:val="0"/>
              <w:spacing w:line="320" w:lineRule="exact"/>
              <w:jc w:val="left"/>
              <w:textAlignment w:val="center"/>
              <w:rPr>
                <w:rFonts w:ascii="仿宋_GB2312" w:eastAsia="仿宋_GB2312" w:hAnsi="仿宋_GB2312" w:cs="仿宋_GB2312"/>
                <w:color w:val="000000"/>
                <w:sz w:val="24"/>
              </w:rPr>
            </w:pPr>
          </w:p>
        </w:tc>
      </w:tr>
      <w:tr w:rsidR="00BB5306" w:rsidTr="00D84233">
        <w:trPr>
          <w:trHeight w:val="567"/>
          <w:jc w:val="center"/>
        </w:trPr>
        <w:tc>
          <w:tcPr>
            <w:tcW w:w="9800" w:type="dxa"/>
            <w:gridSpan w:val="17"/>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BB5306" w:rsidTr="00D84233">
        <w:trPr>
          <w:trHeight w:val="567"/>
          <w:jc w:val="center"/>
        </w:trPr>
        <w:tc>
          <w:tcPr>
            <w:tcW w:w="9800" w:type="dxa"/>
            <w:gridSpan w:val="17"/>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B5306" w:rsidTr="00D84233">
        <w:trPr>
          <w:trHeight w:val="567"/>
          <w:jc w:val="center"/>
        </w:trPr>
        <w:tc>
          <w:tcPr>
            <w:tcW w:w="1700" w:type="dxa"/>
            <w:gridSpan w:val="3"/>
            <w:vMerge w:val="restart"/>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B5306" w:rsidTr="00D84233">
        <w:trPr>
          <w:trHeight w:val="1014"/>
          <w:jc w:val="center"/>
        </w:trPr>
        <w:tc>
          <w:tcPr>
            <w:tcW w:w="1700" w:type="dxa"/>
            <w:gridSpan w:val="3"/>
            <w:vMerge/>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B5306" w:rsidTr="00D84233">
        <w:trPr>
          <w:trHeight w:val="772"/>
          <w:jc w:val="center"/>
        </w:trPr>
        <w:tc>
          <w:tcPr>
            <w:tcW w:w="1700" w:type="dxa"/>
            <w:gridSpan w:val="3"/>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BB5306" w:rsidRDefault="00D84233"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1050.97</w:t>
            </w:r>
          </w:p>
        </w:tc>
        <w:tc>
          <w:tcPr>
            <w:tcW w:w="1355" w:type="dxa"/>
            <w:gridSpan w:val="2"/>
            <w:tcBorders>
              <w:left w:val="single" w:sz="4" w:space="0" w:color="auto"/>
            </w:tcBorders>
            <w:vAlign w:val="center"/>
          </w:tcPr>
          <w:p w:rsidR="00BB5306" w:rsidRDefault="00D84233"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99.56</w:t>
            </w:r>
          </w:p>
        </w:tc>
        <w:tc>
          <w:tcPr>
            <w:tcW w:w="1080" w:type="dxa"/>
            <w:gridSpan w:val="2"/>
            <w:vAlign w:val="center"/>
          </w:tcPr>
          <w:p w:rsidR="00BB5306" w:rsidRDefault="00D84233"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725.97</w:t>
            </w:r>
          </w:p>
        </w:tc>
        <w:tc>
          <w:tcPr>
            <w:tcW w:w="1705" w:type="dxa"/>
            <w:gridSpan w:val="2"/>
            <w:vAlign w:val="center"/>
          </w:tcPr>
          <w:p w:rsidR="00BB5306" w:rsidRDefault="00BB5306" w:rsidP="006D4CE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B5306" w:rsidRDefault="00D84233"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225.44</w:t>
            </w:r>
          </w:p>
        </w:tc>
      </w:tr>
      <w:tr w:rsidR="00D84233" w:rsidTr="00D84233">
        <w:trPr>
          <w:trHeight w:val="567"/>
          <w:jc w:val="center"/>
        </w:trPr>
        <w:tc>
          <w:tcPr>
            <w:tcW w:w="1700" w:type="dxa"/>
            <w:gridSpan w:val="3"/>
            <w:vAlign w:val="center"/>
          </w:tcPr>
          <w:p w:rsidR="00D84233" w:rsidRDefault="00D84233" w:rsidP="00D84233">
            <w:pPr>
              <w:spacing w:line="320" w:lineRule="exact"/>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市信访局</w:t>
            </w:r>
          </w:p>
        </w:tc>
        <w:tc>
          <w:tcPr>
            <w:tcW w:w="1080" w:type="dxa"/>
            <w:tcBorders>
              <w:right w:val="single" w:sz="4" w:space="0" w:color="auto"/>
            </w:tcBorders>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1050.97</w:t>
            </w:r>
          </w:p>
        </w:tc>
        <w:tc>
          <w:tcPr>
            <w:tcW w:w="1355" w:type="dxa"/>
            <w:gridSpan w:val="2"/>
            <w:tcBorders>
              <w:left w:val="single" w:sz="4" w:space="0" w:color="auto"/>
            </w:tcBorders>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99.56</w:t>
            </w:r>
          </w:p>
        </w:tc>
        <w:tc>
          <w:tcPr>
            <w:tcW w:w="1080" w:type="dxa"/>
            <w:gridSpan w:val="2"/>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725.97</w:t>
            </w:r>
          </w:p>
        </w:tc>
        <w:tc>
          <w:tcPr>
            <w:tcW w:w="1705" w:type="dxa"/>
            <w:gridSpan w:val="2"/>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D84233" w:rsidRDefault="00D84233" w:rsidP="00927D6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225.44</w:t>
            </w:r>
          </w:p>
        </w:tc>
      </w:tr>
      <w:tr w:rsidR="00D84233" w:rsidTr="00D84233">
        <w:trPr>
          <w:trHeight w:val="624"/>
          <w:jc w:val="center"/>
        </w:trPr>
        <w:tc>
          <w:tcPr>
            <w:tcW w:w="9800" w:type="dxa"/>
            <w:gridSpan w:val="17"/>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D84233" w:rsidTr="00D84233">
        <w:trPr>
          <w:trHeight w:val="624"/>
          <w:jc w:val="center"/>
        </w:trPr>
        <w:tc>
          <w:tcPr>
            <w:tcW w:w="1700" w:type="dxa"/>
            <w:gridSpan w:val="3"/>
            <w:vMerge w:val="restart"/>
            <w:vAlign w:val="center"/>
          </w:tcPr>
          <w:p w:rsidR="00D84233" w:rsidRDefault="00D84233" w:rsidP="006D4CE4">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D84233" w:rsidTr="00D84233">
        <w:trPr>
          <w:trHeight w:val="624"/>
          <w:jc w:val="center"/>
        </w:trPr>
        <w:tc>
          <w:tcPr>
            <w:tcW w:w="1700" w:type="dxa"/>
            <w:gridSpan w:val="3"/>
            <w:vMerge/>
            <w:vAlign w:val="center"/>
          </w:tcPr>
          <w:p w:rsidR="00D84233" w:rsidRDefault="00D84233" w:rsidP="006D4CE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D84233" w:rsidTr="00D84233">
        <w:trPr>
          <w:trHeight w:val="624"/>
          <w:jc w:val="center"/>
        </w:trPr>
        <w:tc>
          <w:tcPr>
            <w:tcW w:w="1700" w:type="dxa"/>
            <w:gridSpan w:val="3"/>
            <w:vMerge/>
            <w:vAlign w:val="center"/>
          </w:tcPr>
          <w:p w:rsidR="00D84233" w:rsidRDefault="00D84233" w:rsidP="006D4CE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r>
      <w:tr w:rsidR="00D84233" w:rsidTr="00D84233">
        <w:trPr>
          <w:trHeight w:val="877"/>
          <w:jc w:val="center"/>
        </w:trPr>
        <w:tc>
          <w:tcPr>
            <w:tcW w:w="1700" w:type="dxa"/>
            <w:gridSpan w:val="3"/>
            <w:vAlign w:val="center"/>
          </w:tcPr>
          <w:p w:rsidR="00D84233" w:rsidRDefault="00D84233" w:rsidP="006D4CE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976.19</w:t>
            </w:r>
          </w:p>
        </w:tc>
        <w:tc>
          <w:tcPr>
            <w:tcW w:w="1355" w:type="dxa"/>
            <w:gridSpan w:val="2"/>
            <w:tcBorders>
              <w:left w:val="single" w:sz="4" w:space="0" w:color="auto"/>
            </w:tcBorders>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958.51</w:t>
            </w:r>
          </w:p>
        </w:tc>
        <w:tc>
          <w:tcPr>
            <w:tcW w:w="1080" w:type="dxa"/>
            <w:gridSpan w:val="2"/>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519.23</w:t>
            </w:r>
          </w:p>
        </w:tc>
        <w:tc>
          <w:tcPr>
            <w:tcW w:w="2160" w:type="dxa"/>
            <w:gridSpan w:val="4"/>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439.29</w:t>
            </w:r>
          </w:p>
        </w:tc>
        <w:tc>
          <w:tcPr>
            <w:tcW w:w="1080" w:type="dxa"/>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17.68</w:t>
            </w:r>
          </w:p>
        </w:tc>
        <w:tc>
          <w:tcPr>
            <w:tcW w:w="720" w:type="dxa"/>
            <w:gridSpan w:val="3"/>
            <w:tcBorders>
              <w:right w:val="single" w:sz="4" w:space="0" w:color="auto"/>
            </w:tcBorders>
            <w:vAlign w:val="center"/>
          </w:tcPr>
          <w:p w:rsidR="00D84233" w:rsidRDefault="00775006" w:rsidP="00775006">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-24.78</w:t>
            </w:r>
          </w:p>
        </w:tc>
        <w:tc>
          <w:tcPr>
            <w:tcW w:w="625" w:type="dxa"/>
            <w:tcBorders>
              <w:left w:val="single" w:sz="4" w:space="0" w:color="auto"/>
            </w:tcBorders>
            <w:vAlign w:val="center"/>
          </w:tcPr>
          <w:p w:rsidR="00D84233" w:rsidRDefault="007750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74.77</w:t>
            </w:r>
          </w:p>
        </w:tc>
      </w:tr>
      <w:tr w:rsidR="00FD3BF6" w:rsidTr="00D84233">
        <w:trPr>
          <w:trHeight w:val="624"/>
          <w:jc w:val="center"/>
        </w:trPr>
        <w:tc>
          <w:tcPr>
            <w:tcW w:w="1700" w:type="dxa"/>
            <w:gridSpan w:val="3"/>
            <w:vAlign w:val="center"/>
          </w:tcPr>
          <w:p w:rsidR="00FD3BF6" w:rsidRDefault="00FD3BF6" w:rsidP="00C06A32">
            <w:pPr>
              <w:spacing w:line="320" w:lineRule="exact"/>
              <w:ind w:firstLineChars="100" w:firstLine="240"/>
              <w:jc w:val="left"/>
              <w:rPr>
                <w:rFonts w:ascii="仿宋_GB2312" w:eastAsia="仿宋_GB2312" w:hAnsi="仿宋_GB2312" w:cs="仿宋_GB2312"/>
                <w:color w:val="000000"/>
                <w:sz w:val="24"/>
              </w:rPr>
            </w:pPr>
            <w:r>
              <w:rPr>
                <w:rFonts w:ascii="仿宋_GB2312" w:eastAsia="仿宋_GB2312" w:hAnsi="仿宋_GB2312" w:cs="仿宋_GB2312" w:hint="eastAsia"/>
                <w:sz w:val="24"/>
              </w:rPr>
              <w:t>市信访局</w:t>
            </w:r>
          </w:p>
        </w:tc>
        <w:tc>
          <w:tcPr>
            <w:tcW w:w="1080" w:type="dxa"/>
            <w:tcBorders>
              <w:right w:val="single" w:sz="4" w:space="0" w:color="auto"/>
            </w:tcBorders>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976.19</w:t>
            </w:r>
          </w:p>
        </w:tc>
        <w:tc>
          <w:tcPr>
            <w:tcW w:w="1355" w:type="dxa"/>
            <w:gridSpan w:val="2"/>
            <w:tcBorders>
              <w:left w:val="single" w:sz="4" w:space="0" w:color="auto"/>
            </w:tcBorders>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958.51</w:t>
            </w:r>
          </w:p>
        </w:tc>
        <w:tc>
          <w:tcPr>
            <w:tcW w:w="1080" w:type="dxa"/>
            <w:gridSpan w:val="2"/>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519.23</w:t>
            </w:r>
          </w:p>
        </w:tc>
        <w:tc>
          <w:tcPr>
            <w:tcW w:w="2160" w:type="dxa"/>
            <w:gridSpan w:val="4"/>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439.29</w:t>
            </w:r>
          </w:p>
        </w:tc>
        <w:tc>
          <w:tcPr>
            <w:tcW w:w="1080" w:type="dxa"/>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17.68</w:t>
            </w:r>
          </w:p>
        </w:tc>
        <w:tc>
          <w:tcPr>
            <w:tcW w:w="720" w:type="dxa"/>
            <w:gridSpan w:val="3"/>
            <w:tcBorders>
              <w:right w:val="single" w:sz="4" w:space="0" w:color="auto"/>
            </w:tcBorders>
            <w:vAlign w:val="center"/>
          </w:tcPr>
          <w:p w:rsidR="00FD3BF6" w:rsidRDefault="00FD3BF6" w:rsidP="00927D6E">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-24.78</w:t>
            </w:r>
          </w:p>
        </w:tc>
        <w:tc>
          <w:tcPr>
            <w:tcW w:w="625" w:type="dxa"/>
            <w:tcBorders>
              <w:left w:val="single" w:sz="4" w:space="0" w:color="auto"/>
            </w:tcBorders>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74.77</w:t>
            </w:r>
          </w:p>
        </w:tc>
      </w:tr>
      <w:tr w:rsidR="00FD3BF6" w:rsidTr="00D84233">
        <w:trPr>
          <w:trHeight w:val="624"/>
          <w:jc w:val="center"/>
        </w:trPr>
        <w:tc>
          <w:tcPr>
            <w:tcW w:w="1700" w:type="dxa"/>
            <w:gridSpan w:val="3"/>
            <w:vMerge w:val="restart"/>
            <w:vAlign w:val="center"/>
          </w:tcPr>
          <w:p w:rsidR="00FD3BF6" w:rsidRDefault="00FD3BF6" w:rsidP="006D4CE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D3BF6" w:rsidTr="00D84233">
        <w:trPr>
          <w:trHeight w:val="624"/>
          <w:jc w:val="center"/>
        </w:trPr>
        <w:tc>
          <w:tcPr>
            <w:tcW w:w="1700" w:type="dxa"/>
            <w:gridSpan w:val="3"/>
            <w:vMerge/>
            <w:vAlign w:val="center"/>
          </w:tcPr>
          <w:p w:rsidR="00FD3BF6" w:rsidRDefault="00FD3BF6" w:rsidP="006D4CE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FD3BF6" w:rsidTr="00D84233">
        <w:trPr>
          <w:trHeight w:val="858"/>
          <w:jc w:val="center"/>
        </w:trPr>
        <w:tc>
          <w:tcPr>
            <w:tcW w:w="1700" w:type="dxa"/>
            <w:gridSpan w:val="3"/>
            <w:vAlign w:val="center"/>
          </w:tcPr>
          <w:p w:rsidR="00FD3BF6" w:rsidRDefault="00FD3BF6" w:rsidP="006D4CE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10.36</w:t>
            </w:r>
          </w:p>
        </w:tc>
        <w:tc>
          <w:tcPr>
            <w:tcW w:w="1355" w:type="dxa"/>
            <w:gridSpan w:val="2"/>
            <w:tcBorders>
              <w:left w:val="single" w:sz="4" w:space="0" w:color="auto"/>
            </w:tcBorders>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w:t>
            </w:r>
          </w:p>
        </w:tc>
        <w:tc>
          <w:tcPr>
            <w:tcW w:w="1080" w:type="dxa"/>
            <w:gridSpan w:val="2"/>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9.15</w:t>
            </w:r>
          </w:p>
        </w:tc>
        <w:tc>
          <w:tcPr>
            <w:tcW w:w="2160" w:type="dxa"/>
            <w:gridSpan w:val="4"/>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624"/>
          <w:jc w:val="center"/>
        </w:trPr>
        <w:tc>
          <w:tcPr>
            <w:tcW w:w="1700" w:type="dxa"/>
            <w:gridSpan w:val="3"/>
            <w:vAlign w:val="center"/>
          </w:tcPr>
          <w:p w:rsidR="00FD3BF6" w:rsidRDefault="00EA4C1E" w:rsidP="00EA4C1E">
            <w:pPr>
              <w:spacing w:line="32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市信访局</w:t>
            </w:r>
          </w:p>
        </w:tc>
        <w:tc>
          <w:tcPr>
            <w:tcW w:w="1080" w:type="dxa"/>
            <w:tcBorders>
              <w:right w:val="single" w:sz="4" w:space="0" w:color="auto"/>
            </w:tcBorders>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10.36</w:t>
            </w:r>
          </w:p>
        </w:tc>
        <w:tc>
          <w:tcPr>
            <w:tcW w:w="1355" w:type="dxa"/>
            <w:gridSpan w:val="2"/>
            <w:tcBorders>
              <w:left w:val="single" w:sz="4" w:space="0" w:color="auto"/>
            </w:tcBorders>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w:t>
            </w:r>
          </w:p>
        </w:tc>
        <w:tc>
          <w:tcPr>
            <w:tcW w:w="1080" w:type="dxa"/>
            <w:gridSpan w:val="2"/>
            <w:vAlign w:val="center"/>
          </w:tcPr>
          <w:p w:rsidR="002F56D5" w:rsidRDefault="002F56D5" w:rsidP="002F56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9.15</w:t>
            </w:r>
          </w:p>
        </w:tc>
        <w:tc>
          <w:tcPr>
            <w:tcW w:w="2160" w:type="dxa"/>
            <w:gridSpan w:val="4"/>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624"/>
          <w:jc w:val="center"/>
        </w:trPr>
        <w:tc>
          <w:tcPr>
            <w:tcW w:w="1700" w:type="dxa"/>
            <w:gridSpan w:val="3"/>
            <w:vMerge w:val="restart"/>
            <w:vAlign w:val="center"/>
          </w:tcPr>
          <w:p w:rsidR="00FD3BF6" w:rsidRDefault="00FD3BF6" w:rsidP="006D4CE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FD3BF6" w:rsidTr="00D84233">
        <w:trPr>
          <w:trHeight w:val="624"/>
          <w:jc w:val="center"/>
        </w:trPr>
        <w:tc>
          <w:tcPr>
            <w:tcW w:w="1700" w:type="dxa"/>
            <w:gridSpan w:val="3"/>
            <w:vMerge/>
            <w:vAlign w:val="center"/>
          </w:tcPr>
          <w:p w:rsidR="00FD3BF6" w:rsidRDefault="00FD3BF6" w:rsidP="006D4CE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855"/>
          <w:jc w:val="center"/>
        </w:trPr>
        <w:tc>
          <w:tcPr>
            <w:tcW w:w="1700" w:type="dxa"/>
            <w:gridSpan w:val="3"/>
            <w:vAlign w:val="center"/>
          </w:tcPr>
          <w:p w:rsidR="00FD3BF6" w:rsidRDefault="00FD3BF6" w:rsidP="006D4CE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FD3BF6" w:rsidRDefault="006B67AC"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1427.74</w:t>
            </w:r>
          </w:p>
        </w:tc>
        <w:tc>
          <w:tcPr>
            <w:tcW w:w="2435" w:type="dxa"/>
            <w:gridSpan w:val="4"/>
            <w:tcBorders>
              <w:left w:val="single" w:sz="4" w:space="0" w:color="auto"/>
            </w:tcBorders>
            <w:vAlign w:val="center"/>
          </w:tcPr>
          <w:p w:rsidR="00FD3BF6" w:rsidRDefault="006B67AC"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1427.74</w:t>
            </w:r>
          </w:p>
        </w:tc>
        <w:tc>
          <w:tcPr>
            <w:tcW w:w="3644" w:type="dxa"/>
            <w:gridSpan w:val="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624"/>
          <w:jc w:val="center"/>
        </w:trPr>
        <w:tc>
          <w:tcPr>
            <w:tcW w:w="1700" w:type="dxa"/>
            <w:gridSpan w:val="3"/>
            <w:vAlign w:val="center"/>
          </w:tcPr>
          <w:p w:rsidR="00FD3BF6" w:rsidRDefault="00084517" w:rsidP="006D4CE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市信访局</w:t>
            </w:r>
          </w:p>
        </w:tc>
        <w:tc>
          <w:tcPr>
            <w:tcW w:w="1080" w:type="dxa"/>
            <w:tcBorders>
              <w:right w:val="single" w:sz="4" w:space="0" w:color="auto"/>
            </w:tcBorders>
            <w:vAlign w:val="center"/>
          </w:tcPr>
          <w:p w:rsidR="00FD3BF6" w:rsidRDefault="006B67AC"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1427.74</w:t>
            </w:r>
          </w:p>
        </w:tc>
        <w:tc>
          <w:tcPr>
            <w:tcW w:w="2435" w:type="dxa"/>
            <w:gridSpan w:val="4"/>
            <w:tcBorders>
              <w:left w:val="single" w:sz="4" w:space="0" w:color="auto"/>
            </w:tcBorders>
            <w:vAlign w:val="center"/>
          </w:tcPr>
          <w:p w:rsidR="00FD3BF6" w:rsidRDefault="006B67AC"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1427.74</w:t>
            </w:r>
          </w:p>
        </w:tc>
        <w:tc>
          <w:tcPr>
            <w:tcW w:w="3644" w:type="dxa"/>
            <w:gridSpan w:val="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567"/>
          <w:jc w:val="center"/>
        </w:trPr>
        <w:tc>
          <w:tcPr>
            <w:tcW w:w="9800" w:type="dxa"/>
            <w:gridSpan w:val="1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FD3BF6" w:rsidTr="00D84233">
        <w:trPr>
          <w:trHeight w:val="567"/>
          <w:jc w:val="center"/>
        </w:trPr>
        <w:tc>
          <w:tcPr>
            <w:tcW w:w="1441" w:type="dxa"/>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FD3BF6" w:rsidTr="00D84233">
        <w:trPr>
          <w:trHeight w:val="1172"/>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3774" w:type="dxa"/>
            <w:gridSpan w:val="7"/>
            <w:vAlign w:val="center"/>
          </w:tcPr>
          <w:p w:rsidR="003D5A35" w:rsidRDefault="00FD3BF6" w:rsidP="0030126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3D5A35" w:rsidRPr="00952900">
              <w:rPr>
                <w:rFonts w:ascii="仿宋_GB2312" w:eastAsia="仿宋_GB2312" w:hAnsi="仿宋_GB2312" w:cs="仿宋_GB2312" w:hint="eastAsia"/>
                <w:color w:val="000000"/>
                <w:sz w:val="24"/>
              </w:rPr>
              <w:t>高位推进信访工作</w:t>
            </w:r>
          </w:p>
          <w:p w:rsidR="003D5A35" w:rsidRDefault="00FD3BF6" w:rsidP="0030126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3D5A35" w:rsidRPr="00952900">
              <w:rPr>
                <w:rFonts w:ascii="仿宋_GB2312" w:eastAsia="仿宋_GB2312" w:hAnsi="仿宋_GB2312" w:cs="仿宋_GB2312" w:hint="eastAsia"/>
                <w:color w:val="000000"/>
                <w:sz w:val="24"/>
              </w:rPr>
              <w:t>不断夯实基层基础</w:t>
            </w:r>
          </w:p>
          <w:p w:rsidR="003D5A35" w:rsidRPr="00952900" w:rsidRDefault="003D5A35" w:rsidP="0030126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Pr="00952900">
              <w:rPr>
                <w:rFonts w:ascii="仿宋_GB2312" w:eastAsia="仿宋_GB2312" w:hAnsi="仿宋_GB2312" w:cs="仿宋_GB2312" w:hint="eastAsia"/>
                <w:color w:val="000000"/>
                <w:sz w:val="24"/>
              </w:rPr>
              <w:t>持续提升业务水平</w:t>
            </w:r>
          </w:p>
          <w:p w:rsidR="00FD3BF6" w:rsidRDefault="003D5A35" w:rsidP="0030126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w:t>
            </w:r>
            <w:r w:rsidRPr="00952900">
              <w:rPr>
                <w:rFonts w:ascii="仿宋_GB2312" w:eastAsia="仿宋_GB2312" w:hAnsi="仿宋_GB2312" w:cs="仿宋_GB2312" w:hint="eastAsia"/>
                <w:color w:val="000000"/>
                <w:sz w:val="24"/>
              </w:rPr>
              <w:t>积极推进“满意窗口”</w:t>
            </w:r>
          </w:p>
        </w:tc>
        <w:tc>
          <w:tcPr>
            <w:tcW w:w="4585" w:type="dxa"/>
            <w:gridSpan w:val="9"/>
            <w:vAlign w:val="center"/>
          </w:tcPr>
          <w:p w:rsidR="00FD3BF6" w:rsidRPr="0030126D" w:rsidRDefault="001236C5" w:rsidP="00BA0A2E">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r w:rsidR="0030126D">
              <w:rPr>
                <w:rFonts w:ascii="仿宋_GB2312" w:eastAsia="仿宋_GB2312" w:hAnsi="仿宋_GB2312" w:cs="仿宋_GB2312" w:hint="eastAsia"/>
                <w:color w:val="000000"/>
                <w:sz w:val="24"/>
              </w:rPr>
              <w:t>较好，</w:t>
            </w:r>
            <w:r w:rsidR="0030126D" w:rsidRPr="0030126D">
              <w:rPr>
                <w:rFonts w:ascii="仿宋_GB2312" w:eastAsia="仿宋_GB2312" w:hAnsi="仿宋_GB2312" w:cs="仿宋_GB2312" w:hint="eastAsia"/>
                <w:color w:val="000000"/>
                <w:sz w:val="24"/>
              </w:rPr>
              <w:t>全市信访系统坚持以习近平新时代中国特色社会主义思想为指导，深入贯彻落实习近平总书记关于加强和改进人民信访工作的重要思想，紧紧围绕实现“四个转变”、落实“六个强化”、建设“五</w:t>
            </w:r>
            <w:r w:rsidR="0030126D" w:rsidRPr="0030126D">
              <w:rPr>
                <w:rFonts w:ascii="仿宋_GB2312" w:eastAsia="仿宋_GB2312" w:hAnsi="仿宋_GB2312" w:cs="仿宋_GB2312" w:hint="eastAsia"/>
                <w:color w:val="000000"/>
                <w:sz w:val="24"/>
              </w:rPr>
              <w:lastRenderedPageBreak/>
              <w:t>有干部”的目标，聚焦基</w:t>
            </w:r>
            <w:r w:rsidR="00BA0A2E">
              <w:rPr>
                <w:rFonts w:ascii="仿宋_GB2312" w:eastAsia="仿宋_GB2312" w:hAnsi="仿宋_GB2312" w:cs="仿宋_GB2312" w:hint="eastAsia"/>
                <w:color w:val="000000"/>
                <w:sz w:val="24"/>
              </w:rPr>
              <w:t>层基础、源头治理、突出问题、责任落实，扎实推进全年信访重点工作</w:t>
            </w:r>
            <w:r w:rsidR="0030126D" w:rsidRPr="0030126D">
              <w:rPr>
                <w:rFonts w:ascii="仿宋_GB2312" w:eastAsia="仿宋_GB2312" w:hAnsi="仿宋_GB2312" w:cs="仿宋_GB2312" w:hint="eastAsia"/>
                <w:color w:val="000000"/>
                <w:sz w:val="24"/>
              </w:rPr>
              <w:t>。</w:t>
            </w:r>
          </w:p>
        </w:tc>
      </w:tr>
      <w:tr w:rsidR="00FD3BF6" w:rsidTr="00D84233">
        <w:trPr>
          <w:trHeight w:val="567"/>
          <w:jc w:val="center"/>
        </w:trPr>
        <w:tc>
          <w:tcPr>
            <w:tcW w:w="1441" w:type="dxa"/>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FD3BF6" w:rsidRPr="00BA0A2E"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sidR="00B544DB">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sidR="003D5A35" w:rsidRPr="00BA0A2E">
              <w:rPr>
                <w:rFonts w:ascii="仿宋_GB2312" w:eastAsia="仿宋_GB2312" w:hAnsi="仿宋_GB2312" w:cs="仿宋_GB2312" w:hint="eastAsia"/>
                <w:color w:val="000000"/>
                <w:sz w:val="24"/>
              </w:rPr>
              <w:t>落实首登首办责任，加强初信初访办理</w:t>
            </w:r>
          </w:p>
        </w:tc>
        <w:tc>
          <w:tcPr>
            <w:tcW w:w="2684" w:type="dxa"/>
            <w:gridSpan w:val="6"/>
            <w:vAlign w:val="center"/>
          </w:tcPr>
          <w:p w:rsidR="00FD3BF6" w:rsidRPr="00BA0A2E" w:rsidRDefault="00A642ED" w:rsidP="00B544DB">
            <w:pPr>
              <w:autoSpaceDN w:val="0"/>
              <w:spacing w:line="320" w:lineRule="exact"/>
              <w:jc w:val="left"/>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完成情况较好，推行信访事项办理审核关口前移机制</w:t>
            </w:r>
          </w:p>
        </w:tc>
      </w:tr>
      <w:tr w:rsidR="00FD3BF6" w:rsidRPr="00BA0A2E"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ign w:val="center"/>
          </w:tcPr>
          <w:p w:rsidR="00FD3BF6" w:rsidRDefault="00FD3BF6" w:rsidP="006D4CE4">
            <w:pPr>
              <w:spacing w:line="320" w:lineRule="exact"/>
              <w:rPr>
                <w:rFonts w:ascii="仿宋_GB2312" w:eastAsia="仿宋_GB2312" w:hAnsi="仿宋_GB2312" w:cs="仿宋_GB2312"/>
                <w:sz w:val="24"/>
              </w:rPr>
            </w:pPr>
          </w:p>
        </w:tc>
        <w:tc>
          <w:tcPr>
            <w:tcW w:w="2709" w:type="dxa"/>
            <w:gridSpan w:val="4"/>
            <w:vAlign w:val="center"/>
          </w:tcPr>
          <w:p w:rsidR="00FD3BF6" w:rsidRDefault="00FD3BF6" w:rsidP="00A642E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A642ED" w:rsidRPr="00BA0A2E">
              <w:rPr>
                <w:rFonts w:ascii="仿宋_GB2312" w:eastAsia="仿宋_GB2312" w:hAnsi="仿宋_GB2312" w:cs="仿宋_GB2312" w:hint="eastAsia"/>
                <w:color w:val="000000"/>
                <w:sz w:val="24"/>
              </w:rPr>
              <w:t>县市区一个月内办结信访件与总办结数量的比率较高</w:t>
            </w:r>
            <w:r w:rsidR="00A642ED">
              <w:rPr>
                <w:rFonts w:ascii="仿宋_GB2312" w:eastAsia="仿宋_GB2312" w:hAnsi="仿宋_GB2312" w:cs="仿宋_GB2312"/>
                <w:color w:val="000000"/>
                <w:sz w:val="24"/>
              </w:rPr>
              <w:t xml:space="preserve"> </w:t>
            </w:r>
          </w:p>
        </w:tc>
        <w:tc>
          <w:tcPr>
            <w:tcW w:w="2684" w:type="dxa"/>
            <w:gridSpan w:val="6"/>
            <w:vAlign w:val="center"/>
          </w:tcPr>
          <w:p w:rsidR="00FD3BF6" w:rsidRPr="00BA0A2E" w:rsidRDefault="00A642ED" w:rsidP="00B544DB">
            <w:pPr>
              <w:autoSpaceDN w:val="0"/>
              <w:spacing w:line="320" w:lineRule="exact"/>
              <w:jc w:val="left"/>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2020年，我市网上统计信访事项按期办结率为99.6%，信访机构和责任部门的及时受理率分别为99.3%、99.4%</w:t>
            </w:r>
          </w:p>
        </w:tc>
      </w:tr>
      <w:tr w:rsidR="00FD3BF6" w:rsidRPr="00BA0A2E"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3D5A35" w:rsidRPr="00BA0A2E">
              <w:rPr>
                <w:rFonts w:ascii="仿宋_GB2312" w:eastAsia="仿宋_GB2312" w:hAnsi="仿宋_GB2312" w:cs="仿宋_GB2312" w:hint="eastAsia"/>
                <w:color w:val="000000"/>
                <w:sz w:val="24"/>
              </w:rPr>
              <w:t>推进机制建设、队伍建设、重点工作任务，推动信访工作长效机制落到实处</w:t>
            </w:r>
          </w:p>
        </w:tc>
        <w:tc>
          <w:tcPr>
            <w:tcW w:w="2684" w:type="dxa"/>
            <w:gridSpan w:val="6"/>
            <w:vAlign w:val="center"/>
          </w:tcPr>
          <w:p w:rsidR="00FD3BF6" w:rsidRPr="00BA0A2E" w:rsidRDefault="00D134D1" w:rsidP="00B544DB">
            <w:pPr>
              <w:autoSpaceDN w:val="0"/>
              <w:spacing w:line="320" w:lineRule="exact"/>
              <w:jc w:val="left"/>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市委常委会组成人员每人带案督导联点县市区2个信访突出问题，市政府领导每人领办包案2个信访突出问题，</w:t>
            </w:r>
          </w:p>
        </w:tc>
      </w:tr>
      <w:tr w:rsidR="00FD3BF6" w:rsidTr="00D84233">
        <w:trPr>
          <w:trHeight w:val="461"/>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ign w:val="center"/>
          </w:tcPr>
          <w:p w:rsidR="00FD3BF6" w:rsidRDefault="00FD3BF6" w:rsidP="006D4CE4">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134D1" w:rsidRPr="00BA0A2E">
              <w:rPr>
                <w:rFonts w:ascii="仿宋_GB2312" w:eastAsia="仿宋_GB2312" w:hAnsi="仿宋_GB2312" w:cs="仿宋_GB2312" w:hint="eastAsia"/>
                <w:color w:val="000000"/>
                <w:sz w:val="24"/>
              </w:rPr>
              <w:t>减存量、止增量</w:t>
            </w:r>
          </w:p>
        </w:tc>
        <w:tc>
          <w:tcPr>
            <w:tcW w:w="2684" w:type="dxa"/>
            <w:gridSpan w:val="6"/>
            <w:vAlign w:val="center"/>
          </w:tcPr>
          <w:p w:rsidR="00FD3BF6" w:rsidRPr="00BA0A2E" w:rsidRDefault="00D134D1" w:rsidP="00B544DB">
            <w:pPr>
              <w:autoSpaceDN w:val="0"/>
              <w:spacing w:line="320" w:lineRule="exact"/>
              <w:jc w:val="left"/>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市委书记、市长等15名市级领导带头领办包案27件重点难点信访积案，中央交办涉及岳阳市的595件信访事项，现已化解办结157件，全部签订息访息诉书，化解率为26.38%，超额完成省定2020年度化解20%的目标。</w:t>
            </w:r>
          </w:p>
        </w:tc>
      </w:tr>
      <w:tr w:rsidR="00FD3BF6"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134D1" w:rsidRPr="00B544DB">
              <w:rPr>
                <w:rFonts w:ascii="仿宋_GB2312" w:eastAsia="仿宋_GB2312" w:hAnsi="仿宋_GB2312" w:cs="仿宋_GB2312" w:hint="eastAsia"/>
                <w:color w:val="000000"/>
                <w:sz w:val="24"/>
              </w:rPr>
              <w:t>首登首办责任，加强初信初访办理</w:t>
            </w:r>
          </w:p>
        </w:tc>
        <w:tc>
          <w:tcPr>
            <w:tcW w:w="2684" w:type="dxa"/>
            <w:gridSpan w:val="6"/>
            <w:vAlign w:val="center"/>
          </w:tcPr>
          <w:p w:rsidR="00FD3BF6" w:rsidRPr="00BA0A2E" w:rsidRDefault="00B544DB" w:rsidP="00B544D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w:t>
            </w:r>
            <w:r w:rsidR="00D134D1" w:rsidRPr="00BA0A2E">
              <w:rPr>
                <w:rFonts w:ascii="仿宋_GB2312" w:eastAsia="仿宋_GB2312" w:hAnsi="仿宋_GB2312" w:cs="仿宋_GB2312" w:hint="eastAsia"/>
                <w:color w:val="000000"/>
                <w:sz w:val="24"/>
              </w:rPr>
              <w:t>阳县、华容县、汨罗市、屈原管理区等地信访事项一个月内办结比率达到70%以上</w:t>
            </w:r>
            <w:r w:rsidR="001A665F">
              <w:rPr>
                <w:rFonts w:ascii="仿宋_GB2312" w:eastAsia="仿宋_GB2312" w:hAnsi="仿宋_GB2312" w:cs="仿宋_GB2312" w:hint="eastAsia"/>
                <w:color w:val="000000"/>
                <w:sz w:val="24"/>
              </w:rPr>
              <w:t>。</w:t>
            </w:r>
          </w:p>
        </w:tc>
      </w:tr>
      <w:tr w:rsidR="00FD3BF6"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FD3BF6" w:rsidRDefault="00FD3BF6" w:rsidP="00D134D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134D1" w:rsidRPr="00BA0A2E">
              <w:rPr>
                <w:rFonts w:ascii="仿宋_GB2312" w:eastAsia="仿宋_GB2312" w:hAnsi="仿宋_GB2312" w:cs="仿宋_GB2312" w:hint="eastAsia"/>
                <w:color w:val="000000"/>
                <w:sz w:val="24"/>
              </w:rPr>
              <w:t>24小时接听处理任务，第一时间协调对接12个县市区构建全市疫情防控热线网络</w:t>
            </w:r>
          </w:p>
        </w:tc>
        <w:tc>
          <w:tcPr>
            <w:tcW w:w="2684" w:type="dxa"/>
            <w:gridSpan w:val="6"/>
            <w:vAlign w:val="center"/>
          </w:tcPr>
          <w:p w:rsidR="00FD3BF6" w:rsidRPr="00BA0A2E" w:rsidRDefault="00D134D1" w:rsidP="006D4CE4">
            <w:pPr>
              <w:autoSpaceDN w:val="0"/>
              <w:spacing w:line="320" w:lineRule="exact"/>
              <w:jc w:val="center"/>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1月28日至5月20日，市、县两级疫情防控热线共接听群众来电32511个，市级疫情防控热线直接督办重点问题136个，报送疫情防控专报47期，提出疫情防控意见建议30条。</w:t>
            </w:r>
          </w:p>
        </w:tc>
      </w:tr>
      <w:tr w:rsidR="00FD3BF6"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sidR="00583295" w:rsidRPr="00BA0A2E">
              <w:rPr>
                <w:rFonts w:ascii="仿宋_GB2312" w:eastAsia="仿宋_GB2312" w:hAnsi="仿宋_GB2312" w:cs="仿宋_GB2312" w:hint="eastAsia"/>
                <w:color w:val="000000"/>
                <w:sz w:val="24"/>
              </w:rPr>
              <w:t>切实解决民生问题</w:t>
            </w:r>
          </w:p>
        </w:tc>
        <w:tc>
          <w:tcPr>
            <w:tcW w:w="2684" w:type="dxa"/>
            <w:gridSpan w:val="6"/>
            <w:vAlign w:val="center"/>
          </w:tcPr>
          <w:p w:rsidR="00FD3BF6" w:rsidRPr="00BA0A2E" w:rsidRDefault="00583295" w:rsidP="006D4CE4">
            <w:pPr>
              <w:autoSpaceDN w:val="0"/>
              <w:spacing w:line="320" w:lineRule="exact"/>
              <w:jc w:val="center"/>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市级中心城区30个“办证难”楼盘已化解12个，县级42个“办证难”楼盘已化解16个，提前完成省定</w:t>
            </w:r>
            <w:r w:rsidRPr="00BA0A2E">
              <w:rPr>
                <w:rFonts w:ascii="仿宋_GB2312" w:eastAsia="仿宋_GB2312" w:hAnsi="仿宋_GB2312" w:cs="仿宋_GB2312" w:hint="eastAsia"/>
                <w:color w:val="000000"/>
                <w:sz w:val="24"/>
              </w:rPr>
              <w:lastRenderedPageBreak/>
              <w:t>化解30%的工作目标。</w:t>
            </w:r>
          </w:p>
        </w:tc>
      </w:tr>
      <w:tr w:rsidR="00FD3BF6"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sidR="00583295">
              <w:rPr>
                <w:rFonts w:ascii="仿宋_GB2312" w:eastAsia="仿宋_GB2312" w:hAnsi="仿宋_GB2312" w:cs="仿宋_GB2312" w:hint="eastAsia"/>
                <w:color w:val="000000"/>
                <w:sz w:val="24"/>
              </w:rPr>
              <w:t>建设</w:t>
            </w:r>
            <w:r w:rsidR="00583295" w:rsidRPr="00BA0A2E">
              <w:rPr>
                <w:rFonts w:ascii="仿宋_GB2312" w:eastAsia="仿宋_GB2312" w:hAnsi="仿宋_GB2312" w:cs="仿宋_GB2312" w:hint="eastAsia"/>
                <w:color w:val="000000"/>
                <w:sz w:val="24"/>
              </w:rPr>
              <w:t>“满意窗口”</w:t>
            </w:r>
          </w:p>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FD3BF6" w:rsidRPr="00BA0A2E" w:rsidRDefault="00583295" w:rsidP="006D4CE4">
            <w:pPr>
              <w:autoSpaceDN w:val="0"/>
              <w:spacing w:line="320" w:lineRule="exact"/>
              <w:jc w:val="center"/>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市信访局“人民满意窗口”创建经验被省联席办工作简报推介</w:t>
            </w:r>
          </w:p>
        </w:tc>
      </w:tr>
      <w:tr w:rsidR="00FD3BF6" w:rsidTr="00D84233">
        <w:trPr>
          <w:trHeight w:val="567"/>
          <w:jc w:val="center"/>
        </w:trPr>
        <w:tc>
          <w:tcPr>
            <w:tcW w:w="2990"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FD3BF6" w:rsidRDefault="00DF5CF9"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305AD3">
              <w:rPr>
                <w:rFonts w:ascii="仿宋_GB2312" w:eastAsia="仿宋_GB2312" w:hAnsi="仿宋_GB2312" w:cs="仿宋_GB2312" w:hint="eastAsia"/>
                <w:color w:val="000000"/>
                <w:sz w:val="24"/>
              </w:rPr>
              <w:t>1.5</w:t>
            </w:r>
          </w:p>
        </w:tc>
      </w:tr>
      <w:tr w:rsidR="00FD3BF6" w:rsidTr="00D84233">
        <w:trPr>
          <w:trHeight w:val="567"/>
          <w:jc w:val="center"/>
        </w:trPr>
        <w:tc>
          <w:tcPr>
            <w:tcW w:w="2990"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FD3BF6" w:rsidRDefault="00C32627"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FD3BF6" w:rsidTr="00D84233">
        <w:trPr>
          <w:trHeight w:val="680"/>
          <w:jc w:val="center"/>
        </w:trPr>
        <w:tc>
          <w:tcPr>
            <w:tcW w:w="9800" w:type="dxa"/>
            <w:gridSpan w:val="1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FD3BF6" w:rsidTr="00D84233">
        <w:trPr>
          <w:trHeight w:val="567"/>
          <w:jc w:val="center"/>
        </w:trPr>
        <w:tc>
          <w:tcPr>
            <w:tcW w:w="1654"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DD5C17" w:rsidTr="00D84233">
        <w:trPr>
          <w:trHeight w:val="680"/>
          <w:jc w:val="center"/>
        </w:trPr>
        <w:tc>
          <w:tcPr>
            <w:tcW w:w="1654" w:type="dxa"/>
            <w:gridSpan w:val="2"/>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  霖</w:t>
            </w:r>
          </w:p>
        </w:tc>
        <w:tc>
          <w:tcPr>
            <w:tcW w:w="3561" w:type="dxa"/>
            <w:gridSpan w:val="6"/>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党组成员、副局长</w:t>
            </w:r>
          </w:p>
        </w:tc>
        <w:tc>
          <w:tcPr>
            <w:tcW w:w="1479" w:type="dxa"/>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岳阳市信访局</w:t>
            </w:r>
          </w:p>
        </w:tc>
        <w:tc>
          <w:tcPr>
            <w:tcW w:w="3106" w:type="dxa"/>
            <w:gridSpan w:val="8"/>
            <w:vAlign w:val="center"/>
          </w:tcPr>
          <w:p w:rsidR="00DD5C17" w:rsidRDefault="00DD5C17" w:rsidP="006D4CE4">
            <w:pPr>
              <w:autoSpaceDN w:val="0"/>
              <w:spacing w:line="320" w:lineRule="exact"/>
              <w:jc w:val="center"/>
              <w:textAlignment w:val="center"/>
              <w:rPr>
                <w:rFonts w:ascii="仿宋_GB2312" w:eastAsia="仿宋_GB2312" w:hAnsi="仿宋_GB2312" w:cs="仿宋_GB2312"/>
                <w:color w:val="000000"/>
                <w:sz w:val="24"/>
              </w:rPr>
            </w:pPr>
          </w:p>
        </w:tc>
      </w:tr>
      <w:tr w:rsidR="00DD5C17" w:rsidTr="00D84233">
        <w:trPr>
          <w:trHeight w:val="680"/>
          <w:jc w:val="center"/>
        </w:trPr>
        <w:tc>
          <w:tcPr>
            <w:tcW w:w="1654" w:type="dxa"/>
            <w:gridSpan w:val="2"/>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郑雄伟</w:t>
            </w:r>
          </w:p>
        </w:tc>
        <w:tc>
          <w:tcPr>
            <w:tcW w:w="3561" w:type="dxa"/>
            <w:gridSpan w:val="6"/>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岳阳市信访局</w:t>
            </w:r>
          </w:p>
        </w:tc>
        <w:tc>
          <w:tcPr>
            <w:tcW w:w="3106" w:type="dxa"/>
            <w:gridSpan w:val="8"/>
            <w:vAlign w:val="center"/>
          </w:tcPr>
          <w:p w:rsidR="00DD5C17" w:rsidRDefault="00DD5C17" w:rsidP="006D4CE4">
            <w:pPr>
              <w:autoSpaceDN w:val="0"/>
              <w:spacing w:line="320" w:lineRule="exact"/>
              <w:jc w:val="center"/>
              <w:textAlignment w:val="center"/>
              <w:rPr>
                <w:rFonts w:ascii="仿宋_GB2312" w:eastAsia="仿宋_GB2312" w:hAnsi="仿宋_GB2312" w:cs="仿宋_GB2312"/>
                <w:color w:val="000000"/>
                <w:sz w:val="24"/>
              </w:rPr>
            </w:pPr>
          </w:p>
        </w:tc>
      </w:tr>
      <w:tr w:rsidR="00DD5C17" w:rsidTr="00D84233">
        <w:trPr>
          <w:trHeight w:val="680"/>
          <w:jc w:val="center"/>
        </w:trPr>
        <w:tc>
          <w:tcPr>
            <w:tcW w:w="1654" w:type="dxa"/>
            <w:gridSpan w:val="2"/>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吴浙军</w:t>
            </w:r>
          </w:p>
        </w:tc>
        <w:tc>
          <w:tcPr>
            <w:tcW w:w="3561" w:type="dxa"/>
            <w:gridSpan w:val="6"/>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办公室副主任</w:t>
            </w:r>
          </w:p>
        </w:tc>
        <w:tc>
          <w:tcPr>
            <w:tcW w:w="1479" w:type="dxa"/>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岳阳市信访局</w:t>
            </w:r>
          </w:p>
        </w:tc>
        <w:tc>
          <w:tcPr>
            <w:tcW w:w="3106" w:type="dxa"/>
            <w:gridSpan w:val="8"/>
            <w:vAlign w:val="center"/>
          </w:tcPr>
          <w:p w:rsidR="00DD5C17" w:rsidRDefault="00DD5C17" w:rsidP="006D4CE4">
            <w:pPr>
              <w:autoSpaceDN w:val="0"/>
              <w:spacing w:line="320" w:lineRule="exact"/>
              <w:jc w:val="center"/>
              <w:textAlignment w:val="center"/>
              <w:rPr>
                <w:rFonts w:ascii="仿宋_GB2312" w:eastAsia="仿宋_GB2312" w:hAnsi="仿宋_GB2312" w:cs="仿宋_GB2312"/>
                <w:color w:val="000000"/>
                <w:sz w:val="24"/>
              </w:rPr>
            </w:pPr>
          </w:p>
        </w:tc>
      </w:tr>
      <w:tr w:rsidR="00DD5C17" w:rsidTr="0091662C">
        <w:trPr>
          <w:trHeight w:val="2427"/>
          <w:jc w:val="center"/>
        </w:trPr>
        <w:tc>
          <w:tcPr>
            <w:tcW w:w="9800" w:type="dxa"/>
            <w:gridSpan w:val="17"/>
            <w:vAlign w:val="center"/>
          </w:tcPr>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D5C17" w:rsidTr="00415B90">
        <w:trPr>
          <w:trHeight w:val="2406"/>
          <w:jc w:val="center"/>
        </w:trPr>
        <w:tc>
          <w:tcPr>
            <w:tcW w:w="9800" w:type="dxa"/>
            <w:gridSpan w:val="17"/>
            <w:vAlign w:val="center"/>
          </w:tcPr>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D5C17" w:rsidTr="00415B90">
        <w:trPr>
          <w:trHeight w:val="2360"/>
          <w:jc w:val="center"/>
        </w:trPr>
        <w:tc>
          <w:tcPr>
            <w:tcW w:w="9800" w:type="dxa"/>
            <w:gridSpan w:val="17"/>
            <w:vAlign w:val="center"/>
          </w:tcPr>
          <w:p w:rsidR="00DD5C17" w:rsidRDefault="00DD5C17" w:rsidP="006D4CE4">
            <w:pPr>
              <w:spacing w:line="320" w:lineRule="exact"/>
              <w:rPr>
                <w:rFonts w:eastAsia="仿宋_GB2312"/>
                <w:sz w:val="24"/>
              </w:rPr>
            </w:pPr>
            <w:r>
              <w:rPr>
                <w:rFonts w:eastAsia="仿宋_GB2312" w:hint="eastAsia"/>
                <w:sz w:val="24"/>
              </w:rPr>
              <w:t>财政部门归口业务科室意见：</w:t>
            </w:r>
          </w:p>
          <w:p w:rsidR="00DD5C17" w:rsidRDefault="00DD5C17" w:rsidP="006D4CE4">
            <w:pPr>
              <w:spacing w:line="320" w:lineRule="exact"/>
              <w:rPr>
                <w:rFonts w:eastAsia="仿宋_GB2312"/>
                <w:sz w:val="24"/>
              </w:rPr>
            </w:pPr>
          </w:p>
          <w:p w:rsidR="00DD5C17" w:rsidRDefault="00DD5C17" w:rsidP="006D4CE4">
            <w:pPr>
              <w:spacing w:line="320" w:lineRule="exact"/>
              <w:rPr>
                <w:rFonts w:eastAsia="仿宋_GB2312"/>
                <w:sz w:val="24"/>
              </w:rPr>
            </w:pPr>
          </w:p>
          <w:p w:rsidR="00DD5C17" w:rsidRDefault="00DD5C17" w:rsidP="006D4CE4">
            <w:pPr>
              <w:spacing w:line="320" w:lineRule="exact"/>
              <w:rPr>
                <w:rFonts w:eastAsia="仿宋_GB2312"/>
                <w:sz w:val="24"/>
              </w:rPr>
            </w:pPr>
          </w:p>
          <w:p w:rsidR="00DD5C17" w:rsidRDefault="00DD5C17" w:rsidP="006D4CE4">
            <w:pPr>
              <w:spacing w:line="320" w:lineRule="exact"/>
              <w:rPr>
                <w:rFonts w:eastAsia="仿宋_GB2312"/>
                <w:sz w:val="24"/>
              </w:rPr>
            </w:pPr>
          </w:p>
          <w:p w:rsidR="00DD5C17" w:rsidRDefault="00DD5C17" w:rsidP="006D4CE4">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B5306" w:rsidRDefault="00BB5306" w:rsidP="00BB530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BB5306" w:rsidTr="006D4CE4">
        <w:trPr>
          <w:trHeight w:val="12998"/>
          <w:jc w:val="center"/>
        </w:trPr>
        <w:tc>
          <w:tcPr>
            <w:tcW w:w="9558" w:type="dxa"/>
          </w:tcPr>
          <w:p w:rsidR="00BB5306" w:rsidRDefault="00BB5306" w:rsidP="006D4CE4">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BB5306" w:rsidRDefault="00BB5306" w:rsidP="006D4CE4">
            <w:pPr>
              <w:spacing w:line="440" w:lineRule="exact"/>
              <w:ind w:firstLineChars="200" w:firstLine="640"/>
              <w:rPr>
                <w:rFonts w:eastAsia="仿宋_GB2312"/>
                <w:sz w:val="32"/>
                <w:szCs w:val="32"/>
              </w:rPr>
            </w:pP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6C54E1" w:rsidRPr="006C54E1" w:rsidRDefault="006C54E1" w:rsidP="00293494">
            <w:pPr>
              <w:spacing w:line="560" w:lineRule="exact"/>
              <w:ind w:firstLineChars="200" w:firstLine="560"/>
              <w:rPr>
                <w:rFonts w:ascii="仿宋_GB2312" w:eastAsia="仿宋_GB2312" w:hAnsi="仿宋_GB2312" w:cs="仿宋_GB2312"/>
                <w:bCs/>
                <w:sz w:val="28"/>
                <w:szCs w:val="28"/>
              </w:rPr>
            </w:pPr>
            <w:r w:rsidRPr="006C54E1">
              <w:rPr>
                <w:rFonts w:ascii="仿宋_GB2312" w:eastAsia="仿宋_GB2312" w:hAnsi="仿宋_GB2312" w:cs="仿宋_GB2312" w:hint="eastAsia"/>
                <w:bCs/>
                <w:sz w:val="28"/>
                <w:szCs w:val="28"/>
              </w:rPr>
              <w:t>市信访局是市委、市政府指导全市信访工作开展，代表市委、市政府接待处理群众来信来访，办理中央和省交办及市领导批示的有关信访事项，做好信访工作相关督导、协调工作的正处级行政单位。市信访局内设科室9个。核定行政编制2</w:t>
            </w:r>
            <w:r>
              <w:rPr>
                <w:rFonts w:ascii="仿宋_GB2312" w:eastAsia="仿宋_GB2312" w:hAnsi="仿宋_GB2312" w:cs="仿宋_GB2312" w:hint="eastAsia"/>
                <w:bCs/>
                <w:sz w:val="28"/>
                <w:szCs w:val="28"/>
              </w:rPr>
              <w:t>4</w:t>
            </w:r>
            <w:r w:rsidRPr="006C54E1">
              <w:rPr>
                <w:rFonts w:ascii="仿宋_GB2312" w:eastAsia="仿宋_GB2312" w:hAnsi="仿宋_GB2312" w:cs="仿宋_GB2312" w:hint="eastAsia"/>
                <w:bCs/>
                <w:sz w:val="28"/>
                <w:szCs w:val="28"/>
              </w:rPr>
              <w:t>人，工勤编制1人，实配行政编制人员2</w:t>
            </w:r>
            <w:r>
              <w:rPr>
                <w:rFonts w:ascii="仿宋_GB2312" w:eastAsia="仿宋_GB2312" w:hAnsi="仿宋_GB2312" w:cs="仿宋_GB2312" w:hint="eastAsia"/>
                <w:bCs/>
                <w:sz w:val="28"/>
                <w:szCs w:val="28"/>
              </w:rPr>
              <w:t>5</w:t>
            </w:r>
            <w:r w:rsidRPr="006C54E1">
              <w:rPr>
                <w:rFonts w:ascii="仿宋_GB2312" w:eastAsia="仿宋_GB2312" w:hAnsi="仿宋_GB2312" w:cs="仿宋_GB2312" w:hint="eastAsia"/>
                <w:bCs/>
                <w:sz w:val="28"/>
                <w:szCs w:val="28"/>
              </w:rPr>
              <w:t>人，退休1</w:t>
            </w:r>
            <w:r>
              <w:rPr>
                <w:rFonts w:ascii="仿宋_GB2312" w:eastAsia="仿宋_GB2312" w:hAnsi="仿宋_GB2312" w:cs="仿宋_GB2312" w:hint="eastAsia"/>
                <w:bCs/>
                <w:sz w:val="28"/>
                <w:szCs w:val="28"/>
              </w:rPr>
              <w:t>1</w:t>
            </w:r>
            <w:r w:rsidRPr="006C54E1">
              <w:rPr>
                <w:rFonts w:ascii="仿宋_GB2312" w:eastAsia="仿宋_GB2312" w:hAnsi="仿宋_GB2312" w:cs="仿宋_GB2312" w:hint="eastAsia"/>
                <w:bCs/>
                <w:sz w:val="28"/>
                <w:szCs w:val="28"/>
              </w:rPr>
              <w:t>人。</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293494" w:rsidRDefault="00293494" w:rsidP="00293494">
            <w:pPr>
              <w:spacing w:line="560" w:lineRule="exact"/>
              <w:ind w:firstLineChars="300" w:firstLine="8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2020年收入总计1050.97万元，其中上年结转99.56万元，财政拨款收入725.97万元，其他收入225.44万元。全年总支出976.19万元，其中基本支出958.51万元，项目支出17.68万元。</w:t>
            </w:r>
          </w:p>
          <w:p w:rsidR="00293494" w:rsidRPr="00293494" w:rsidRDefault="00293494" w:rsidP="006D4CE4">
            <w:pPr>
              <w:spacing w:line="560" w:lineRule="exact"/>
              <w:ind w:firstLineChars="200" w:firstLine="560"/>
              <w:rPr>
                <w:rFonts w:ascii="仿宋_GB2312" w:eastAsia="仿宋_GB2312" w:hAnsi="仿宋_GB2312" w:cs="仿宋_GB2312"/>
                <w:bCs/>
                <w:sz w:val="28"/>
                <w:szCs w:val="28"/>
              </w:rPr>
            </w:pP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我局基本支出的范围主要用于人员经费和日常公用经费开支，具体包括工资福利支出、商品和服务支出、对个人和家庭补助支出、其他资本性支出等。基本支出实际支出95</w:t>
            </w:r>
            <w:r>
              <w:rPr>
                <w:rFonts w:ascii="仿宋_GB2312" w:eastAsia="仿宋_GB2312" w:hAnsi="仿宋_GB2312" w:cs="仿宋_GB2312" w:hint="eastAsia"/>
                <w:bCs/>
                <w:sz w:val="28"/>
                <w:szCs w:val="28"/>
              </w:rPr>
              <w:t>8.51</w:t>
            </w:r>
            <w:r w:rsidRPr="00EA3B26">
              <w:rPr>
                <w:rFonts w:ascii="仿宋_GB2312" w:eastAsia="仿宋_GB2312" w:hAnsi="仿宋_GB2312" w:cs="仿宋_GB2312" w:hint="eastAsia"/>
                <w:bCs/>
                <w:sz w:val="28"/>
                <w:szCs w:val="28"/>
              </w:rPr>
              <w:t>万元，，其中：</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１、工资福利支出4</w:t>
            </w:r>
            <w:r>
              <w:rPr>
                <w:rFonts w:ascii="仿宋_GB2312" w:eastAsia="仿宋_GB2312" w:hAnsi="仿宋_GB2312" w:cs="仿宋_GB2312" w:hint="eastAsia"/>
                <w:bCs/>
                <w:sz w:val="28"/>
                <w:szCs w:val="28"/>
              </w:rPr>
              <w:t>53.56</w:t>
            </w:r>
            <w:r w:rsidRPr="00EA3B26">
              <w:rPr>
                <w:rFonts w:ascii="仿宋_GB2312" w:eastAsia="仿宋_GB2312" w:hAnsi="仿宋_GB2312" w:cs="仿宋_GB2312" w:hint="eastAsia"/>
                <w:bCs/>
                <w:sz w:val="28"/>
                <w:szCs w:val="28"/>
              </w:rPr>
              <w:t>万元，主要用于在职人员基本工资、津贴补贴、奖金、医保和机关事业单位基本养老保险缴费，执行情况较好。</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２、商品和服务支出4</w:t>
            </w:r>
            <w:r>
              <w:rPr>
                <w:rFonts w:ascii="仿宋_GB2312" w:eastAsia="仿宋_GB2312" w:hAnsi="仿宋_GB2312" w:cs="仿宋_GB2312" w:hint="eastAsia"/>
                <w:bCs/>
                <w:sz w:val="28"/>
                <w:szCs w:val="28"/>
              </w:rPr>
              <w:t>21.91</w:t>
            </w:r>
            <w:r w:rsidRPr="00EA3B26">
              <w:rPr>
                <w:rFonts w:ascii="仿宋_GB2312" w:eastAsia="仿宋_GB2312" w:hAnsi="仿宋_GB2312" w:cs="仿宋_GB2312" w:hint="eastAsia"/>
                <w:bCs/>
                <w:sz w:val="28"/>
                <w:szCs w:val="28"/>
              </w:rPr>
              <w:t>元，主要用于:一是保障局机关正常运转、完成日常工作任务而发生的支出，包括办公费、印刷费、差旅费、会议费、电费、水费、邮电费、维修费、租赁费、公务接待费、劳务费、工会经费、福利费、公务用车运行维护费、其他交通费用等日常公用经费；二是保证驻</w:t>
            </w:r>
            <w:r w:rsidRPr="00EA3B26">
              <w:rPr>
                <w:rFonts w:ascii="仿宋_GB2312" w:eastAsia="仿宋_GB2312" w:hAnsi="仿宋_GB2312" w:cs="仿宋_GB2312" w:hint="eastAsia"/>
                <w:bCs/>
                <w:sz w:val="28"/>
                <w:szCs w:val="28"/>
              </w:rPr>
              <w:lastRenderedPageBreak/>
              <w:t>京维稳科的正常运转，主要包括为驻京维稳科工作人员的后勤保障，上访人员接访劝返开支，办公用房租金、水电等开销。</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３、对个人和家庭补助支出</w:t>
            </w:r>
            <w:r>
              <w:rPr>
                <w:rFonts w:ascii="仿宋_GB2312" w:eastAsia="仿宋_GB2312" w:hAnsi="仿宋_GB2312" w:cs="仿宋_GB2312" w:hint="eastAsia"/>
                <w:bCs/>
                <w:sz w:val="28"/>
                <w:szCs w:val="28"/>
              </w:rPr>
              <w:t>65.67万元。主要为三无创建工作奖励、在职和</w:t>
            </w:r>
            <w:r w:rsidRPr="00EA3B26">
              <w:rPr>
                <w:rFonts w:ascii="仿宋_GB2312" w:eastAsia="仿宋_GB2312" w:hAnsi="仿宋_GB2312" w:cs="仿宋_GB2312" w:hint="eastAsia"/>
                <w:bCs/>
                <w:sz w:val="28"/>
                <w:szCs w:val="28"/>
              </w:rPr>
              <w:t xml:space="preserve">退休人员文明奖等奖励金及其它对个人和家庭的补助科目，基本按预算执行，控制较好。 </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4、“三公经费”支出1</w:t>
            </w:r>
            <w:r>
              <w:rPr>
                <w:rFonts w:ascii="仿宋_GB2312" w:eastAsia="仿宋_GB2312" w:hAnsi="仿宋_GB2312" w:cs="仿宋_GB2312" w:hint="eastAsia"/>
                <w:bCs/>
                <w:sz w:val="28"/>
                <w:szCs w:val="28"/>
              </w:rPr>
              <w:t>0.36</w:t>
            </w:r>
            <w:r w:rsidRPr="00EA3B26">
              <w:rPr>
                <w:rFonts w:ascii="仿宋_GB2312" w:eastAsia="仿宋_GB2312" w:hAnsi="仿宋_GB2312" w:cs="仿宋_GB2312" w:hint="eastAsia"/>
                <w:bCs/>
                <w:sz w:val="28"/>
                <w:szCs w:val="28"/>
              </w:rPr>
              <w:t>万元。20</w:t>
            </w:r>
            <w:r>
              <w:rPr>
                <w:rFonts w:ascii="仿宋_GB2312" w:eastAsia="仿宋_GB2312" w:hAnsi="仿宋_GB2312" w:cs="仿宋_GB2312" w:hint="eastAsia"/>
                <w:bCs/>
                <w:sz w:val="28"/>
                <w:szCs w:val="28"/>
              </w:rPr>
              <w:t>20</w:t>
            </w:r>
            <w:r w:rsidRPr="00EA3B26">
              <w:rPr>
                <w:rFonts w:ascii="仿宋_GB2312" w:eastAsia="仿宋_GB2312" w:hAnsi="仿宋_GB2312" w:cs="仿宋_GB2312" w:hint="eastAsia"/>
                <w:bCs/>
                <w:sz w:val="28"/>
                <w:szCs w:val="28"/>
              </w:rPr>
              <w:t>年“三公经费”支出总额1</w:t>
            </w:r>
            <w:r>
              <w:rPr>
                <w:rFonts w:ascii="仿宋_GB2312" w:eastAsia="仿宋_GB2312" w:hAnsi="仿宋_GB2312" w:cs="仿宋_GB2312" w:hint="eastAsia"/>
                <w:bCs/>
                <w:sz w:val="28"/>
                <w:szCs w:val="28"/>
              </w:rPr>
              <w:t>0.36</w:t>
            </w:r>
            <w:r w:rsidRPr="00EA3B26">
              <w:rPr>
                <w:rFonts w:ascii="仿宋_GB2312" w:eastAsia="仿宋_GB2312" w:hAnsi="仿宋_GB2312" w:cs="仿宋_GB2312" w:hint="eastAsia"/>
                <w:bCs/>
                <w:sz w:val="28"/>
                <w:szCs w:val="28"/>
              </w:rPr>
              <w:t>万元。一是公务用车运行维护费</w:t>
            </w:r>
            <w:r>
              <w:rPr>
                <w:rFonts w:ascii="仿宋_GB2312" w:eastAsia="仿宋_GB2312" w:hAnsi="仿宋_GB2312" w:cs="仿宋_GB2312" w:hint="eastAsia"/>
                <w:bCs/>
                <w:sz w:val="28"/>
                <w:szCs w:val="28"/>
              </w:rPr>
              <w:t>9.15</w:t>
            </w:r>
            <w:r w:rsidRPr="00EA3B26">
              <w:rPr>
                <w:rFonts w:ascii="仿宋_GB2312" w:eastAsia="仿宋_GB2312" w:hAnsi="仿宋_GB2312" w:cs="仿宋_GB2312" w:hint="eastAsia"/>
                <w:bCs/>
                <w:sz w:val="28"/>
                <w:szCs w:val="28"/>
              </w:rPr>
              <w:t>万元，比上年减少</w:t>
            </w:r>
            <w:r>
              <w:rPr>
                <w:rFonts w:ascii="仿宋_GB2312" w:eastAsia="仿宋_GB2312" w:hAnsi="仿宋_GB2312" w:cs="仿宋_GB2312" w:hint="eastAsia"/>
                <w:bCs/>
                <w:sz w:val="28"/>
                <w:szCs w:val="28"/>
              </w:rPr>
              <w:t>1.97</w:t>
            </w:r>
            <w:r w:rsidRPr="00EA3B26">
              <w:rPr>
                <w:rFonts w:ascii="仿宋_GB2312" w:eastAsia="仿宋_GB2312" w:hAnsi="仿宋_GB2312" w:cs="仿宋_GB2312" w:hint="eastAsia"/>
                <w:bCs/>
                <w:sz w:val="28"/>
                <w:szCs w:val="28"/>
              </w:rPr>
              <w:t>万元，减少原因是加强公车管理、规范公车使用；二是公务接待经费支出1.</w:t>
            </w:r>
            <w:r>
              <w:rPr>
                <w:rFonts w:ascii="仿宋_GB2312" w:eastAsia="仿宋_GB2312" w:hAnsi="仿宋_GB2312" w:cs="仿宋_GB2312" w:hint="eastAsia"/>
                <w:bCs/>
                <w:sz w:val="28"/>
                <w:szCs w:val="28"/>
              </w:rPr>
              <w:t>20</w:t>
            </w:r>
            <w:r w:rsidRPr="00EA3B26">
              <w:rPr>
                <w:rFonts w:ascii="仿宋_GB2312" w:eastAsia="仿宋_GB2312" w:hAnsi="仿宋_GB2312" w:cs="仿宋_GB2312" w:hint="eastAsia"/>
                <w:bCs/>
                <w:sz w:val="28"/>
                <w:szCs w:val="28"/>
              </w:rPr>
              <w:t>万元，比上年</w:t>
            </w:r>
            <w:r>
              <w:rPr>
                <w:rFonts w:ascii="仿宋_GB2312" w:eastAsia="仿宋_GB2312" w:hAnsi="仿宋_GB2312" w:cs="仿宋_GB2312" w:hint="eastAsia"/>
                <w:bCs/>
                <w:sz w:val="28"/>
                <w:szCs w:val="28"/>
              </w:rPr>
              <w:t>增加0.13</w:t>
            </w:r>
            <w:r w:rsidRPr="00EA3B26">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主要是结算上年度部分公务接待费</w:t>
            </w:r>
            <w:r w:rsidRPr="00EA3B26">
              <w:rPr>
                <w:rFonts w:ascii="仿宋_GB2312" w:eastAsia="仿宋_GB2312" w:hAnsi="仿宋_GB2312" w:cs="仿宋_GB2312" w:hint="eastAsia"/>
                <w:bCs/>
                <w:sz w:val="28"/>
                <w:szCs w:val="28"/>
              </w:rPr>
              <w:t>；三是本年无因公出国（境）费开支；四是本年无公务车辆购置费。</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EA3B26" w:rsidRDefault="00EA3B2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我局2020年专项支出为17.68万元，用于人民来访接待中心安防岗亭设置，资金由财政拨付，实行转款专用，执行率达到100%。</w:t>
            </w: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BD020C" w:rsidRDefault="00BD020C" w:rsidP="00BD020C">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绩效自评要求，我局组织成立了绩效评价工作小组，组织学习国家法律法规，贯彻落实相关政策，制定了部门整体支出绩效评价实施方案，设计了绩效评价指标体系。核查了2020年市级财政预算批复执行及部门整体支出情况，着重核查了“三公”经费及专项资金情况。对内设机构，根据职能和年初制定的绩效考核目标，进行了实地绩效考评。</w:t>
            </w:r>
          </w:p>
          <w:p w:rsidR="00BD020C" w:rsidRDefault="00BD020C" w:rsidP="00BD020C">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BD020C" w:rsidRDefault="00BD020C" w:rsidP="00BD020C">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rsidR="00BD020C" w:rsidRDefault="00BD020C" w:rsidP="00BD020C">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2、财务管理按制度运行。根据国家法律法规，省市相关文件规定，认真执行《岳阳市信访局财务管理制度》，各项支出并严格按照省市相关文件和制度执行，防范风险，保证财政资金的安全和高效运行。</w:t>
            </w: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w:t>
            </w:r>
            <w:r w:rsidR="005C45F0">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年，市信访局通过规范预算支出管理，不断完善内部</w:t>
            </w:r>
            <w:r w:rsidR="005C45F0">
              <w:rPr>
                <w:rFonts w:ascii="仿宋_GB2312" w:eastAsia="仿宋_GB2312" w:hAnsi="仿宋_GB2312" w:cs="仿宋_GB2312" w:hint="eastAsia"/>
                <w:bCs/>
                <w:sz w:val="28"/>
                <w:szCs w:val="28"/>
              </w:rPr>
              <w:t>财务管理</w:t>
            </w:r>
            <w:r>
              <w:rPr>
                <w:rFonts w:ascii="仿宋_GB2312" w:eastAsia="仿宋_GB2312" w:hAnsi="仿宋_GB2312" w:cs="仿宋_GB2312" w:hint="eastAsia"/>
                <w:bCs/>
                <w:sz w:val="28"/>
                <w:szCs w:val="28"/>
              </w:rPr>
              <w:t>制度，理顺内部业务管理流程，部门整体支出管理情况得到了提升，部门整体支出绩效具体如下：</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（一）经济性评价</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１、预算配置评价。在职人员控制率较好。20</w:t>
            </w:r>
            <w:r w:rsidR="005C45F0">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年人员编制2</w:t>
            </w:r>
            <w:r w:rsidR="005C45F0">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人，实有在职人数2</w:t>
            </w:r>
            <w:r w:rsidR="005C45F0">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人，</w:t>
            </w:r>
            <w:r w:rsidR="005C45F0">
              <w:rPr>
                <w:rFonts w:ascii="仿宋_GB2312" w:eastAsia="仿宋_GB2312" w:hAnsi="仿宋_GB2312" w:cs="仿宋_GB2312" w:hint="eastAsia"/>
                <w:bCs/>
                <w:sz w:val="28"/>
                <w:szCs w:val="28"/>
              </w:rPr>
              <w:t>退休1</w:t>
            </w:r>
            <w:r>
              <w:rPr>
                <w:rFonts w:ascii="仿宋_GB2312" w:eastAsia="仿宋_GB2312" w:hAnsi="仿宋_GB2312" w:cs="仿宋_GB2312" w:hint="eastAsia"/>
                <w:bCs/>
                <w:sz w:val="28"/>
                <w:szCs w:val="28"/>
              </w:rPr>
              <w:t>1人。在职人员配置在编制范围之内，配置合理规范。</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２、预算执行评价。支出总额在预算总额内，全年一般公共预算拨款为</w:t>
            </w:r>
            <w:r w:rsidR="005C45F0">
              <w:rPr>
                <w:rFonts w:ascii="仿宋_GB2312" w:eastAsia="仿宋_GB2312" w:hAnsi="仿宋_GB2312" w:cs="仿宋_GB2312" w:hint="eastAsia"/>
                <w:bCs/>
                <w:sz w:val="28"/>
                <w:szCs w:val="28"/>
              </w:rPr>
              <w:t>725.97</w:t>
            </w:r>
            <w:r>
              <w:rPr>
                <w:rFonts w:ascii="仿宋_GB2312" w:eastAsia="仿宋_GB2312" w:hAnsi="仿宋_GB2312" w:cs="仿宋_GB2312" w:hint="eastAsia"/>
                <w:bCs/>
                <w:sz w:val="28"/>
                <w:szCs w:val="28"/>
              </w:rPr>
              <w:t>万元，指标实际执行</w:t>
            </w:r>
            <w:r w:rsidR="005C45F0">
              <w:rPr>
                <w:rFonts w:ascii="仿宋_GB2312" w:eastAsia="仿宋_GB2312" w:hAnsi="仿宋_GB2312" w:cs="仿宋_GB2312" w:hint="eastAsia"/>
                <w:bCs/>
                <w:sz w:val="28"/>
                <w:szCs w:val="28"/>
              </w:rPr>
              <w:t>725.97</w:t>
            </w:r>
            <w:r>
              <w:rPr>
                <w:rFonts w:ascii="仿宋_GB2312" w:eastAsia="仿宋_GB2312" w:hAnsi="仿宋_GB2312" w:cs="仿宋_GB2312" w:hint="eastAsia"/>
                <w:bCs/>
                <w:sz w:val="28"/>
                <w:szCs w:val="28"/>
              </w:rPr>
              <w:t>万元，预算完成率为</w:t>
            </w:r>
            <w:r w:rsidR="005C45F0">
              <w:rPr>
                <w:rFonts w:ascii="仿宋_GB2312" w:eastAsia="仿宋_GB2312" w:hAnsi="仿宋_GB2312" w:cs="仿宋_GB2312" w:hint="eastAsia"/>
                <w:bCs/>
                <w:sz w:val="28"/>
                <w:szCs w:val="28"/>
              </w:rPr>
              <w:t>100.00</w:t>
            </w:r>
            <w:r>
              <w:rPr>
                <w:rFonts w:ascii="仿宋_GB2312" w:eastAsia="仿宋_GB2312" w:hAnsi="仿宋_GB2312" w:cs="仿宋_GB2312" w:hint="eastAsia"/>
                <w:bCs/>
                <w:sz w:val="28"/>
                <w:szCs w:val="28"/>
              </w:rPr>
              <w:t>%。</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３、预算管理评价。市信访局在强化业务管理、财务管理、内部控制和厉行节约等方面开展了大量工作，预算管理水平明显提升。</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（二）社会效益评价</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1、信访工作高位推动。</w:t>
            </w:r>
            <w:r w:rsidR="00D92FB7">
              <w:rPr>
                <w:rFonts w:ascii="仿宋_GB2312" w:eastAsia="仿宋_GB2312" w:hint="eastAsia"/>
                <w:sz w:val="32"/>
                <w:szCs w:val="32"/>
              </w:rPr>
              <w:t>市委常委会议、市政府常务会议共4次听取信访工作情况汇报，研究推进机制建设、队伍建设、重点工作任务，推动信访工作长效机制落到实处。</w:t>
            </w:r>
          </w:p>
          <w:p w:rsidR="00F6781E" w:rsidRPr="00B10B56" w:rsidRDefault="00F6781E" w:rsidP="00B10B56">
            <w:pPr>
              <w:spacing w:line="46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Cs/>
                <w:sz w:val="28"/>
                <w:szCs w:val="28"/>
              </w:rPr>
              <w:t>2、信访渠道畅通，信访秩序好转。</w:t>
            </w:r>
            <w:r w:rsidR="00D92FB7" w:rsidRPr="00D92FB7">
              <w:rPr>
                <w:rFonts w:ascii="仿宋_GB2312" w:eastAsia="仿宋_GB2312" w:hAnsi="仿宋_GB2312" w:cs="仿宋_GB2312" w:hint="eastAsia"/>
                <w:bCs/>
                <w:sz w:val="28"/>
                <w:szCs w:val="28"/>
              </w:rPr>
              <w:t>2020年，我市网上统计信访事项按期办结率为99.6%，信访机构和责任部门的及时受理率分别为99.3%、99.4%，岳阳县、华容县、汨罗市、屈原管理区等地信访事项一个月内办结比率达到70%以上。</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（三）行政效能评价</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１、领导重视，强化预算绩效管理理念</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市信访局成立绩效管理工作领导小组，在局党政办公会上对强化预算绩效管理工作进行专题研究。大力推行预算绩效管理工作，探索建立绩效评价体系，着重对基本支出和三公经费支出情况进行评价。逐步把预算支出管理工作重心转移到提高效率上来。</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２、经费及资产管理。一是严格“三公”经费管理，加强部门预算决算工作，预算编制科学、合理，决算客观、真实，20</w:t>
            </w:r>
            <w:r w:rsidR="001B0474">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年预算（含“三公”经</w:t>
            </w:r>
            <w:r>
              <w:rPr>
                <w:rFonts w:ascii="仿宋_GB2312" w:eastAsia="仿宋_GB2312" w:hAnsi="仿宋_GB2312" w:cs="仿宋_GB2312" w:hint="eastAsia"/>
                <w:bCs/>
                <w:sz w:val="28"/>
                <w:szCs w:val="28"/>
              </w:rPr>
              <w:lastRenderedPageBreak/>
              <w:t>费）、201</w:t>
            </w:r>
            <w:r w:rsidR="001B0474">
              <w:rPr>
                <w:rFonts w:ascii="仿宋_GB2312" w:eastAsia="仿宋_GB2312" w:hAnsi="仿宋_GB2312" w:cs="仿宋_GB2312" w:hint="eastAsia"/>
                <w:bCs/>
                <w:sz w:val="28"/>
                <w:szCs w:val="28"/>
              </w:rPr>
              <w:t>9</w:t>
            </w:r>
            <w:r>
              <w:rPr>
                <w:rFonts w:ascii="仿宋_GB2312" w:eastAsia="仿宋_GB2312" w:hAnsi="仿宋_GB2312" w:cs="仿宋_GB2312" w:hint="eastAsia"/>
                <w:bCs/>
                <w:sz w:val="28"/>
                <w:szCs w:val="28"/>
              </w:rPr>
              <w:t>年决算（含“三公”经费）均按要求在局门户网站向社会公开。二是按要求向市财政局提交了201</w:t>
            </w:r>
            <w:r w:rsidR="001B0474">
              <w:rPr>
                <w:rFonts w:ascii="仿宋_GB2312" w:eastAsia="仿宋_GB2312" w:hAnsi="仿宋_GB2312" w:cs="仿宋_GB2312" w:hint="eastAsia"/>
                <w:bCs/>
                <w:sz w:val="28"/>
                <w:szCs w:val="28"/>
              </w:rPr>
              <w:t>9</w:t>
            </w:r>
            <w:r>
              <w:rPr>
                <w:rFonts w:ascii="仿宋_GB2312" w:eastAsia="仿宋_GB2312" w:hAnsi="仿宋_GB2312" w:cs="仿宋_GB2312" w:hint="eastAsia"/>
                <w:bCs/>
                <w:sz w:val="28"/>
                <w:szCs w:val="28"/>
              </w:rPr>
              <w:t>年部门整体支出绩效自评报告，并及时在局门户网站公开。三是进一步完善公务用车管理规定，严格按规定管理公务用车，执行公务用车派车单制度，公车一律回单位停放；在车辆维修方面逐级审批，厉行节约，严格定点保险、定点加油、定点维修。四是加强办公用房管理，全局干部办公用房均符合标准，无超标情况，办公用房无出租出借情况。</w:t>
            </w:r>
          </w:p>
          <w:p w:rsidR="00F6781E" w:rsidRPr="00F6781E" w:rsidRDefault="00F6781E" w:rsidP="001B0474">
            <w:pPr>
              <w:spacing w:line="560" w:lineRule="exact"/>
              <w:rPr>
                <w:rFonts w:ascii="黑体" w:eastAsia="黑体" w:hAnsi="黑体" w:cs="黑体"/>
                <w:bCs/>
                <w:sz w:val="28"/>
                <w:szCs w:val="28"/>
              </w:rPr>
            </w:pP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1、预算管理制度不够完善，年初预算不够精细，尚未建立规范的预算制度和标准化管理体系。</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２、预算绩效管理缺乏专职专业管理人员。目前，市信访局预算绩效工作人员主要以办公室工作人员为主，绩效管理专业知识和能力存在不足。</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３、内控制度有待加强。虽然已制定相关制度，但执行力度还不够。</w:t>
            </w:r>
          </w:p>
          <w:p w:rsidR="00B10B56" w:rsidRDefault="00B10B56" w:rsidP="006D4CE4">
            <w:pPr>
              <w:spacing w:line="560" w:lineRule="exact"/>
              <w:ind w:firstLineChars="200" w:firstLine="560"/>
              <w:rPr>
                <w:rFonts w:ascii="仿宋_GB2312" w:eastAsia="仿宋_GB2312" w:hAnsi="仿宋_GB2312" w:cs="仿宋_GB2312"/>
                <w:bCs/>
                <w:sz w:val="28"/>
                <w:szCs w:val="28"/>
              </w:rPr>
            </w:pPr>
          </w:p>
          <w:p w:rsidR="00606FC8" w:rsidRDefault="00BB5306" w:rsidP="00606FC8">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F6781E" w:rsidRDefault="00F6781E" w:rsidP="00F6781E">
            <w:pPr>
              <w:spacing w:line="460" w:lineRule="exact"/>
              <w:ind w:firstLineChars="200" w:firstLine="560"/>
              <w:rPr>
                <w:rFonts w:ascii="黑体" w:eastAsia="黑体" w:hAnsi="黑体" w:cs="黑体"/>
                <w:bCs/>
                <w:sz w:val="28"/>
                <w:szCs w:val="28"/>
              </w:rPr>
            </w:pPr>
            <w:r>
              <w:rPr>
                <w:rFonts w:ascii="仿宋_GB2312" w:eastAsia="仿宋_GB2312" w:hAnsi="仿宋_GB2312" w:cs="仿宋_GB2312" w:hint="eastAsia"/>
                <w:bCs/>
                <w:sz w:val="28"/>
                <w:szCs w:val="28"/>
              </w:rPr>
              <w:t>1、加强预算编制培训工作。细化预算编制工作，认真做好预算的编制。对接财政，结合单位实际情况，科学合理编制部门预算，做到尽可能全面、不漏项，既满足本单位的工作需要，又做到厉行节约，在日常性工作经费压减10%的形势下保证单位正常运转。</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2、加大宣传、指导和培训力度。部门整体支出绩效评估是一项专业性较强的工作，需要继续加强对单位绩效管理人员的培训、宣传力度，让预算整体支出绩效评估理念贯穿于财务工作始终。</w:t>
            </w:r>
          </w:p>
          <w:p w:rsidR="00BB5306" w:rsidRPr="00F6781E" w:rsidRDefault="00BB5306" w:rsidP="006D4CE4">
            <w:pPr>
              <w:rPr>
                <w:rFonts w:eastAsia="楷体_GB2312"/>
                <w:bCs/>
                <w:sz w:val="28"/>
                <w:szCs w:val="28"/>
              </w:rPr>
            </w:pPr>
          </w:p>
        </w:tc>
      </w:tr>
    </w:tbl>
    <w:p w:rsidR="00BB5306" w:rsidRDefault="00BB5306" w:rsidP="00BB5306">
      <w:pPr>
        <w:spacing w:line="348" w:lineRule="auto"/>
        <w:rPr>
          <w:rFonts w:eastAsia="楷体_GB2312"/>
          <w:bCs/>
          <w:sz w:val="28"/>
          <w:szCs w:val="28"/>
        </w:rPr>
      </w:pPr>
    </w:p>
    <w:p w:rsidR="00BB5306" w:rsidRDefault="00BB5306" w:rsidP="00BB5306">
      <w:pPr>
        <w:rPr>
          <w:rFonts w:ascii="黑体" w:eastAsia="黑体" w:hAnsi="黑体"/>
          <w:sz w:val="32"/>
          <w:szCs w:val="32"/>
        </w:rPr>
      </w:pPr>
      <w:r>
        <w:rPr>
          <w:rFonts w:ascii="黑体" w:eastAsia="黑体" w:hAnsi="黑体" w:hint="eastAsia"/>
          <w:sz w:val="32"/>
          <w:szCs w:val="32"/>
        </w:rPr>
        <w:lastRenderedPageBreak/>
        <w:t>附件3-1</w:t>
      </w:r>
    </w:p>
    <w:p w:rsidR="00BB5306" w:rsidRPr="00F819E0" w:rsidRDefault="00BB5306" w:rsidP="00BF4EA3">
      <w:pPr>
        <w:spacing w:beforeLines="100" w:afterLines="100"/>
        <w:jc w:val="center"/>
        <w:rPr>
          <w:rFonts w:ascii="方正小标宋简体" w:eastAsia="方正小标宋简体"/>
          <w:sz w:val="38"/>
          <w:szCs w:val="38"/>
        </w:rPr>
      </w:pPr>
      <w:r w:rsidRPr="00F819E0">
        <w:rPr>
          <w:rFonts w:ascii="方正小标宋简体" w:eastAsia="方正小标宋简体" w:hint="eastAsia"/>
          <w:sz w:val="38"/>
          <w:szCs w:val="38"/>
        </w:rPr>
        <w:t>部门整体支出绩效评价评分表（参考样表）</w:t>
      </w:r>
    </w:p>
    <w:tbl>
      <w:tblPr>
        <w:tblW w:w="0" w:type="auto"/>
        <w:jc w:val="center"/>
        <w:tblLayout w:type="fixed"/>
        <w:tblLook w:val="0000"/>
      </w:tblPr>
      <w:tblGrid>
        <w:gridCol w:w="976"/>
        <w:gridCol w:w="939"/>
        <w:gridCol w:w="1389"/>
        <w:gridCol w:w="4171"/>
        <w:gridCol w:w="619"/>
        <w:gridCol w:w="720"/>
        <w:gridCol w:w="1080"/>
      </w:tblGrid>
      <w:tr w:rsidR="00BB5306" w:rsidTr="006D4CE4">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B5306" w:rsidTr="006D4CE4">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F16DF2" w:rsidP="005831F2">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color w:val="000000"/>
                <w:kern w:val="0"/>
                <w:sz w:val="18"/>
                <w:szCs w:val="18"/>
              </w:rPr>
            </w:pPr>
          </w:p>
        </w:tc>
      </w:tr>
      <w:tr w:rsidR="00BB5306" w:rsidTr="006D4CE4">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5831F2" w:rsidP="005831F2">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color w:val="000000"/>
                <w:kern w:val="0"/>
                <w:sz w:val="18"/>
                <w:szCs w:val="18"/>
              </w:rPr>
            </w:pPr>
          </w:p>
        </w:tc>
      </w:tr>
      <w:tr w:rsidR="00BB5306" w:rsidTr="006D4CE4">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5831F2" w:rsidP="005831F2">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color w:val="000000"/>
                <w:kern w:val="0"/>
                <w:sz w:val="18"/>
                <w:szCs w:val="18"/>
              </w:rPr>
            </w:pPr>
          </w:p>
        </w:tc>
      </w:tr>
      <w:tr w:rsidR="00BB5306" w:rsidTr="006D4CE4">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5831F2">
            <w:pPr>
              <w:widowControl/>
              <w:spacing w:line="240" w:lineRule="exact"/>
              <w:ind w:firstLineChars="100" w:firstLine="180"/>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bl>
    <w:p w:rsidR="00BB5306" w:rsidRDefault="00BB5306" w:rsidP="00BB5306"/>
    <w:tbl>
      <w:tblPr>
        <w:tblW w:w="0" w:type="auto"/>
        <w:jc w:val="center"/>
        <w:tblLayout w:type="fixed"/>
        <w:tblLook w:val="0000"/>
      </w:tblPr>
      <w:tblGrid>
        <w:gridCol w:w="976"/>
        <w:gridCol w:w="939"/>
        <w:gridCol w:w="1389"/>
        <w:gridCol w:w="4171"/>
        <w:gridCol w:w="619"/>
        <w:gridCol w:w="720"/>
        <w:gridCol w:w="1080"/>
      </w:tblGrid>
      <w:tr w:rsidR="00BB5306" w:rsidTr="006D4CE4">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B5306" w:rsidTr="006D4CE4">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70"/>
          <w:jc w:val="center"/>
        </w:trPr>
        <w:tc>
          <w:tcPr>
            <w:tcW w:w="976" w:type="dxa"/>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F16DF2">
              <w:rPr>
                <w:rFonts w:ascii="仿宋_GB2312" w:eastAsia="仿宋_GB2312" w:hAnsi="宋体" w:cs="宋体" w:hint="eastAsia"/>
                <w:b/>
                <w:bCs/>
                <w:kern w:val="0"/>
                <w:sz w:val="18"/>
                <w:szCs w:val="18"/>
              </w:rPr>
              <w:t>1.5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p>
        </w:tc>
      </w:tr>
    </w:tbl>
    <w:p w:rsidR="00EF294C" w:rsidRPr="002F46C6" w:rsidRDefault="00BB5306" w:rsidP="00BE29A8">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EF294C" w:rsidRPr="002F46C6" w:rsidSect="003B4B7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C5A" w:rsidRDefault="00854C5A" w:rsidP="00BB5306">
      <w:r>
        <w:separator/>
      </w:r>
    </w:p>
  </w:endnote>
  <w:endnote w:type="continuationSeparator" w:id="1">
    <w:p w:rsidR="00854C5A" w:rsidRDefault="00854C5A" w:rsidP="00BB5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E29A8">
    <w:pPr>
      <w:framePr w:wrap="around" w:vAnchor="text" w:hAnchor="margin" w:xAlign="outside" w:y="1"/>
    </w:pPr>
    <w:r>
      <w:fldChar w:fldCharType="begin"/>
    </w:r>
    <w:r w:rsidR="00BB5306">
      <w:instrText xml:space="preserve">PAGE  </w:instrText>
    </w:r>
    <w:r>
      <w:fldChar w:fldCharType="separate"/>
    </w:r>
    <w:r w:rsidR="00BB5306">
      <w:t>- 15 -</w:t>
    </w:r>
    <w:r>
      <w:fldChar w:fldCharType="end"/>
    </w:r>
  </w:p>
  <w:p w:rsidR="00BB5306" w:rsidRDefault="00BB530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4"/>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BE29A8">
      <w:rPr>
        <w:sz w:val="24"/>
        <w:szCs w:val="24"/>
      </w:rPr>
      <w:fldChar w:fldCharType="begin"/>
    </w:r>
    <w:r>
      <w:rPr>
        <w:rStyle w:val="a5"/>
        <w:sz w:val="24"/>
        <w:szCs w:val="24"/>
      </w:rPr>
      <w:instrText xml:space="preserve">PAGE  </w:instrText>
    </w:r>
    <w:r w:rsidR="00BE29A8">
      <w:rPr>
        <w:sz w:val="24"/>
        <w:szCs w:val="24"/>
      </w:rPr>
      <w:fldChar w:fldCharType="separate"/>
    </w:r>
    <w:r w:rsidR="00BF4EA3">
      <w:rPr>
        <w:rStyle w:val="a5"/>
        <w:noProof/>
        <w:sz w:val="24"/>
        <w:szCs w:val="24"/>
      </w:rPr>
      <w:t>1</w:t>
    </w:r>
    <w:r w:rsidR="00BE29A8">
      <w:rPr>
        <w:sz w:val="24"/>
        <w:szCs w:val="24"/>
      </w:rPr>
      <w:fldChar w:fldCharType="end"/>
    </w:r>
    <w:r>
      <w:rPr>
        <w:rStyle w:val="a5"/>
        <w:rFonts w:hint="eastAsia"/>
        <w:sz w:val="24"/>
        <w:szCs w:val="24"/>
      </w:rPr>
      <w:t xml:space="preserve"> </w:t>
    </w:r>
    <w:r>
      <w:rPr>
        <w:rStyle w:val="a5"/>
        <w:rFonts w:hint="eastAsia"/>
        <w:sz w:val="24"/>
        <w:szCs w:val="24"/>
      </w:rPr>
      <w:t>—</w:t>
    </w:r>
  </w:p>
  <w:p w:rsidR="00BB5306" w:rsidRDefault="00BB5306">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C5A" w:rsidRDefault="00854C5A" w:rsidP="00BB5306">
      <w:r>
        <w:separator/>
      </w:r>
    </w:p>
  </w:footnote>
  <w:footnote w:type="continuationSeparator" w:id="1">
    <w:p w:rsidR="00854C5A" w:rsidRDefault="00854C5A" w:rsidP="00BB5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4C" w:rsidRDefault="00EF294C" w:rsidP="00EF294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rsidP="00BB5306">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3"/>
  <w:drawingGridVerticalSpacing w:val="301"/>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5306"/>
    <w:rsid w:val="00001D7D"/>
    <w:rsid w:val="00002B44"/>
    <w:rsid w:val="000058D1"/>
    <w:rsid w:val="00006387"/>
    <w:rsid w:val="0001044B"/>
    <w:rsid w:val="000114F9"/>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517"/>
    <w:rsid w:val="000847C6"/>
    <w:rsid w:val="00084A6B"/>
    <w:rsid w:val="00085E11"/>
    <w:rsid w:val="0008705D"/>
    <w:rsid w:val="00093462"/>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3E75"/>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36C5"/>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410"/>
    <w:rsid w:val="00184B97"/>
    <w:rsid w:val="00185ECC"/>
    <w:rsid w:val="001979FE"/>
    <w:rsid w:val="00197E5F"/>
    <w:rsid w:val="001A21AA"/>
    <w:rsid w:val="001A2732"/>
    <w:rsid w:val="001A2F0D"/>
    <w:rsid w:val="001A3B0D"/>
    <w:rsid w:val="001A665F"/>
    <w:rsid w:val="001A66A4"/>
    <w:rsid w:val="001A7CFC"/>
    <w:rsid w:val="001B0285"/>
    <w:rsid w:val="001B0474"/>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08D1"/>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494"/>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5CE8"/>
    <w:rsid w:val="002D7A7D"/>
    <w:rsid w:val="002E172A"/>
    <w:rsid w:val="002E4165"/>
    <w:rsid w:val="002E5BB6"/>
    <w:rsid w:val="002E5BF7"/>
    <w:rsid w:val="002E5EEA"/>
    <w:rsid w:val="002F1297"/>
    <w:rsid w:val="002F2089"/>
    <w:rsid w:val="002F46C6"/>
    <w:rsid w:val="002F4CEA"/>
    <w:rsid w:val="002F50F8"/>
    <w:rsid w:val="002F56D5"/>
    <w:rsid w:val="002F7533"/>
    <w:rsid w:val="002F7976"/>
    <w:rsid w:val="00300EFF"/>
    <w:rsid w:val="0030126D"/>
    <w:rsid w:val="00305368"/>
    <w:rsid w:val="00305AD3"/>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C764F"/>
    <w:rsid w:val="003D1614"/>
    <w:rsid w:val="003D3670"/>
    <w:rsid w:val="003D43DB"/>
    <w:rsid w:val="003D5A35"/>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15B90"/>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171C"/>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31F2"/>
    <w:rsid w:val="00583295"/>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46EC"/>
    <w:rsid w:val="005B515D"/>
    <w:rsid w:val="005B64C0"/>
    <w:rsid w:val="005C06C1"/>
    <w:rsid w:val="005C43DA"/>
    <w:rsid w:val="005C45F0"/>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06FC8"/>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44D9"/>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2F01"/>
    <w:rsid w:val="006A3BA9"/>
    <w:rsid w:val="006A4A94"/>
    <w:rsid w:val="006A5D87"/>
    <w:rsid w:val="006A5F04"/>
    <w:rsid w:val="006B2A3D"/>
    <w:rsid w:val="006B67AC"/>
    <w:rsid w:val="006B7806"/>
    <w:rsid w:val="006C0390"/>
    <w:rsid w:val="006C1FC4"/>
    <w:rsid w:val="006C28ED"/>
    <w:rsid w:val="006C35BF"/>
    <w:rsid w:val="006C49D8"/>
    <w:rsid w:val="006C54E1"/>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5006"/>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0DAD"/>
    <w:rsid w:val="00841862"/>
    <w:rsid w:val="00843511"/>
    <w:rsid w:val="008437FF"/>
    <w:rsid w:val="00846061"/>
    <w:rsid w:val="0084634E"/>
    <w:rsid w:val="0085215E"/>
    <w:rsid w:val="00852DC9"/>
    <w:rsid w:val="00853450"/>
    <w:rsid w:val="008537B7"/>
    <w:rsid w:val="00853B36"/>
    <w:rsid w:val="00854473"/>
    <w:rsid w:val="00854C5A"/>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1662C"/>
    <w:rsid w:val="0092164C"/>
    <w:rsid w:val="0092366F"/>
    <w:rsid w:val="0092392B"/>
    <w:rsid w:val="00926C98"/>
    <w:rsid w:val="0093062A"/>
    <w:rsid w:val="0093298A"/>
    <w:rsid w:val="00935D9B"/>
    <w:rsid w:val="009364C1"/>
    <w:rsid w:val="00941AAB"/>
    <w:rsid w:val="00947481"/>
    <w:rsid w:val="0095061F"/>
    <w:rsid w:val="00950E5E"/>
    <w:rsid w:val="00951AC4"/>
    <w:rsid w:val="00951E00"/>
    <w:rsid w:val="009529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4901"/>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42ED"/>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B56"/>
    <w:rsid w:val="00B10D53"/>
    <w:rsid w:val="00B11056"/>
    <w:rsid w:val="00B112C3"/>
    <w:rsid w:val="00B11C82"/>
    <w:rsid w:val="00B1297C"/>
    <w:rsid w:val="00B12E4C"/>
    <w:rsid w:val="00B130EE"/>
    <w:rsid w:val="00B146B2"/>
    <w:rsid w:val="00B16BAB"/>
    <w:rsid w:val="00B17FCC"/>
    <w:rsid w:val="00B2041C"/>
    <w:rsid w:val="00B21FDE"/>
    <w:rsid w:val="00B22383"/>
    <w:rsid w:val="00B22513"/>
    <w:rsid w:val="00B22C19"/>
    <w:rsid w:val="00B24491"/>
    <w:rsid w:val="00B255F9"/>
    <w:rsid w:val="00B26163"/>
    <w:rsid w:val="00B26904"/>
    <w:rsid w:val="00B2743A"/>
    <w:rsid w:val="00B27E3E"/>
    <w:rsid w:val="00B3092F"/>
    <w:rsid w:val="00B30E53"/>
    <w:rsid w:val="00B32CAF"/>
    <w:rsid w:val="00B40D1C"/>
    <w:rsid w:val="00B45DDA"/>
    <w:rsid w:val="00B46CC6"/>
    <w:rsid w:val="00B47F8B"/>
    <w:rsid w:val="00B52C4D"/>
    <w:rsid w:val="00B53165"/>
    <w:rsid w:val="00B544DB"/>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0A2E"/>
    <w:rsid w:val="00BA1B08"/>
    <w:rsid w:val="00BA1B51"/>
    <w:rsid w:val="00BA593B"/>
    <w:rsid w:val="00BA7952"/>
    <w:rsid w:val="00BB0914"/>
    <w:rsid w:val="00BB4BC9"/>
    <w:rsid w:val="00BB5306"/>
    <w:rsid w:val="00BB5618"/>
    <w:rsid w:val="00BB759B"/>
    <w:rsid w:val="00BB7FAC"/>
    <w:rsid w:val="00BC4FE3"/>
    <w:rsid w:val="00BD020C"/>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9A8"/>
    <w:rsid w:val="00BE2D83"/>
    <w:rsid w:val="00BF055B"/>
    <w:rsid w:val="00BF0854"/>
    <w:rsid w:val="00BF44F5"/>
    <w:rsid w:val="00BF4EA3"/>
    <w:rsid w:val="00BF63AE"/>
    <w:rsid w:val="00C01F4A"/>
    <w:rsid w:val="00C026C3"/>
    <w:rsid w:val="00C03B0B"/>
    <w:rsid w:val="00C06152"/>
    <w:rsid w:val="00C06A3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2627"/>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134D1"/>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84233"/>
    <w:rsid w:val="00D92FB7"/>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C4"/>
    <w:rsid w:val="00DC65D2"/>
    <w:rsid w:val="00DD25F6"/>
    <w:rsid w:val="00DD3053"/>
    <w:rsid w:val="00DD52A4"/>
    <w:rsid w:val="00DD5C17"/>
    <w:rsid w:val="00DD69D4"/>
    <w:rsid w:val="00DE657A"/>
    <w:rsid w:val="00DF015D"/>
    <w:rsid w:val="00DF1132"/>
    <w:rsid w:val="00DF1322"/>
    <w:rsid w:val="00DF286F"/>
    <w:rsid w:val="00DF52C3"/>
    <w:rsid w:val="00DF5CF9"/>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3B26"/>
    <w:rsid w:val="00EA4C1E"/>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DF2"/>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AC9"/>
    <w:rsid w:val="00F55D7F"/>
    <w:rsid w:val="00F56921"/>
    <w:rsid w:val="00F60DAA"/>
    <w:rsid w:val="00F620D2"/>
    <w:rsid w:val="00F63024"/>
    <w:rsid w:val="00F67451"/>
    <w:rsid w:val="00F6781E"/>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3BF6"/>
    <w:rsid w:val="00FD6A5C"/>
    <w:rsid w:val="00FD6E97"/>
    <w:rsid w:val="00FD6F6A"/>
    <w:rsid w:val="00FE12FD"/>
    <w:rsid w:val="00FE14D3"/>
    <w:rsid w:val="00FE19EB"/>
    <w:rsid w:val="00FE3D9E"/>
    <w:rsid w:val="00FF1172"/>
    <w:rsid w:val="00FF3FE2"/>
    <w:rsid w:val="00FF4BBA"/>
    <w:rsid w:val="00FF6034"/>
    <w:rsid w:val="00FF7685"/>
    <w:rsid w:val="00FF7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3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B5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5306"/>
    <w:rPr>
      <w:sz w:val="18"/>
      <w:szCs w:val="18"/>
    </w:rPr>
  </w:style>
  <w:style w:type="paragraph" w:styleId="a4">
    <w:name w:val="footer"/>
    <w:basedOn w:val="a"/>
    <w:link w:val="Char0"/>
    <w:unhideWhenUsed/>
    <w:rsid w:val="00BB5306"/>
    <w:pPr>
      <w:tabs>
        <w:tab w:val="center" w:pos="4153"/>
        <w:tab w:val="right" w:pos="8306"/>
      </w:tabs>
      <w:snapToGrid w:val="0"/>
      <w:jc w:val="left"/>
    </w:pPr>
    <w:rPr>
      <w:sz w:val="18"/>
      <w:szCs w:val="18"/>
    </w:rPr>
  </w:style>
  <w:style w:type="character" w:customStyle="1" w:styleId="Char0">
    <w:name w:val="页脚 Char"/>
    <w:basedOn w:val="a0"/>
    <w:link w:val="a4"/>
    <w:rsid w:val="00BB5306"/>
    <w:rPr>
      <w:sz w:val="18"/>
      <w:szCs w:val="18"/>
    </w:rPr>
  </w:style>
  <w:style w:type="character" w:styleId="a5">
    <w:name w:val="page number"/>
    <w:rsid w:val="00BB5306"/>
  </w:style>
  <w:style w:type="character" w:customStyle="1" w:styleId="3CharChar">
    <w:name w:val="标题 3 Char Char"/>
    <w:rsid w:val="00BB5306"/>
    <w:rPr>
      <w:rFonts w:eastAsia="楷体_GB2312"/>
      <w:b/>
      <w:kern w:val="2"/>
      <w:sz w:val="32"/>
      <w:szCs w:val="24"/>
      <w:lang w:val="en-US" w:eastAsia="zh-CN" w:bidi="ar-SA"/>
    </w:rPr>
  </w:style>
  <w:style w:type="paragraph" w:customStyle="1" w:styleId="Char1">
    <w:name w:val="Char"/>
    <w:basedOn w:val="a"/>
    <w:rsid w:val="00BB5306"/>
    <w:pPr>
      <w:autoSpaceDE w:val="0"/>
      <w:autoSpaceDN w:val="0"/>
      <w:adjustRightInd w:val="0"/>
    </w:pPr>
    <w:rPr>
      <w:rFonts w:ascii="宋体" w:cs="宋体"/>
      <w:kern w:val="0"/>
      <w:sz w:val="20"/>
      <w:szCs w:val="20"/>
      <w:lang w:val="zh-CN"/>
    </w:rPr>
  </w:style>
  <w:style w:type="paragraph" w:styleId="2">
    <w:name w:val="Body Text Indent 2"/>
    <w:basedOn w:val="a"/>
    <w:link w:val="2Char"/>
    <w:uiPriority w:val="99"/>
    <w:unhideWhenUsed/>
    <w:rsid w:val="00BB5306"/>
    <w:pPr>
      <w:ind w:firstLineChars="200" w:firstLine="588"/>
    </w:pPr>
    <w:rPr>
      <w:rFonts w:ascii="仿宋_GB2312" w:eastAsia="仿宋_GB2312" w:hAnsi="Calibri"/>
      <w:sz w:val="32"/>
    </w:rPr>
  </w:style>
  <w:style w:type="character" w:customStyle="1" w:styleId="2Char">
    <w:name w:val="正文文本缩进 2 Char"/>
    <w:basedOn w:val="a0"/>
    <w:link w:val="2"/>
    <w:uiPriority w:val="99"/>
    <w:rsid w:val="00BB5306"/>
    <w:rPr>
      <w:rFonts w:ascii="仿宋_GB2312" w:eastAsia="仿宋_GB2312" w:hAnsi="Calibri" w:cs="Times New Roman"/>
      <w:sz w:val="32"/>
      <w:szCs w:val="24"/>
    </w:rPr>
  </w:style>
  <w:style w:type="paragraph" w:customStyle="1" w:styleId="Char10">
    <w:name w:val="Char1"/>
    <w:basedOn w:val="a"/>
    <w:rsid w:val="00BB5306"/>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rsid w:val="00BB5306"/>
    <w:pPr>
      <w:numPr>
        <w:numId w:val="1"/>
      </w:numPr>
      <w:tabs>
        <w:tab w:val="left" w:pos="720"/>
        <w:tab w:val="left" w:pos="780"/>
      </w:tabs>
    </w:pPr>
    <w:rPr>
      <w:szCs w:val="20"/>
    </w:rPr>
  </w:style>
  <w:style w:type="paragraph" w:styleId="a6">
    <w:name w:val="Balloon Text"/>
    <w:basedOn w:val="a"/>
    <w:link w:val="Char2"/>
    <w:semiHidden/>
    <w:rsid w:val="00BB5306"/>
    <w:rPr>
      <w:sz w:val="18"/>
      <w:szCs w:val="18"/>
    </w:rPr>
  </w:style>
  <w:style w:type="character" w:customStyle="1" w:styleId="Char2">
    <w:name w:val="批注框文本 Char"/>
    <w:basedOn w:val="a0"/>
    <w:link w:val="a6"/>
    <w:semiHidden/>
    <w:rsid w:val="00BB5306"/>
    <w:rPr>
      <w:rFonts w:ascii="Times New Roman" w:eastAsia="宋体" w:hAnsi="Times New Roman" w:cs="Times New Roman"/>
      <w:sz w:val="18"/>
      <w:szCs w:val="18"/>
    </w:rPr>
  </w:style>
  <w:style w:type="paragraph" w:customStyle="1" w:styleId="CharCharCharChar">
    <w:name w:val="Char Char Char Char"/>
    <w:basedOn w:val="a"/>
    <w:rsid w:val="00952900"/>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divs>
    <w:div w:id="205875501">
      <w:bodyDiv w:val="1"/>
      <w:marLeft w:val="0"/>
      <w:marRight w:val="0"/>
      <w:marTop w:val="0"/>
      <w:marBottom w:val="0"/>
      <w:divBdr>
        <w:top w:val="none" w:sz="0" w:space="0" w:color="auto"/>
        <w:left w:val="none" w:sz="0" w:space="0" w:color="auto"/>
        <w:bottom w:val="none" w:sz="0" w:space="0" w:color="auto"/>
        <w:right w:val="none" w:sz="0" w:space="0" w:color="auto"/>
      </w:divBdr>
    </w:div>
    <w:div w:id="15306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1180</Words>
  <Characters>6732</Characters>
  <Application>Microsoft Office Word</Application>
  <DocSecurity>0</DocSecurity>
  <Lines>56</Lines>
  <Paragraphs>15</Paragraphs>
  <ScaleCrop>false</ScaleCrop>
  <Company>China</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3</cp:revision>
  <dcterms:created xsi:type="dcterms:W3CDTF">2021-07-02T08:49:00Z</dcterms:created>
  <dcterms:modified xsi:type="dcterms:W3CDTF">2021-07-02T08:53:00Z</dcterms:modified>
</cp:coreProperties>
</file>