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rPr>
          <w:sz w:val="56"/>
          <w:szCs w:val="56"/>
        </w:rPr>
      </w:pPr>
    </w:p>
    <w:p>
      <w:pPr>
        <w:pStyle w:val="18"/>
        <w:jc w:val="center"/>
        <w:rPr>
          <w:sz w:val="56"/>
          <w:szCs w:val="56"/>
        </w:rPr>
      </w:pPr>
    </w:p>
    <w:p>
      <w:pPr>
        <w:pStyle w:val="18"/>
        <w:jc w:val="center"/>
        <w:rPr>
          <w:sz w:val="84"/>
          <w:szCs w:val="84"/>
        </w:rPr>
      </w:pPr>
    </w:p>
    <w:p>
      <w:pPr>
        <w:pStyle w:val="18"/>
        <w:jc w:val="center"/>
        <w:rPr>
          <w:sz w:val="84"/>
          <w:szCs w:val="84"/>
        </w:rPr>
      </w:pPr>
    </w:p>
    <w:p>
      <w:pPr>
        <w:pStyle w:val="18"/>
        <w:jc w:val="center"/>
        <w:rPr>
          <w:sz w:val="84"/>
          <w:szCs w:val="84"/>
        </w:rPr>
      </w:pPr>
      <w:r>
        <w:rPr>
          <w:rFonts w:hint="eastAsia"/>
          <w:sz w:val="84"/>
          <w:szCs w:val="84"/>
        </w:rPr>
        <w:t>2019年度</w:t>
      </w:r>
    </w:p>
    <w:p>
      <w:pPr>
        <w:pStyle w:val="18"/>
        <w:jc w:val="center"/>
        <w:rPr>
          <w:sz w:val="84"/>
          <w:szCs w:val="84"/>
        </w:rPr>
      </w:pPr>
      <w:r>
        <w:rPr>
          <w:rFonts w:hint="eastAsia"/>
          <w:sz w:val="84"/>
          <w:szCs w:val="84"/>
          <w:lang w:eastAsia="zh-CN"/>
        </w:rPr>
        <w:t>岳阳市城市管理和综合执法局</w:t>
      </w:r>
      <w:r>
        <w:rPr>
          <w:rFonts w:hint="eastAsia"/>
          <w:sz w:val="84"/>
          <w:szCs w:val="84"/>
        </w:rPr>
        <w:t>部门决算</w:t>
      </w:r>
    </w:p>
    <w:p>
      <w:pPr>
        <w:pStyle w:val="18"/>
        <w:jc w:val="center"/>
        <w:rPr>
          <w:sz w:val="56"/>
          <w:szCs w:val="56"/>
        </w:rPr>
      </w:pPr>
    </w:p>
    <w:p>
      <w:pPr>
        <w:pStyle w:val="18"/>
        <w:jc w:val="center"/>
        <w:rPr>
          <w:sz w:val="56"/>
          <w:szCs w:val="56"/>
        </w:rPr>
      </w:pPr>
    </w:p>
    <w:p>
      <w:pPr>
        <w:pStyle w:val="18"/>
        <w:jc w:val="center"/>
        <w:rPr>
          <w:sz w:val="56"/>
          <w:szCs w:val="56"/>
        </w:rPr>
      </w:pPr>
    </w:p>
    <w:p>
      <w:pPr>
        <w:pStyle w:val="18"/>
        <w:jc w:val="center"/>
        <w:rPr>
          <w:sz w:val="56"/>
          <w:szCs w:val="56"/>
        </w:rPr>
      </w:pPr>
    </w:p>
    <w:p>
      <w:pPr>
        <w:pStyle w:val="18"/>
        <w:jc w:val="center"/>
        <w:rPr>
          <w:sz w:val="56"/>
          <w:szCs w:val="56"/>
        </w:rPr>
      </w:pPr>
    </w:p>
    <w:p>
      <w:pPr>
        <w:pStyle w:val="18"/>
        <w:jc w:val="both"/>
        <w:rPr>
          <w:sz w:val="56"/>
          <w:szCs w:val="56"/>
        </w:rPr>
      </w:pPr>
    </w:p>
    <w:p>
      <w:pPr>
        <w:pStyle w:val="18"/>
        <w:spacing w:line="520" w:lineRule="exact"/>
        <w:jc w:val="center"/>
        <w:rPr>
          <w:sz w:val="56"/>
          <w:szCs w:val="56"/>
        </w:rPr>
      </w:pPr>
      <w:r>
        <w:rPr>
          <w:rFonts w:hint="eastAsia"/>
          <w:sz w:val="56"/>
          <w:szCs w:val="56"/>
        </w:rPr>
        <w:t>目录</w:t>
      </w:r>
    </w:p>
    <w:p>
      <w:pPr>
        <w:pStyle w:val="18"/>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岳阳市城市管理和综合执法局</w:t>
      </w:r>
      <w:r>
        <w:rPr>
          <w:rFonts w:hint="eastAsia"/>
          <w:b/>
          <w:sz w:val="28"/>
          <w:szCs w:val="28"/>
        </w:rPr>
        <w:t>概况</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8"/>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2019</w:t>
      </w:r>
      <w:r>
        <w:rPr>
          <w:rFonts w:hint="eastAsia" w:hAnsi="仿宋_GB2312"/>
          <w:b/>
          <w:sz w:val="28"/>
          <w:szCs w:val="28"/>
        </w:rPr>
        <w:t>年度部门决算表</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8"/>
        <w:spacing w:line="52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2019</w:t>
      </w:r>
      <w:r>
        <w:rPr>
          <w:rFonts w:hint="eastAsia" w:hAnsi="仿宋_GB2312"/>
          <w:b/>
          <w:sz w:val="28"/>
          <w:szCs w:val="28"/>
        </w:rPr>
        <w:t>年度部门决算情况说明</w:t>
      </w:r>
    </w:p>
    <w:p>
      <w:pPr>
        <w:pStyle w:val="1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both"/>
        <w:rPr>
          <w:sz w:val="72"/>
          <w:szCs w:val="72"/>
        </w:rPr>
      </w:pPr>
    </w:p>
    <w:p>
      <w:pPr>
        <w:jc w:val="center"/>
        <w:rPr>
          <w:sz w:val="72"/>
          <w:szCs w:val="72"/>
        </w:rPr>
      </w:pPr>
    </w:p>
    <w:p>
      <w:pPr>
        <w:rPr>
          <w:sz w:val="72"/>
          <w:szCs w:val="72"/>
        </w:rPr>
      </w:pPr>
    </w:p>
    <w:p>
      <w:pPr>
        <w:pStyle w:val="18"/>
        <w:jc w:val="center"/>
        <w:rPr>
          <w:sz w:val="84"/>
          <w:szCs w:val="84"/>
        </w:rPr>
      </w:pPr>
      <w:r>
        <w:rPr>
          <w:rFonts w:hint="eastAsia"/>
          <w:sz w:val="84"/>
          <w:szCs w:val="84"/>
        </w:rPr>
        <w:t>第一部分</w:t>
      </w:r>
      <w:r>
        <w:rPr>
          <w:sz w:val="84"/>
          <w:szCs w:val="84"/>
        </w:rPr>
        <w:t xml:space="preserve"> </w:t>
      </w:r>
    </w:p>
    <w:p>
      <w:pPr>
        <w:pStyle w:val="18"/>
        <w:jc w:val="center"/>
        <w:rPr>
          <w:sz w:val="84"/>
          <w:szCs w:val="84"/>
        </w:rPr>
      </w:pPr>
    </w:p>
    <w:p>
      <w:pPr>
        <w:pStyle w:val="18"/>
        <w:jc w:val="center"/>
        <w:rPr>
          <w:b w:val="0"/>
          <w:bCs/>
          <w:sz w:val="84"/>
          <w:szCs w:val="84"/>
        </w:rPr>
      </w:pPr>
      <w:r>
        <w:rPr>
          <w:rFonts w:hint="eastAsia"/>
          <w:b w:val="0"/>
          <w:bCs/>
          <w:sz w:val="84"/>
          <w:szCs w:val="84"/>
          <w:lang w:eastAsia="zh-CN"/>
        </w:rPr>
        <w:t>岳阳市城市管理和综合执法局</w:t>
      </w:r>
      <w:r>
        <w:rPr>
          <w:rFonts w:hint="eastAsia"/>
          <w:b w:val="0"/>
          <w:bCs/>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9"/>
        <w:ind w:left="720" w:firstLine="0" w:firstLineChars="0"/>
        <w:jc w:val="left"/>
        <w:rPr>
          <w:rFonts w:ascii="黑体" w:hAnsi="黑体" w:eastAsia="黑体"/>
          <w:sz w:val="32"/>
          <w:szCs w:val="32"/>
        </w:rPr>
      </w:pPr>
    </w:p>
    <w:p>
      <w:pPr>
        <w:pStyle w:val="19"/>
        <w:keepNext w:val="0"/>
        <w:keepLines w:val="0"/>
        <w:pageBreakBefore w:val="0"/>
        <w:numPr>
          <w:numId w:val="0"/>
        </w:numPr>
        <w:kinsoku/>
        <w:wordWrap/>
        <w:overflowPunct/>
        <w:topLinePunct w:val="0"/>
        <w:autoSpaceDE/>
        <w:autoSpaceDN/>
        <w:bidi w:val="0"/>
        <w:adjustRightInd/>
        <w:snapToGrid/>
        <w:spacing w:line="520" w:lineRule="exact"/>
        <w:ind w:leftChars="0" w:firstLine="480" w:firstLineChars="200"/>
        <w:jc w:val="left"/>
        <w:textAlignment w:val="auto"/>
        <w:rPr>
          <w:rFonts w:ascii="黑体" w:hAnsi="黑体" w:eastAsia="黑体"/>
          <w:sz w:val="24"/>
          <w:szCs w:val="24"/>
        </w:rPr>
      </w:pPr>
      <w:r>
        <w:rPr>
          <w:rFonts w:hint="eastAsia" w:ascii="黑体" w:hAnsi="黑体" w:eastAsia="黑体"/>
          <w:sz w:val="24"/>
          <w:szCs w:val="24"/>
          <w:lang w:eastAsia="zh-CN"/>
        </w:rPr>
        <w:t>一、</w:t>
      </w:r>
      <w:r>
        <w:rPr>
          <w:rFonts w:ascii="黑体" w:hAnsi="黑体" w:eastAsia="黑体"/>
          <w:sz w:val="24"/>
          <w:szCs w:val="24"/>
        </w:rPr>
        <w:t>部门职责</w:t>
      </w:r>
    </w:p>
    <w:p>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岳阳市城管局成立于2004年12月，由原市公用事业局与市政府城管办合并组建，2007年加挂市城市管理行政执法局的牌子，2015年3月更名为市城市管理和行政执法局，2019年1月更名为市城市管理和综合执法局。主要承担市容环境、园林绿化、城管执法、市政维护、路灯亮化、渣土运输（道路破占）、户外广告、城镇燃气、停车管理等九项职能。</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ascii="黑体" w:hAnsi="黑体" w:eastAsia="黑体"/>
          <w:bCs/>
          <w:kern w:val="0"/>
          <w:sz w:val="24"/>
          <w:szCs w:val="24"/>
        </w:rPr>
      </w:pPr>
      <w:r>
        <w:rPr>
          <w:rFonts w:hint="eastAsia" w:ascii="黑体" w:hAnsi="黑体" w:eastAsia="黑体"/>
          <w:bCs/>
          <w:kern w:val="0"/>
          <w:sz w:val="24"/>
          <w:szCs w:val="24"/>
        </w:rPr>
        <w:t>二、机构设置及决算单位构成</w:t>
      </w:r>
    </w:p>
    <w:p>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宋体" w:hAnsi="宋体" w:eastAsia="宋体" w:cs="宋体"/>
          <w:kern w:val="0"/>
          <w:sz w:val="24"/>
          <w:szCs w:val="24"/>
        </w:rPr>
      </w:pPr>
      <w:r>
        <w:rPr>
          <w:rFonts w:hint="eastAsia" w:asciiTheme="minorEastAsia" w:hAnsiTheme="minorEastAsia"/>
          <w:bCs/>
          <w:kern w:val="0"/>
          <w:sz w:val="24"/>
          <w:szCs w:val="24"/>
        </w:rPr>
        <w:t>（一）内设机构设置。</w:t>
      </w:r>
      <w:r>
        <w:rPr>
          <w:rFonts w:hint="eastAsia" w:ascii="宋体" w:hAnsi="宋体" w:eastAsia="宋体" w:cs="宋体"/>
          <w:kern w:val="0"/>
          <w:sz w:val="24"/>
          <w:szCs w:val="24"/>
        </w:rPr>
        <w:t>下属二级机构有市容环卫中心、市园林绿化中心、市城管综合行政执法支队、市路灯管理处、市市政维护处、市土石方调配运输（破占道）服务中心、岳阳火车站地区综合执法支队、市沿湖风光带管理中心、市城管信息中心、市智慧城管指挥中心、市停车管理办公室（公共自行车管理中心）、市静脉产业园管理中心、市城管局湖南城陵矶新港区分局等13个管理单位，业务指导市公安城管大队，归口管理岳阳华润燃气公司，内设办公室、人事科、计划财务科、审计科、信访维稳科、政策法规科、行政审批科、城市管理考评科、市容环境卫生管理科、垃圾分类管理科、基础设施建设管理科、园林绿化管理科、城市绿线管理科、燃气管理科（安全管理科）、户外广告管理科等15个科室。</w:t>
      </w:r>
    </w:p>
    <w:p>
      <w:pPr>
        <w:pStyle w:val="6"/>
        <w:keepNext w:val="0"/>
        <w:keepLines w:val="0"/>
        <w:pageBreakBefore w:val="0"/>
        <w:widowControl/>
        <w:kinsoku/>
        <w:wordWrap/>
        <w:overflowPunct/>
        <w:topLinePunct w:val="0"/>
        <w:autoSpaceDE/>
        <w:autoSpaceDN/>
        <w:bidi w:val="0"/>
        <w:adjustRightInd/>
        <w:snapToGrid/>
        <w:spacing w:line="520" w:lineRule="exact"/>
        <w:ind w:left="0" w:firstLine="420"/>
        <w:jc w:val="both"/>
        <w:textAlignment w:val="auto"/>
        <w:rPr>
          <w:rFonts w:hint="eastAsia" w:ascii="宋体" w:hAnsi="宋体" w:eastAsia="宋体" w:cs="宋体"/>
          <w:sz w:val="24"/>
          <w:szCs w:val="24"/>
          <w:lang w:val="en-US"/>
        </w:rPr>
      </w:pPr>
      <w:r>
        <w:rPr>
          <w:rFonts w:hint="eastAsia" w:asciiTheme="minorEastAsia" w:hAnsiTheme="minorEastAsia"/>
          <w:bCs/>
          <w:kern w:val="0"/>
          <w:sz w:val="24"/>
          <w:szCs w:val="24"/>
        </w:rPr>
        <w:t>（二）决算单位构成。</w:t>
      </w:r>
      <w:r>
        <w:rPr>
          <w:rFonts w:hint="eastAsia" w:ascii="宋体" w:hAnsi="宋体" w:eastAsia="宋体" w:cs="宋体"/>
          <w:kern w:val="0"/>
          <w:sz w:val="24"/>
          <w:szCs w:val="24"/>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年部门决算编制范围包含岳阳市城市管理和</w:t>
      </w:r>
      <w:r>
        <w:rPr>
          <w:rFonts w:hint="eastAsia" w:ascii="宋体" w:hAnsi="宋体" w:eastAsia="宋体" w:cs="宋体"/>
          <w:kern w:val="0"/>
          <w:sz w:val="24"/>
          <w:szCs w:val="24"/>
          <w:lang w:eastAsia="zh-CN"/>
        </w:rPr>
        <w:t>综合</w:t>
      </w:r>
      <w:r>
        <w:rPr>
          <w:rFonts w:hint="eastAsia" w:ascii="宋体" w:hAnsi="宋体" w:eastAsia="宋体" w:cs="宋体"/>
          <w:kern w:val="0"/>
          <w:sz w:val="24"/>
          <w:szCs w:val="24"/>
        </w:rPr>
        <w:t>执法局本级和所属单位</w:t>
      </w:r>
      <w:r>
        <w:rPr>
          <w:rFonts w:hint="eastAsia" w:ascii="宋体" w:hAnsi="宋体" w:eastAsia="宋体" w:cs="宋体"/>
          <w:kern w:val="0"/>
          <w:sz w:val="24"/>
          <w:szCs w:val="24"/>
          <w:lang w:eastAsia="zh-CN"/>
        </w:rPr>
        <w:t>共计</w:t>
      </w:r>
      <w:r>
        <w:rPr>
          <w:rFonts w:hint="eastAsia" w:ascii="宋体" w:hAnsi="宋体" w:eastAsia="宋体" w:cs="宋体"/>
          <w:kern w:val="0"/>
          <w:sz w:val="24"/>
          <w:szCs w:val="24"/>
          <w:lang w:val="en-US" w:eastAsia="zh-CN"/>
        </w:rPr>
        <w:t>18家单位</w:t>
      </w:r>
      <w:r>
        <w:rPr>
          <w:rFonts w:hint="eastAsia" w:ascii="宋体" w:hAnsi="宋体" w:eastAsia="宋体" w:cs="宋体"/>
          <w:kern w:val="0"/>
          <w:sz w:val="24"/>
          <w:szCs w:val="24"/>
        </w:rPr>
        <w:t>汇总的部门决算。</w:t>
      </w:r>
      <w:r>
        <w:rPr>
          <w:rFonts w:hint="eastAsia" w:ascii="宋体" w:hAnsi="宋体" w:eastAsia="宋体" w:cs="宋体"/>
          <w:kern w:val="0"/>
          <w:sz w:val="24"/>
          <w:szCs w:val="24"/>
          <w:lang w:val="en-US" w:eastAsia="zh-CN"/>
        </w:rPr>
        <w:t>18家单位</w:t>
      </w:r>
      <w:r>
        <w:rPr>
          <w:rFonts w:hint="eastAsia" w:ascii="宋体" w:hAnsi="宋体" w:eastAsia="宋体" w:cs="宋体"/>
          <w:sz w:val="24"/>
          <w:szCs w:val="24"/>
          <w:lang w:eastAsia="zh-CN"/>
        </w:rPr>
        <w:t>包括市城管局本级及部门所属事业单位市市容环境卫生中心、市风景园林中心、市城市管理行政执法支队、市市政维护管理处、市路灯管理处、市土石方调配运输服务中心、岳阳火车站地区综合执法支队、市沿湖风光带管理中心、市城市管理信息中心、市城市管理监督指挥中心、市停车管理办公室、王家河公园管理中心、金鹗公园管理中心、南湖广场管理中心、城市绿化管理中心、南湖公园管理中心、苗木花卉管理中心等</w:t>
      </w:r>
      <w:r>
        <w:rPr>
          <w:rFonts w:hint="eastAsia" w:ascii="宋体" w:hAnsi="宋体" w:eastAsia="宋体" w:cs="宋体"/>
          <w:sz w:val="24"/>
          <w:szCs w:val="24"/>
          <w:lang w:val="en-US"/>
        </w:rPr>
        <w:t>1</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个管理单位。</w:t>
      </w:r>
    </w:p>
    <w:p>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宋体" w:hAnsi="宋体" w:eastAsia="宋体" w:cs="宋体"/>
          <w:kern w:val="0"/>
          <w:szCs w:val="21"/>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岳阳市城市管理和综合执法局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7"/>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hint="default"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hint="default"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7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hint="default"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hint="default"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58284.49</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15</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16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rPr>
            </w:pPr>
            <w:r>
              <w:rPr>
                <w:rFonts w:hint="eastAsia" w:ascii="仿宋" w:hAnsi="仿宋" w:eastAsia="仿宋" w:cs="仿宋"/>
              </w:rPr>
              <w:t>八、社会保障和就业支出</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17</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491.99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rPr>
            </w:pPr>
            <w:r>
              <w:rPr>
                <w:rFonts w:hint="eastAsia" w:ascii="仿宋" w:hAnsi="仿宋" w:eastAsia="仿宋" w:cs="仿宋"/>
              </w:rPr>
              <w:t>九、卫生健康支出</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18</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161.81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rPr>
            </w:pPr>
            <w:r>
              <w:rPr>
                <w:rFonts w:hint="eastAsia" w:ascii="仿宋" w:hAnsi="仿宋" w:eastAsia="仿宋" w:cs="仿宋"/>
              </w:rPr>
              <w:t>十、节能环保支出</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val="0"/>
                <w:kern w:val="0"/>
                <w:szCs w:val="21"/>
              </w:rPr>
            </w:pPr>
            <w:r>
              <w:rPr>
                <w:rFonts w:hint="default" w:ascii="Times New Roman" w:hAnsi="Times New Roman" w:eastAsia="仿宋_GB2312" w:cs="Times New Roman"/>
                <w:b w:val="0"/>
                <w:bCs w:val="0"/>
                <w:kern w:val="0"/>
                <w:szCs w:val="21"/>
              </w:rPr>
              <w:t>19</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398.47</w:t>
            </w:r>
          </w:p>
        </w:tc>
      </w:tr>
      <w:tr>
        <w:tblPrEx>
          <w:tblCellMar>
            <w:top w:w="0" w:type="dxa"/>
            <w:left w:w="108" w:type="dxa"/>
            <w:bottom w:w="0" w:type="dxa"/>
            <w:right w:w="108" w:type="dxa"/>
          </w:tblCellMar>
        </w:tblPrEx>
        <w:trPr>
          <w:trHeight w:val="365"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1608.04</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rPr>
              <w:t>十一、城乡社区支出</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left"/>
              <w:rPr>
                <w:rFonts w:hint="default"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20</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center"/>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51165.18</w:t>
            </w:r>
          </w:p>
        </w:tc>
      </w:tr>
      <w:tr>
        <w:tblPrEx>
          <w:tblCellMar>
            <w:top w:w="0" w:type="dxa"/>
            <w:left w:w="108" w:type="dxa"/>
            <w:bottom w:w="0" w:type="dxa"/>
            <w:right w:w="108" w:type="dxa"/>
          </w:tblCellMar>
        </w:tblPrEx>
        <w:trPr>
          <w:trHeight w:val="365"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rPr>
              <w:t>十二、农林水支出</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left"/>
              <w:rPr>
                <w:rFonts w:hint="default"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21</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center"/>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15</w:t>
            </w: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十四、资源勘探信息等支出</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left"/>
              <w:rPr>
                <w:rFonts w:hint="default"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center"/>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282.16</w:t>
            </w:r>
          </w:p>
        </w:tc>
      </w:tr>
      <w:tr>
        <w:tblPrEx>
          <w:tblCellMar>
            <w:top w:w="0" w:type="dxa"/>
            <w:left w:w="108" w:type="dxa"/>
            <w:bottom w:w="0" w:type="dxa"/>
            <w:right w:w="108" w:type="dxa"/>
          </w:tblCellMar>
        </w:tblPrEx>
        <w:trPr>
          <w:trHeight w:val="215"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二十二、其他支出</w:t>
            </w:r>
            <w:bookmarkStart w:id="2" w:name="_GoBack"/>
            <w:bookmarkEnd w:id="2"/>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left"/>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23</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80" w:lineRule="auto"/>
              <w:ind w:left="0" w:right="0"/>
              <w:jc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6291.13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59952.53</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58805.74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5</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w:t>
            </w:r>
          </w:p>
        </w:tc>
        <w:tc>
          <w:tcPr>
            <w:tcW w:w="122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3808.63</w:t>
            </w:r>
            <w:r>
              <w:rPr>
                <w:rFonts w:hint="eastAsia" w:ascii="Times New Roman" w:hAnsi="Times New Roman" w:eastAsia="仿宋_GB2312" w:cs="Times New Roman"/>
                <w:kern w:val="0"/>
                <w:szCs w:val="21"/>
              </w:rPr>
              <w:t>　</w:t>
            </w:r>
          </w:p>
        </w:tc>
        <w:tc>
          <w:tcPr>
            <w:tcW w:w="482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6</w:t>
            </w:r>
          </w:p>
        </w:tc>
        <w:tc>
          <w:tcPr>
            <w:tcW w:w="168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4955.42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7</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w:t>
            </w:r>
          </w:p>
        </w:tc>
        <w:tc>
          <w:tcPr>
            <w:tcW w:w="122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63761.16</w:t>
            </w:r>
            <w:r>
              <w:rPr>
                <w:rFonts w:hint="eastAsia" w:ascii="Times New Roman" w:hAnsi="Times New Roman" w:eastAsia="仿宋_GB2312" w:cs="Times New Roman"/>
                <w:kern w:val="0"/>
                <w:szCs w:val="21"/>
              </w:rPr>
              <w:t>　</w:t>
            </w:r>
          </w:p>
        </w:tc>
        <w:tc>
          <w:tcPr>
            <w:tcW w:w="482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8</w:t>
            </w:r>
          </w:p>
        </w:tc>
        <w:tc>
          <w:tcPr>
            <w:tcW w:w="168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val="0"/>
                <w:bCs w:val="0"/>
                <w:kern w:val="0"/>
                <w:szCs w:val="21"/>
                <w:lang w:val="en-US" w:eastAsia="zh-CN"/>
              </w:rPr>
              <w:t>63761.16</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hint="eastAsia"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岳阳市城市管理和综合执法局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3813" w:type="dxa"/>
        <w:jc w:val="center"/>
        <w:tblLayout w:type="fixed"/>
        <w:tblCellMar>
          <w:top w:w="0" w:type="dxa"/>
          <w:left w:w="108" w:type="dxa"/>
          <w:bottom w:w="0" w:type="dxa"/>
          <w:right w:w="108" w:type="dxa"/>
        </w:tblCellMar>
      </w:tblPr>
      <w:tblGrid>
        <w:gridCol w:w="1197"/>
        <w:gridCol w:w="2410"/>
        <w:gridCol w:w="1025"/>
        <w:gridCol w:w="1024"/>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3607" w:type="dxa"/>
            <w:gridSpan w:val="2"/>
            <w:tcBorders>
              <w:top w:val="single" w:color="auto" w:sz="8" w:space="0"/>
              <w:left w:val="single" w:color="auto" w:sz="8"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项    目</w:t>
            </w:r>
          </w:p>
        </w:tc>
        <w:tc>
          <w:tcPr>
            <w:tcW w:w="10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本年收入合计</w:t>
            </w:r>
          </w:p>
        </w:tc>
        <w:tc>
          <w:tcPr>
            <w:tcW w:w="102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功能分类科目编码</w:t>
            </w:r>
          </w:p>
        </w:tc>
        <w:tc>
          <w:tcPr>
            <w:tcW w:w="241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科目名称</w:t>
            </w:r>
          </w:p>
        </w:tc>
        <w:tc>
          <w:tcPr>
            <w:tcW w:w="1025"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024"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41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025"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024"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607"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607" w:type="dxa"/>
            <w:gridSpan w:val="2"/>
            <w:tcBorders>
              <w:top w:val="nil"/>
              <w:left w:val="single" w:color="auto" w:sz="8"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59952.53</w:t>
            </w:r>
            <w:r>
              <w:rPr>
                <w:rFonts w:hint="default" w:ascii="Times New Roman" w:hAnsi="Times New Roman" w:eastAsia="仿宋_GB2312" w:cs="Times New Roman"/>
                <w:kern w:val="0"/>
                <w:szCs w:val="21"/>
              </w:rPr>
              <w:t>　</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58344.49</w:t>
            </w:r>
            <w:r>
              <w:rPr>
                <w:rFonts w:hint="default"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1608.04</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208</w:t>
            </w:r>
          </w:p>
        </w:tc>
        <w:tc>
          <w:tcPr>
            <w:tcW w:w="24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社会保障和就业支出</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479.34</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479.34</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20805 </w:t>
            </w:r>
          </w:p>
        </w:tc>
        <w:tc>
          <w:tcPr>
            <w:tcW w:w="24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行政事业单位离退休</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452.79</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452.79</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2080505 </w:t>
            </w:r>
          </w:p>
        </w:tc>
        <w:tc>
          <w:tcPr>
            <w:tcW w:w="24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机关事业单位基本养老保险缴费支出</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443.30</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443.30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2080599 </w:t>
            </w:r>
          </w:p>
        </w:tc>
        <w:tc>
          <w:tcPr>
            <w:tcW w:w="24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其他行政事业单位离退休支出</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9.49</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9.49</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20808 </w:t>
            </w:r>
          </w:p>
        </w:tc>
        <w:tc>
          <w:tcPr>
            <w:tcW w:w="24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抚恤</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4.79</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4.79</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2080899 </w:t>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其他优抚支出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4.79</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4.79</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83"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20811</w:t>
            </w:r>
            <w:r>
              <w:rPr>
                <w:rFonts w:hint="eastAsia" w:ascii="仿宋" w:hAnsi="仿宋" w:eastAsia="仿宋" w:cs="仿宋"/>
                <w:kern w:val="0"/>
                <w:sz w:val="21"/>
                <w:szCs w:val="21"/>
              </w:rPr>
              <w:tab/>
            </w:r>
          </w:p>
        </w:tc>
        <w:tc>
          <w:tcPr>
            <w:tcW w:w="24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残疾人事业</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21.76</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21.76</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2081199</w:t>
            </w:r>
            <w:r>
              <w:rPr>
                <w:rFonts w:hint="eastAsia" w:ascii="仿宋" w:hAnsi="仿宋" w:eastAsia="仿宋" w:cs="仿宋"/>
                <w:kern w:val="0"/>
                <w:sz w:val="21"/>
                <w:szCs w:val="21"/>
              </w:rPr>
              <w:tab/>
            </w:r>
          </w:p>
        </w:tc>
        <w:tc>
          <w:tcPr>
            <w:tcW w:w="2410"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其他残疾人事业支出</w:t>
            </w:r>
          </w:p>
        </w:tc>
        <w:tc>
          <w:tcPr>
            <w:tcW w:w="1025"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21.76</w:t>
            </w:r>
          </w:p>
        </w:tc>
        <w:tc>
          <w:tcPr>
            <w:tcW w:w="1024"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21.76</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98"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210</w:t>
            </w:r>
            <w:r>
              <w:rPr>
                <w:rFonts w:hint="eastAsia" w:ascii="仿宋" w:hAnsi="仿宋" w:eastAsia="仿宋" w:cs="仿宋"/>
                <w:kern w:val="0"/>
                <w:sz w:val="21"/>
                <w:szCs w:val="21"/>
              </w:rPr>
              <w:tab/>
            </w:r>
          </w:p>
        </w:tc>
        <w:tc>
          <w:tcPr>
            <w:tcW w:w="24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卫生健康支出</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163.69</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163.69</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21011</w:t>
            </w:r>
            <w:r>
              <w:rPr>
                <w:rFonts w:hint="eastAsia" w:ascii="仿宋" w:hAnsi="仿宋" w:eastAsia="仿宋" w:cs="仿宋"/>
                <w:kern w:val="0"/>
                <w:sz w:val="21"/>
                <w:szCs w:val="21"/>
              </w:rPr>
              <w:tab/>
            </w:r>
          </w:p>
        </w:tc>
        <w:tc>
          <w:tcPr>
            <w:tcW w:w="2410"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行政事业单位医疗</w:t>
            </w:r>
          </w:p>
        </w:tc>
        <w:tc>
          <w:tcPr>
            <w:tcW w:w="1025"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163.69</w:t>
            </w:r>
          </w:p>
        </w:tc>
        <w:tc>
          <w:tcPr>
            <w:tcW w:w="1024"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163.69</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single" w:color="auto" w:sz="4" w:space="0"/>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2101101</w:t>
            </w:r>
            <w:r>
              <w:rPr>
                <w:rFonts w:hint="eastAsia" w:ascii="仿宋" w:hAnsi="仿宋" w:eastAsia="仿宋" w:cs="仿宋"/>
                <w:kern w:val="0"/>
                <w:sz w:val="21"/>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行政单位医疗</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86.83</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86.83</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2101102</w:t>
            </w:r>
            <w:r>
              <w:rPr>
                <w:rFonts w:hint="eastAsia" w:ascii="仿宋" w:hAnsi="仿宋" w:eastAsia="仿宋" w:cs="仿宋"/>
                <w:kern w:val="0"/>
                <w:sz w:val="21"/>
                <w:szCs w:val="21"/>
              </w:rPr>
              <w:tab/>
            </w:r>
            <w:r>
              <w:rPr>
                <w:rFonts w:hint="eastAsia" w:ascii="仿宋" w:hAnsi="仿宋" w:eastAsia="仿宋" w:cs="仿宋"/>
                <w:kern w:val="0"/>
                <w:sz w:val="21"/>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事业单位医疗</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76.85</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76.85</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211</w:t>
            </w:r>
            <w:r>
              <w:rPr>
                <w:rFonts w:hint="eastAsia" w:ascii="仿宋" w:hAnsi="仿宋" w:eastAsia="仿宋" w:cs="仿宋"/>
                <w:kern w:val="0"/>
                <w:sz w:val="21"/>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节能环保支出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107.74</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107.74</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21103</w:t>
            </w:r>
            <w:r>
              <w:rPr>
                <w:rFonts w:hint="eastAsia" w:ascii="仿宋" w:hAnsi="仿宋" w:eastAsia="仿宋" w:cs="仿宋"/>
                <w:kern w:val="0"/>
                <w:sz w:val="21"/>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污染防治</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2110399</w:t>
            </w:r>
            <w:r>
              <w:rPr>
                <w:rFonts w:hint="eastAsia" w:ascii="仿宋" w:hAnsi="仿宋" w:eastAsia="仿宋" w:cs="仿宋"/>
                <w:kern w:val="0"/>
                <w:sz w:val="21"/>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其他污染防治支出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21111</w:t>
            </w:r>
            <w:r>
              <w:rPr>
                <w:rFonts w:hint="eastAsia" w:ascii="仿宋" w:hAnsi="仿宋" w:eastAsia="仿宋" w:cs="仿宋"/>
                <w:kern w:val="0"/>
                <w:sz w:val="21"/>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污染减排</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57.74</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57.74</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2111199</w:t>
            </w:r>
            <w:r>
              <w:rPr>
                <w:rFonts w:hint="eastAsia" w:ascii="仿宋" w:hAnsi="仿宋" w:eastAsia="仿宋" w:cs="仿宋"/>
                <w:kern w:val="0"/>
                <w:sz w:val="21"/>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其他污染减排支出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57.74</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57.74</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86"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212</w:t>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城乡社区支出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52442.47</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50834.43</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1608.04</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21201</w:t>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城乡社区管理事务</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12527.81</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12447.28</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80.53</w:t>
            </w:r>
          </w:p>
        </w:tc>
      </w:tr>
      <w:tr>
        <w:tblPrEx>
          <w:tblCellMar>
            <w:top w:w="0" w:type="dxa"/>
            <w:left w:w="108" w:type="dxa"/>
            <w:bottom w:w="0" w:type="dxa"/>
            <w:right w:w="108" w:type="dxa"/>
          </w:tblCellMar>
        </w:tblPrEx>
        <w:trPr>
          <w:trHeight w:val="535"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2120101</w:t>
            </w:r>
            <w:r>
              <w:rPr>
                <w:rFonts w:hint="eastAsia" w:ascii="仿宋" w:hAnsi="仿宋" w:eastAsia="仿宋" w:cs="仿宋"/>
                <w:kern w:val="0"/>
                <w:sz w:val="21"/>
                <w:szCs w:val="21"/>
              </w:rPr>
              <w:tab/>
            </w:r>
            <w:r>
              <w:rPr>
                <w:rFonts w:hint="eastAsia" w:ascii="仿宋" w:hAnsi="仿宋" w:eastAsia="仿宋" w:cs="仿宋"/>
                <w:kern w:val="0"/>
                <w:sz w:val="21"/>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kern w:val="0"/>
                <w:sz w:val="21"/>
                <w:szCs w:val="21"/>
              </w:rPr>
              <w:t>行政运行</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1857.24</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1821.44</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35.8</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2120102</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一般行政管理事务</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4212.98</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4212.68</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w:t>
            </w:r>
          </w:p>
        </w:tc>
      </w:tr>
      <w:tr>
        <w:tblPrEx>
          <w:tblCellMar>
            <w:top w:w="0" w:type="dxa"/>
            <w:left w:w="108" w:type="dxa"/>
            <w:bottom w:w="0" w:type="dxa"/>
            <w:right w:w="108" w:type="dxa"/>
          </w:tblCellMar>
        </w:tblPrEx>
        <w:trPr>
          <w:trHeight w:val="459"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2120103</w:t>
            </w:r>
          </w:p>
        </w:tc>
        <w:tc>
          <w:tcPr>
            <w:tcW w:w="24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机关服务</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19.57</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19.57</w:t>
            </w:r>
          </w:p>
        </w:tc>
      </w:tr>
      <w:tr>
        <w:tblPrEx>
          <w:tblCellMar>
            <w:top w:w="0" w:type="dxa"/>
            <w:left w:w="108" w:type="dxa"/>
            <w:bottom w:w="0" w:type="dxa"/>
            <w:right w:w="108" w:type="dxa"/>
          </w:tblCellMar>
        </w:tblPrEx>
        <w:trPr>
          <w:trHeight w:val="386"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2120104</w:t>
            </w:r>
            <w:r>
              <w:rPr>
                <w:rFonts w:hint="eastAsia" w:ascii="Times New Roman" w:hAnsi="Times New Roman" w:eastAsia="仿宋_GB2312" w:cs="Times New Roman"/>
                <w:kern w:val="0"/>
                <w:szCs w:val="21"/>
              </w:rPr>
              <w:tab/>
            </w:r>
          </w:p>
        </w:tc>
        <w:tc>
          <w:tcPr>
            <w:tcW w:w="2410" w:type="dxa"/>
            <w:tcBorders>
              <w:top w:val="single" w:color="auto" w:sz="4" w:space="0"/>
              <w:left w:val="single" w:color="auto" w:sz="4"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城管执法</w:t>
            </w:r>
          </w:p>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p>
        </w:tc>
        <w:tc>
          <w:tcPr>
            <w:tcW w:w="1025"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1748.16</w:t>
            </w:r>
          </w:p>
        </w:tc>
        <w:tc>
          <w:tcPr>
            <w:tcW w:w="1024"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1723.3</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24.86</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2120106</w:t>
            </w:r>
            <w:r>
              <w:rPr>
                <w:rFonts w:hint="eastAsia" w:ascii="Times New Roman" w:hAnsi="Times New Roman" w:eastAsia="仿宋_GB2312" w:cs="Times New Roman"/>
                <w:kern w:val="0"/>
                <w:szCs w:val="21"/>
              </w:rPr>
              <w:tab/>
            </w:r>
          </w:p>
        </w:tc>
        <w:tc>
          <w:tcPr>
            <w:tcW w:w="2410" w:type="dxa"/>
            <w:tcBorders>
              <w:top w:val="nil"/>
              <w:left w:val="single" w:color="auto" w:sz="4"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工程建设管理</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9.81</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9.81</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2120199</w:t>
            </w:r>
            <w:r>
              <w:rPr>
                <w:rFonts w:hint="eastAsia" w:ascii="Times New Roman" w:hAnsi="Times New Roman" w:eastAsia="仿宋_GB2312" w:cs="Times New Roman"/>
                <w:kern w:val="0"/>
                <w:szCs w:val="21"/>
              </w:rPr>
              <w:tab/>
            </w:r>
          </w:p>
        </w:tc>
        <w:tc>
          <w:tcPr>
            <w:tcW w:w="2410" w:type="dxa"/>
            <w:tcBorders>
              <w:top w:val="nil"/>
              <w:left w:val="single" w:color="auto" w:sz="4"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其他城乡社区管理事务支出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468.01</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468.01</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21202</w:t>
            </w:r>
            <w:r>
              <w:rPr>
                <w:rFonts w:hint="eastAsia" w:ascii="Times New Roman" w:hAnsi="Times New Roman" w:eastAsia="仿宋_GB2312" w:cs="Times New Roman"/>
                <w:kern w:val="0"/>
                <w:szCs w:val="21"/>
              </w:rPr>
              <w:tab/>
            </w:r>
          </w:p>
        </w:tc>
        <w:tc>
          <w:tcPr>
            <w:tcW w:w="241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仿宋" w:hAnsi="仿宋" w:eastAsia="仿宋" w:cs="仿宋"/>
                <w:kern w:val="0"/>
                <w:sz w:val="21"/>
                <w:szCs w:val="21"/>
              </w:rPr>
            </w:pPr>
            <w:r>
              <w:rPr>
                <w:rFonts w:hint="eastAsia" w:ascii="Times New Roman" w:hAnsi="Times New Roman" w:eastAsia="仿宋_GB2312" w:cs="Times New Roman"/>
                <w:kern w:val="0"/>
                <w:szCs w:val="21"/>
              </w:rPr>
              <w:t>城乡社区规划与管理</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30779.52</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30769.52</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2120201</w:t>
            </w:r>
            <w:r>
              <w:rPr>
                <w:rFonts w:hint="eastAsia" w:ascii="Times New Roman" w:hAnsi="Times New Roman" w:eastAsia="仿宋_GB2312" w:cs="Times New Roman"/>
                <w:kern w:val="0"/>
                <w:szCs w:val="21"/>
              </w:rPr>
              <w:tab/>
            </w:r>
          </w:p>
        </w:tc>
        <w:tc>
          <w:tcPr>
            <w:tcW w:w="2410"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 xml:space="preserve"> 城乡社区规划与管理</w:t>
            </w:r>
          </w:p>
        </w:tc>
        <w:tc>
          <w:tcPr>
            <w:tcW w:w="1025"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30779.52</w:t>
            </w:r>
          </w:p>
        </w:tc>
        <w:tc>
          <w:tcPr>
            <w:tcW w:w="1024"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30769.52</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single" w:color="auto" w:sz="4" w:space="0"/>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21203</w:t>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城乡社区公共设施</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861.65</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861.65</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2120399</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其他城乡社区公共设施支出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861.65</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861.65</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21205</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城乡社区环境卫生</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1383.48</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1383.48</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2120501</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城乡社区环境卫生</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1383.48</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1383.48</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18"/>
                <w:szCs w:val="18"/>
              </w:rPr>
            </w:pPr>
            <w:r>
              <w:rPr>
                <w:rFonts w:hint="eastAsia" w:ascii="Times New Roman" w:hAnsi="Times New Roman" w:eastAsia="仿宋_GB2312" w:cs="Times New Roman"/>
                <w:kern w:val="0"/>
                <w:szCs w:val="21"/>
              </w:rPr>
              <w:t>21299</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仿宋" w:hAnsi="仿宋" w:eastAsia="仿宋" w:cs="仿宋"/>
                <w:kern w:val="0"/>
                <w:sz w:val="21"/>
                <w:szCs w:val="21"/>
              </w:rPr>
            </w:pPr>
            <w:r>
              <w:rPr>
                <w:rFonts w:hint="eastAsia" w:ascii="Times New Roman" w:hAnsi="Times New Roman" w:eastAsia="仿宋_GB2312" w:cs="Times New Roman"/>
                <w:kern w:val="0"/>
                <w:szCs w:val="21"/>
              </w:rPr>
              <w:t>其他城乡社区支出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6890.02</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6755.98</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134.04</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2129901</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其他城乡社区支出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6890.02</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6755.98</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134.04</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215</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仿宋" w:hAnsi="仿宋" w:eastAsia="仿宋" w:cs="仿宋"/>
                <w:kern w:val="0"/>
                <w:sz w:val="21"/>
                <w:szCs w:val="21"/>
              </w:rPr>
            </w:pPr>
            <w:r>
              <w:rPr>
                <w:rFonts w:hint="eastAsia" w:ascii="Times New Roman" w:hAnsi="Times New Roman" w:eastAsia="仿宋_GB2312" w:cs="Times New Roman"/>
                <w:kern w:val="0"/>
                <w:szCs w:val="21"/>
              </w:rPr>
              <w:t>资源勘探信息等支出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282.16</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282.16</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21503</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仿宋" w:hAnsi="仿宋" w:eastAsia="仿宋_GB2312" w:cs="仿宋"/>
                <w:kern w:val="0"/>
                <w:sz w:val="21"/>
                <w:szCs w:val="21"/>
                <w:lang w:eastAsia="zh-CN"/>
              </w:rPr>
            </w:pPr>
            <w:r>
              <w:rPr>
                <w:rFonts w:hint="eastAsia" w:ascii="Times New Roman" w:hAnsi="Times New Roman" w:eastAsia="仿宋_GB2312" w:cs="Times New Roman"/>
                <w:kern w:val="0"/>
                <w:szCs w:val="21"/>
              </w:rPr>
              <w:t>建筑</w:t>
            </w:r>
            <w:r>
              <w:rPr>
                <w:rFonts w:hint="eastAsia" w:ascii="Times New Roman" w:hAnsi="Times New Roman" w:eastAsia="仿宋_GB2312" w:cs="Times New Roman"/>
                <w:kern w:val="0"/>
                <w:szCs w:val="21"/>
                <w:lang w:eastAsia="zh-CN"/>
              </w:rPr>
              <w:t>业</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265.16</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265.16</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2150399</w:t>
            </w:r>
            <w:r>
              <w:rPr>
                <w:rFonts w:hint="eastAsia" w:ascii="Times New Roman" w:hAnsi="Times New Roman" w:eastAsia="仿宋_GB2312" w:cs="Times New Roman"/>
                <w:kern w:val="0"/>
                <w:szCs w:val="21"/>
              </w:rPr>
              <w:tab/>
            </w:r>
          </w:p>
        </w:tc>
        <w:tc>
          <w:tcPr>
            <w:tcW w:w="241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 xml:space="preserve"> 其他建筑业支出</w:t>
            </w:r>
          </w:p>
        </w:tc>
        <w:tc>
          <w:tcPr>
            <w:tcW w:w="10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265.16</w:t>
            </w:r>
          </w:p>
        </w:tc>
        <w:tc>
          <w:tcPr>
            <w:tcW w:w="10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265.16</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21507</w:t>
            </w:r>
            <w:r>
              <w:rPr>
                <w:rFonts w:hint="eastAsia" w:ascii="Times New Roman" w:hAnsi="Times New Roman" w:eastAsia="仿宋_GB2312" w:cs="Times New Roman"/>
                <w:kern w:val="0"/>
                <w:szCs w:val="21"/>
              </w:rPr>
              <w:tab/>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国有资产监管</w:t>
            </w:r>
          </w:p>
        </w:tc>
        <w:tc>
          <w:tcPr>
            <w:tcW w:w="10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w:t>
            </w:r>
          </w:p>
        </w:tc>
        <w:tc>
          <w:tcPr>
            <w:tcW w:w="102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w:t>
            </w:r>
          </w:p>
        </w:tc>
        <w:tc>
          <w:tcPr>
            <w:tcW w:w="16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2150799</w:t>
            </w:r>
            <w:r>
              <w:rPr>
                <w:rFonts w:hint="eastAsia" w:ascii="Times New Roman" w:hAnsi="Times New Roman" w:eastAsia="仿宋_GB2312" w:cs="Times New Roman"/>
                <w:kern w:val="0"/>
                <w:szCs w:val="21"/>
              </w:rPr>
              <w:tab/>
            </w:r>
          </w:p>
        </w:tc>
        <w:tc>
          <w:tcPr>
            <w:tcW w:w="2410"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 xml:space="preserve">  其他国有资产监管支出</w:t>
            </w:r>
          </w:p>
        </w:tc>
        <w:tc>
          <w:tcPr>
            <w:tcW w:w="1025"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w:t>
            </w:r>
          </w:p>
        </w:tc>
        <w:tc>
          <w:tcPr>
            <w:tcW w:w="1024"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single" w:color="auto" w:sz="4" w:space="0"/>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229</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rPr>
            </w:pPr>
            <w:r>
              <w:rPr>
                <w:rFonts w:hint="eastAsia" w:ascii="Times New Roman" w:hAnsi="Times New Roman" w:eastAsia="仿宋_GB2312" w:cs="Times New Roman"/>
                <w:kern w:val="0"/>
                <w:szCs w:val="21"/>
              </w:rPr>
              <w:t>其他支出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6477.13</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6477.13</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22960</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rPr>
            </w:pPr>
            <w:r>
              <w:rPr>
                <w:rFonts w:hint="eastAsia" w:ascii="Times New Roman" w:hAnsi="Times New Roman" w:eastAsia="仿宋_GB2312" w:cs="Times New Roman"/>
                <w:kern w:val="0"/>
                <w:szCs w:val="21"/>
              </w:rPr>
              <w:t>彩票公益金安排的支出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2296002</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Times New Roman" w:hAnsi="Times New Roman" w:eastAsia="仿宋_GB2312" w:cs="Times New Roman"/>
                <w:kern w:val="0"/>
                <w:szCs w:val="21"/>
              </w:rPr>
              <w:t xml:space="preserve"> 用于社会福利的彩票公益金支出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rPr>
            </w:pPr>
          </w:p>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rPr>
            </w:pPr>
          </w:p>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22999</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Times New Roman" w:hAnsi="Times New Roman" w:eastAsia="仿宋_GB2312" w:cs="Times New Roman"/>
                <w:kern w:val="0"/>
                <w:szCs w:val="21"/>
              </w:rPr>
              <w:t>其他支出</w:t>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6417.13</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6417.13</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rPr>
            </w:pPr>
            <w:r>
              <w:rPr>
                <w:rFonts w:hint="eastAsia" w:ascii="Times New Roman" w:hAnsi="Times New Roman" w:eastAsia="仿宋_GB2312" w:cs="Times New Roman"/>
                <w:kern w:val="0"/>
                <w:szCs w:val="21"/>
              </w:rPr>
              <w:t>2299901</w:t>
            </w:r>
            <w:r>
              <w:rPr>
                <w:rFonts w:hint="eastAsia" w:ascii="Times New Roman" w:hAnsi="Times New Roman" w:eastAsia="仿宋_GB2312" w:cs="Times New Roman"/>
                <w:kern w:val="0"/>
                <w:szCs w:val="21"/>
              </w:rPr>
              <w:tab/>
            </w:r>
          </w:p>
        </w:tc>
        <w:tc>
          <w:tcPr>
            <w:tcW w:w="241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rPr>
            </w:pPr>
            <w:r>
              <w:rPr>
                <w:rFonts w:hint="eastAsia" w:ascii="Times New Roman" w:hAnsi="Times New Roman" w:eastAsia="仿宋_GB2312" w:cs="Times New Roman"/>
                <w:kern w:val="0"/>
                <w:szCs w:val="21"/>
              </w:rPr>
              <w:t>其他支出</w:t>
            </w:r>
            <w:r>
              <w:rPr>
                <w:rFonts w:hint="eastAsia" w:ascii="Times New Roman" w:hAnsi="Times New Roman" w:eastAsia="仿宋_GB2312" w:cs="Times New Roman"/>
                <w:kern w:val="0"/>
                <w:szCs w:val="21"/>
              </w:rPr>
              <w:tab/>
            </w:r>
          </w:p>
        </w:tc>
        <w:tc>
          <w:tcPr>
            <w:tcW w:w="102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6417.13</w:t>
            </w:r>
          </w:p>
        </w:tc>
        <w:tc>
          <w:tcPr>
            <w:tcW w:w="1024"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6417.13</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left="998" w:leftChars="285" w:hanging="400" w:hangingChars="2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岳阳市城市管理和综合执法局</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7"/>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006"/>
        <w:gridCol w:w="1225"/>
        <w:gridCol w:w="1778"/>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108" w:type="dxa"/>
            <w:gridSpan w:val="2"/>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项    目</w:t>
            </w:r>
          </w:p>
        </w:tc>
        <w:tc>
          <w:tcPr>
            <w:tcW w:w="122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本年支出合计</w:t>
            </w:r>
          </w:p>
        </w:tc>
        <w:tc>
          <w:tcPr>
            <w:tcW w:w="1778"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基本支出</w:t>
            </w:r>
          </w:p>
        </w:tc>
        <w:tc>
          <w:tcPr>
            <w:tcW w:w="1842"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项目支出</w:t>
            </w:r>
          </w:p>
        </w:tc>
        <w:tc>
          <w:tcPr>
            <w:tcW w:w="1843"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上缴上级支出</w:t>
            </w:r>
          </w:p>
        </w:tc>
        <w:tc>
          <w:tcPr>
            <w:tcW w:w="1985"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经营支出</w:t>
            </w:r>
          </w:p>
        </w:tc>
        <w:tc>
          <w:tcPr>
            <w:tcW w:w="2308"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功能分类科目编码</w:t>
            </w:r>
          </w:p>
        </w:tc>
        <w:tc>
          <w:tcPr>
            <w:tcW w:w="2006"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科目名称</w:t>
            </w:r>
          </w:p>
        </w:tc>
        <w:tc>
          <w:tcPr>
            <w:tcW w:w="1225"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778"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842"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843"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985"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308"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6"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5"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778"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842"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843"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985"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308" w:type="dxa"/>
            <w:vMerge w:val="continue"/>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108" w:type="dxa"/>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122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77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84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843"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98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30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108" w:type="dxa"/>
            <w:gridSpan w:val="2"/>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22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58805.74</w:t>
            </w:r>
          </w:p>
        </w:tc>
        <w:tc>
          <w:tcPr>
            <w:tcW w:w="177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40122.95</w:t>
            </w:r>
          </w:p>
        </w:tc>
        <w:tc>
          <w:tcPr>
            <w:tcW w:w="184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18682.79</w:t>
            </w:r>
          </w:p>
        </w:tc>
        <w:tc>
          <w:tcPr>
            <w:tcW w:w="1843"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208</w:t>
            </w:r>
          </w:p>
        </w:tc>
        <w:tc>
          <w:tcPr>
            <w:tcW w:w="2006"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社会保障和就业支出</w:t>
            </w:r>
          </w:p>
        </w:tc>
        <w:tc>
          <w:tcPr>
            <w:tcW w:w="122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491.99</w:t>
            </w:r>
          </w:p>
        </w:tc>
        <w:tc>
          <w:tcPr>
            <w:tcW w:w="177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491.99</w:t>
            </w:r>
          </w:p>
        </w:tc>
        <w:tc>
          <w:tcPr>
            <w:tcW w:w="1842"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20805 </w:t>
            </w:r>
          </w:p>
        </w:tc>
        <w:tc>
          <w:tcPr>
            <w:tcW w:w="2006"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行政事业单位离退休</w:t>
            </w:r>
          </w:p>
        </w:tc>
        <w:tc>
          <w:tcPr>
            <w:tcW w:w="122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465.44</w:t>
            </w:r>
          </w:p>
        </w:tc>
        <w:tc>
          <w:tcPr>
            <w:tcW w:w="177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465.44</w:t>
            </w:r>
          </w:p>
        </w:tc>
        <w:tc>
          <w:tcPr>
            <w:tcW w:w="1842"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2080505 </w:t>
            </w:r>
          </w:p>
        </w:tc>
        <w:tc>
          <w:tcPr>
            <w:tcW w:w="2006"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机关事业单位基本养老保险缴费支出</w:t>
            </w:r>
          </w:p>
        </w:tc>
        <w:tc>
          <w:tcPr>
            <w:tcW w:w="122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431.22</w:t>
            </w:r>
          </w:p>
        </w:tc>
        <w:tc>
          <w:tcPr>
            <w:tcW w:w="177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431.22</w:t>
            </w:r>
          </w:p>
        </w:tc>
        <w:tc>
          <w:tcPr>
            <w:tcW w:w="1842"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2080599 </w:t>
            </w:r>
          </w:p>
        </w:tc>
        <w:tc>
          <w:tcPr>
            <w:tcW w:w="2006"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其他行政事业单位离退休支出</w:t>
            </w:r>
          </w:p>
        </w:tc>
        <w:tc>
          <w:tcPr>
            <w:tcW w:w="122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34.22</w:t>
            </w:r>
          </w:p>
        </w:tc>
        <w:tc>
          <w:tcPr>
            <w:tcW w:w="177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34.22</w:t>
            </w:r>
          </w:p>
        </w:tc>
        <w:tc>
          <w:tcPr>
            <w:tcW w:w="1842"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20808 </w:t>
            </w:r>
          </w:p>
        </w:tc>
        <w:tc>
          <w:tcPr>
            <w:tcW w:w="2006"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抚恤</w:t>
            </w:r>
          </w:p>
        </w:tc>
        <w:tc>
          <w:tcPr>
            <w:tcW w:w="122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4.79</w:t>
            </w:r>
          </w:p>
        </w:tc>
        <w:tc>
          <w:tcPr>
            <w:tcW w:w="177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4.79</w:t>
            </w:r>
          </w:p>
        </w:tc>
        <w:tc>
          <w:tcPr>
            <w:tcW w:w="1842"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2080899 </w:t>
            </w:r>
          </w:p>
        </w:tc>
        <w:tc>
          <w:tcPr>
            <w:tcW w:w="2006" w:type="dxa"/>
            <w:shd w:val="clear" w:color="auto" w:fill="auto"/>
            <w:noWrap/>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其他优抚支出</w:t>
            </w:r>
          </w:p>
        </w:tc>
        <w:tc>
          <w:tcPr>
            <w:tcW w:w="1225"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4.79</w:t>
            </w:r>
          </w:p>
        </w:tc>
        <w:tc>
          <w:tcPr>
            <w:tcW w:w="1778"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4.79</w:t>
            </w:r>
          </w:p>
        </w:tc>
        <w:tc>
          <w:tcPr>
            <w:tcW w:w="1842"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20811</w:t>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残疾人事业</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21.76</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21.76</w:t>
            </w:r>
          </w:p>
        </w:tc>
        <w:tc>
          <w:tcPr>
            <w:tcW w:w="1842"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2081199</w:t>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其他残疾人事业支出</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21.76</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21.76</w:t>
            </w:r>
          </w:p>
        </w:tc>
        <w:tc>
          <w:tcPr>
            <w:tcW w:w="1842"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210</w:t>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卫生健康支出</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161.81</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161.81</w:t>
            </w:r>
          </w:p>
        </w:tc>
        <w:tc>
          <w:tcPr>
            <w:tcW w:w="1842"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21011</w:t>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行政事业单位医疗</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161.81</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161.81</w:t>
            </w:r>
          </w:p>
        </w:tc>
        <w:tc>
          <w:tcPr>
            <w:tcW w:w="1842"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2101101</w:t>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行政单位医疗</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86.83</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86.83</w:t>
            </w:r>
          </w:p>
        </w:tc>
        <w:tc>
          <w:tcPr>
            <w:tcW w:w="1842"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2101102</w:t>
            </w:r>
            <w:r>
              <w:rPr>
                <w:rFonts w:hint="eastAsia" w:ascii="仿宋" w:hAnsi="仿宋" w:eastAsia="仿宋" w:cs="仿宋"/>
                <w:kern w:val="0"/>
                <w:sz w:val="21"/>
                <w:szCs w:val="21"/>
              </w:rPr>
              <w:tab/>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 事业单位医疗</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74.98</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74.98</w:t>
            </w:r>
          </w:p>
        </w:tc>
        <w:tc>
          <w:tcPr>
            <w:tcW w:w="1842"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211</w:t>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节能环保支出</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398.47</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19.73</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378.74</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21103</w:t>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污染防治</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340.73</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19.73</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321</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2110399</w:t>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其他污染防治支出</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1778"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21111</w:t>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污染减排</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57.74</w:t>
            </w:r>
          </w:p>
        </w:tc>
        <w:tc>
          <w:tcPr>
            <w:tcW w:w="1778"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57.74</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2111199</w:t>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其他污染减排支出</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57.74</w:t>
            </w:r>
          </w:p>
        </w:tc>
        <w:tc>
          <w:tcPr>
            <w:tcW w:w="1778"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57.74</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212</w:t>
            </w:r>
          </w:p>
        </w:tc>
        <w:tc>
          <w:tcPr>
            <w:tcW w:w="2006" w:type="dxa"/>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城乡社区支出</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51165.18</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39399.43</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11765.75</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21201</w:t>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城乡社区管理事务</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12869.87</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9308.63</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3561.24</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2120101</w:t>
            </w:r>
            <w:r>
              <w:rPr>
                <w:rFonts w:hint="eastAsia" w:ascii="仿宋" w:hAnsi="仿宋" w:eastAsia="仿宋" w:cs="仿宋"/>
                <w:kern w:val="0"/>
                <w:sz w:val="21"/>
                <w:szCs w:val="21"/>
              </w:rPr>
              <w:tab/>
            </w:r>
            <w:r>
              <w:rPr>
                <w:rFonts w:hint="eastAsia" w:ascii="仿宋" w:hAnsi="仿宋" w:eastAsia="仿宋" w:cs="仿宋"/>
                <w:kern w:val="0"/>
                <w:sz w:val="21"/>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行政运行</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1836.43</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1836.43</w:t>
            </w:r>
          </w:p>
        </w:tc>
        <w:tc>
          <w:tcPr>
            <w:tcW w:w="1842"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2120102</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一般行政管理事务</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4341.78</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4031.63</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310.15</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2120104</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城管执法</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1748.16</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1748.16</w:t>
            </w:r>
          </w:p>
        </w:tc>
        <w:tc>
          <w:tcPr>
            <w:tcW w:w="1842"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2120106</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工程建设管理</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9.81</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9.81</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2120199</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其他城乡社区管理事务支出</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4933.69</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1692.4</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3241.29</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21202</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ind w:left="0" w:right="0"/>
              <w:jc w:val="righ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城乡社区规划与管理</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31776.22</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24094.77</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7681.45</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2120201</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 xml:space="preserve"> 城乡社区规划与管理</w:t>
            </w:r>
          </w:p>
        </w:tc>
        <w:tc>
          <w:tcPr>
            <w:tcW w:w="1225" w:type="dxa"/>
            <w:vAlign w:val="top"/>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31776.22</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24094.77</w:t>
            </w:r>
          </w:p>
        </w:tc>
        <w:tc>
          <w:tcPr>
            <w:tcW w:w="1842"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7681.45</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21203</w:t>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城乡社区公共设施</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861.65</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640</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221.65</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2120399</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其他城乡社区公共设施支出</w:t>
            </w:r>
          </w:p>
        </w:tc>
        <w:tc>
          <w:tcPr>
            <w:tcW w:w="1225" w:type="dxa"/>
            <w:vAlign w:val="top"/>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861.65</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640</w:t>
            </w:r>
          </w:p>
        </w:tc>
        <w:tc>
          <w:tcPr>
            <w:tcW w:w="1842"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221.65</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21205</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城乡社区环境卫生</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2105.72</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2105.72</w:t>
            </w:r>
          </w:p>
        </w:tc>
        <w:tc>
          <w:tcPr>
            <w:tcW w:w="1842"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2120501</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城乡社区环境卫生</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2105.72</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2105.72</w:t>
            </w:r>
          </w:p>
        </w:tc>
        <w:tc>
          <w:tcPr>
            <w:tcW w:w="1842"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21299</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ind w:left="0" w:right="0"/>
              <w:jc w:val="righ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其他城乡社区支出</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3551.71</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3250.32</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301.39</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2129901</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其他城乡社区支出</w:t>
            </w:r>
          </w:p>
        </w:tc>
        <w:tc>
          <w:tcPr>
            <w:tcW w:w="1225" w:type="dxa"/>
            <w:vAlign w:val="top"/>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3551.71</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3250.32</w:t>
            </w:r>
          </w:p>
        </w:tc>
        <w:tc>
          <w:tcPr>
            <w:tcW w:w="1842"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301.39</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w:t>
            </w:r>
          </w:p>
        </w:tc>
        <w:tc>
          <w:tcPr>
            <w:tcW w:w="2006"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农林水支出</w:t>
            </w:r>
          </w:p>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778"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21399</w:t>
            </w:r>
          </w:p>
        </w:tc>
        <w:tc>
          <w:tcPr>
            <w:tcW w:w="2006"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其他农林水支出</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p>
        </w:tc>
        <w:tc>
          <w:tcPr>
            <w:tcW w:w="1778"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2139999</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 xml:space="preserve">  其他农林水支</w:t>
            </w:r>
            <w:r>
              <w:rPr>
                <w:rFonts w:hint="eastAsia" w:ascii="Times New Roman" w:hAnsi="Times New Roman" w:eastAsia="仿宋_GB2312" w:cs="Times New Roman"/>
                <w:kern w:val="0"/>
                <w:szCs w:val="21"/>
                <w:lang w:eastAsia="zh-CN"/>
              </w:rPr>
              <w:t>出</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p>
        </w:tc>
        <w:tc>
          <w:tcPr>
            <w:tcW w:w="1778"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215</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ind w:left="0" w:right="0"/>
              <w:jc w:val="righ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资源勘探信息等支出</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282.16</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39.99</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242.17</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21503</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ind w:left="0" w:right="0"/>
              <w:jc w:val="both"/>
              <w:rPr>
                <w:rFonts w:hint="eastAsia" w:ascii="仿宋" w:hAnsi="仿宋" w:eastAsia="仿宋_GB2312" w:cs="仿宋"/>
                <w:kern w:val="0"/>
                <w:sz w:val="21"/>
                <w:szCs w:val="21"/>
                <w:lang w:val="en-US" w:eastAsia="zh-CN" w:bidi="ar-SA"/>
              </w:rPr>
            </w:pPr>
            <w:r>
              <w:rPr>
                <w:rFonts w:hint="eastAsia" w:ascii="Times New Roman" w:hAnsi="Times New Roman" w:eastAsia="仿宋_GB2312" w:cs="Times New Roman"/>
                <w:kern w:val="0"/>
                <w:szCs w:val="21"/>
              </w:rPr>
              <w:t>建筑</w:t>
            </w:r>
            <w:r>
              <w:rPr>
                <w:rFonts w:hint="eastAsia" w:ascii="Times New Roman" w:hAnsi="Times New Roman" w:eastAsia="仿宋_GB2312" w:cs="Times New Roman"/>
                <w:kern w:val="0"/>
                <w:szCs w:val="21"/>
                <w:lang w:eastAsia="zh-CN"/>
              </w:rPr>
              <w:t>业</w:t>
            </w:r>
          </w:p>
        </w:tc>
        <w:tc>
          <w:tcPr>
            <w:tcW w:w="1225"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265.16</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22.99</w:t>
            </w:r>
          </w:p>
        </w:tc>
        <w:tc>
          <w:tcPr>
            <w:tcW w:w="1842"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242.17</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2150399</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 xml:space="preserve"> 其他建筑业支出</w:t>
            </w:r>
          </w:p>
        </w:tc>
        <w:tc>
          <w:tcPr>
            <w:tcW w:w="1225"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265.16</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22.99</w:t>
            </w:r>
          </w:p>
        </w:tc>
        <w:tc>
          <w:tcPr>
            <w:tcW w:w="1842"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242.17</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21507</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国有资产监管</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w:t>
            </w:r>
          </w:p>
        </w:tc>
        <w:tc>
          <w:tcPr>
            <w:tcW w:w="1842"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2150799</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 xml:space="preserve">  其他国有资产监管支出</w:t>
            </w:r>
          </w:p>
        </w:tc>
        <w:tc>
          <w:tcPr>
            <w:tcW w:w="1225"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w:t>
            </w:r>
          </w:p>
        </w:tc>
        <w:tc>
          <w:tcPr>
            <w:tcW w:w="1842"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229</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其他支出</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6291.13</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6281.13</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22960</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彩票公益金安排的支出</w:t>
            </w:r>
          </w:p>
        </w:tc>
        <w:tc>
          <w:tcPr>
            <w:tcW w:w="1225"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w:t>
            </w:r>
          </w:p>
        </w:tc>
        <w:tc>
          <w:tcPr>
            <w:tcW w:w="1778"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2296002</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 xml:space="preserve"> 用于社会福利的彩票公益金支出</w:t>
            </w:r>
          </w:p>
        </w:tc>
        <w:tc>
          <w:tcPr>
            <w:tcW w:w="1225"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60</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842"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50</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22999</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其他支出</w:t>
            </w:r>
          </w:p>
        </w:tc>
        <w:tc>
          <w:tcPr>
            <w:tcW w:w="1225" w:type="dxa"/>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6231.13</w:t>
            </w:r>
          </w:p>
        </w:tc>
        <w:tc>
          <w:tcPr>
            <w:tcW w:w="1778" w:type="dxa"/>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842" w:type="dxa"/>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6231.13</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2299901</w:t>
            </w:r>
            <w:r>
              <w:rPr>
                <w:rFonts w:hint="eastAsia" w:ascii="Times New Roman" w:hAnsi="Times New Roman" w:eastAsia="仿宋_GB2312" w:cs="Times New Roman"/>
                <w:kern w:val="0"/>
                <w:szCs w:val="21"/>
              </w:rPr>
              <w:tab/>
            </w:r>
          </w:p>
        </w:tc>
        <w:tc>
          <w:tcPr>
            <w:tcW w:w="2006" w:type="dxa"/>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其他支出</w:t>
            </w:r>
            <w:r>
              <w:rPr>
                <w:rFonts w:hint="eastAsia" w:ascii="Times New Roman" w:hAnsi="Times New Roman" w:eastAsia="仿宋_GB2312" w:cs="Times New Roman"/>
                <w:kern w:val="0"/>
                <w:szCs w:val="21"/>
              </w:rPr>
              <w:tab/>
            </w:r>
          </w:p>
        </w:tc>
        <w:tc>
          <w:tcPr>
            <w:tcW w:w="1225" w:type="dxa"/>
            <w:vAlign w:val="top"/>
          </w:tcPr>
          <w:p>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6231.13</w:t>
            </w:r>
          </w:p>
        </w:tc>
        <w:tc>
          <w:tcPr>
            <w:tcW w:w="1778"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1842" w:type="dxa"/>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6231.13</w:t>
            </w:r>
          </w:p>
        </w:tc>
        <w:tc>
          <w:tcPr>
            <w:tcW w:w="184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985"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308"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岳阳市城市管理和综合执法局</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收入</w:t>
            </w:r>
          </w:p>
        </w:tc>
        <w:tc>
          <w:tcPr>
            <w:tcW w:w="9303" w:type="dxa"/>
            <w:gridSpan w:val="5"/>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    目</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行次</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金额</w:t>
            </w: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    目</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行次</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合计</w:t>
            </w:r>
          </w:p>
        </w:tc>
        <w:tc>
          <w:tcPr>
            <w:tcW w:w="166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一般公共预算财政拨款</w:t>
            </w:r>
          </w:p>
        </w:tc>
        <w:tc>
          <w:tcPr>
            <w:tcW w:w="1572"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    次</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    次</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一、一般公共预算财政拨款</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58284.49</w:t>
            </w: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一、一般公共服务支出</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default" w:ascii="Times New Roman" w:hAnsi="Times New Roman" w:eastAsia="仿宋_GB2312" w:cs="Times New Roman"/>
                <w:kern w:val="0"/>
                <w:szCs w:val="21"/>
              </w:rPr>
              <w:t>　</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二、政府性基金预算财政拨款</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w:t>
            </w: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rPr>
            </w:pPr>
            <w:r>
              <w:rPr>
                <w:rFonts w:hint="eastAsia" w:ascii="仿宋" w:hAnsi="仿宋" w:eastAsia="仿宋" w:cs="仿宋"/>
              </w:rPr>
              <w:t>八、社会保障和就业支出</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491.99</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491.99</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rPr>
            </w:pPr>
            <w:r>
              <w:rPr>
                <w:rFonts w:hint="eastAsia" w:ascii="仿宋" w:hAnsi="仿宋" w:eastAsia="仿宋" w:cs="仿宋"/>
              </w:rPr>
              <w:t>九、卫生健康支出</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161.81</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161.81</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rPr>
            </w:pPr>
            <w:r>
              <w:rPr>
                <w:rFonts w:hint="eastAsia" w:ascii="仿宋" w:hAnsi="仿宋" w:eastAsia="仿宋" w:cs="仿宋"/>
              </w:rPr>
              <w:t>十、节能环保支出</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398.47</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398.47</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rPr>
            </w:pPr>
            <w:r>
              <w:rPr>
                <w:rFonts w:hint="eastAsia" w:ascii="仿宋" w:hAnsi="仿宋" w:eastAsia="仿宋" w:cs="仿宋"/>
              </w:rPr>
              <w:t>十一、城乡社区支出</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19</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48789.39</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48789.39</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Cs w:val="21"/>
              </w:rPr>
            </w:pPr>
            <w:r>
              <w:rPr>
                <w:rFonts w:hint="eastAsia" w:ascii="仿宋" w:hAnsi="仿宋" w:eastAsia="仿宋" w:cs="仿宋"/>
              </w:rPr>
              <w:t>十二、农林水支出</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15</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十四、资源勘探信息等支出</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21</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282.16</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282.16</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二十二、其他支出</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6291.13</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6231.13</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本年收入合计</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58344.49</w:t>
            </w: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本年支出合计</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Cs w:val="21"/>
              </w:rPr>
            </w:pPr>
            <w:r>
              <w:rPr>
                <w:rFonts w:hint="eastAsia" w:ascii="Times New Roman" w:hAnsi="Times New Roman" w:eastAsia="仿宋_GB2312" w:cs="Times New Roman"/>
                <w:b w:val="0"/>
                <w:bCs w:val="0"/>
                <w:kern w:val="0"/>
                <w:szCs w:val="21"/>
                <w:lang w:val="en-US" w:eastAsia="zh-CN"/>
              </w:rPr>
              <w:t>56429.96</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56369.96</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年初财政拨款结转和结余</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2747.13</w:t>
            </w: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年末财政拨款结转和结余</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24</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4661.66</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4661.66</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hint="default" w:ascii="Times New Roman" w:hAnsi="Times New Roman" w:eastAsia="仿宋_GB2312" w:cs="Times New Roman"/>
                <w:kern w:val="0"/>
                <w:szCs w:val="21"/>
              </w:rPr>
              <w:t>一般公共预算财政拨款</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2747.13</w:t>
            </w: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25</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hint="default" w:ascii="Times New Roman" w:hAnsi="Times New Roman" w:eastAsia="仿宋_GB2312" w:cs="Times New Roman"/>
                <w:kern w:val="0"/>
                <w:szCs w:val="21"/>
              </w:rPr>
              <w:t>政府性基金预算财政拨款</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26</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27</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总计</w:t>
            </w:r>
          </w:p>
        </w:tc>
        <w:tc>
          <w:tcPr>
            <w:tcW w:w="4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61091.62</w:t>
            </w:r>
          </w:p>
        </w:tc>
        <w:tc>
          <w:tcPr>
            <w:tcW w:w="3761"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总计</w:t>
            </w:r>
          </w:p>
        </w:tc>
        <w:tc>
          <w:tcPr>
            <w:tcW w:w="43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61091.62</w:t>
            </w:r>
          </w:p>
        </w:tc>
        <w:tc>
          <w:tcPr>
            <w:tcW w:w="1660"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61031.62</w:t>
            </w:r>
          </w:p>
        </w:tc>
        <w:tc>
          <w:tcPr>
            <w:tcW w:w="1572" w:type="dxa"/>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60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ind w:left="13650" w:hanging="13650" w:hangingChars="65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岳阳市城市管理和综合执法局</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646"/>
        <w:gridCol w:w="2881"/>
        <w:gridCol w:w="3492"/>
        <w:gridCol w:w="3000"/>
      </w:tblGrid>
      <w:tr>
        <w:tblPrEx>
          <w:tblCellMar>
            <w:top w:w="0" w:type="dxa"/>
            <w:left w:w="108" w:type="dxa"/>
            <w:bottom w:w="0" w:type="dxa"/>
            <w:right w:w="108" w:type="dxa"/>
          </w:tblCellMar>
        </w:tblPrEx>
        <w:trPr>
          <w:trHeight w:val="405" w:hRule="atLeast"/>
          <w:jc w:val="center"/>
        </w:trPr>
        <w:tc>
          <w:tcPr>
            <w:tcW w:w="484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9373" w:type="dxa"/>
            <w:gridSpan w:val="3"/>
            <w:tcBorders>
              <w:top w:val="single" w:color="auto" w:sz="8" w:space="0"/>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364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288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64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88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64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881"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84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84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56369.95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37881.2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18488.75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208</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社会保障和就业支出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491.99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491.99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20805 </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行政事业单位离退休</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465.44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465.44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2080505 </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机关事业单位基本养老保险缴费支出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431.22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431.22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2080599 </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其他行政事业单位离退休支出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34.22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34.22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20808 </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抚恤</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4.79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2080899 </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其他优抚支出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4.79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20811</w:t>
            </w:r>
            <w:r>
              <w:rPr>
                <w:rFonts w:hint="eastAsia" w:ascii="仿宋" w:hAnsi="仿宋" w:eastAsia="仿宋" w:cs="仿宋"/>
                <w:kern w:val="0"/>
                <w:sz w:val="21"/>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残疾人事业</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21.76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21.76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2081199</w:t>
            </w:r>
            <w:r>
              <w:rPr>
                <w:rFonts w:hint="eastAsia" w:ascii="仿宋" w:hAnsi="仿宋" w:eastAsia="仿宋" w:cs="仿宋"/>
                <w:kern w:val="0"/>
                <w:sz w:val="21"/>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其他残疾人事业支出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21.76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21.76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210</w:t>
            </w:r>
            <w:r>
              <w:rPr>
                <w:rFonts w:hint="eastAsia" w:ascii="仿宋" w:hAnsi="仿宋" w:eastAsia="仿宋" w:cs="仿宋"/>
                <w:kern w:val="0"/>
                <w:sz w:val="21"/>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卫生健康支出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161.81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161.81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21011</w:t>
            </w:r>
            <w:r>
              <w:rPr>
                <w:rFonts w:hint="eastAsia" w:ascii="仿宋" w:hAnsi="仿宋" w:eastAsia="仿宋" w:cs="仿宋"/>
                <w:kern w:val="0"/>
                <w:sz w:val="21"/>
                <w:szCs w:val="21"/>
              </w:rPr>
              <w:tab/>
            </w:r>
          </w:p>
        </w:tc>
        <w:tc>
          <w:tcPr>
            <w:tcW w:w="36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行政事业单位医疗</w:t>
            </w:r>
          </w:p>
        </w:tc>
        <w:tc>
          <w:tcPr>
            <w:tcW w:w="28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161.81</w:t>
            </w:r>
          </w:p>
        </w:tc>
        <w:tc>
          <w:tcPr>
            <w:tcW w:w="34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161.81</w:t>
            </w:r>
          </w:p>
        </w:tc>
        <w:tc>
          <w:tcPr>
            <w:tcW w:w="3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2101101</w:t>
            </w:r>
            <w:r>
              <w:rPr>
                <w:rFonts w:hint="eastAsia" w:ascii="仿宋" w:hAnsi="仿宋" w:eastAsia="仿宋" w:cs="仿宋"/>
                <w:kern w:val="0"/>
                <w:sz w:val="21"/>
                <w:szCs w:val="21"/>
              </w:rPr>
              <w:tab/>
            </w:r>
          </w:p>
        </w:tc>
        <w:tc>
          <w:tcPr>
            <w:tcW w:w="36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行政单位医疗</w:t>
            </w:r>
          </w:p>
        </w:tc>
        <w:tc>
          <w:tcPr>
            <w:tcW w:w="28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86.83</w:t>
            </w:r>
          </w:p>
        </w:tc>
        <w:tc>
          <w:tcPr>
            <w:tcW w:w="34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86.83</w:t>
            </w:r>
          </w:p>
        </w:tc>
        <w:tc>
          <w:tcPr>
            <w:tcW w:w="3000" w:type="dxa"/>
            <w:tcBorders>
              <w:top w:val="single" w:color="auto" w:sz="4" w:space="0"/>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2101102</w:t>
            </w:r>
            <w:r>
              <w:rPr>
                <w:rFonts w:hint="eastAsia" w:ascii="仿宋" w:hAnsi="仿宋" w:eastAsia="仿宋" w:cs="仿宋"/>
                <w:kern w:val="0"/>
                <w:sz w:val="21"/>
                <w:szCs w:val="21"/>
              </w:rPr>
              <w:tab/>
            </w:r>
            <w:r>
              <w:rPr>
                <w:rFonts w:hint="eastAsia" w:ascii="仿宋" w:hAnsi="仿宋" w:eastAsia="仿宋" w:cs="仿宋"/>
                <w:kern w:val="0"/>
                <w:sz w:val="21"/>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xml:space="preserve"> 事业单位医疗</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74.98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74.98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211</w:t>
            </w:r>
            <w:r>
              <w:rPr>
                <w:rFonts w:hint="eastAsia" w:ascii="仿宋" w:hAnsi="仿宋" w:eastAsia="仿宋" w:cs="仿宋"/>
                <w:kern w:val="0"/>
                <w:sz w:val="21"/>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节能环保支出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398.47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19.73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378.74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21103</w:t>
            </w:r>
            <w:r>
              <w:rPr>
                <w:rFonts w:hint="eastAsia" w:ascii="仿宋" w:hAnsi="仿宋" w:eastAsia="仿宋" w:cs="仿宋"/>
                <w:kern w:val="0"/>
                <w:sz w:val="21"/>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污染防治</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340.73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19.73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321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2110302</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水体</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290.73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19.73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271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2110399</w:t>
            </w:r>
            <w:r>
              <w:rPr>
                <w:rFonts w:hint="eastAsia" w:ascii="仿宋" w:hAnsi="仿宋" w:eastAsia="仿宋" w:cs="仿宋"/>
                <w:kern w:val="0"/>
                <w:sz w:val="21"/>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其他污染防治支出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21111</w:t>
            </w:r>
            <w:r>
              <w:rPr>
                <w:rFonts w:hint="eastAsia" w:ascii="仿宋" w:hAnsi="仿宋" w:eastAsia="仿宋" w:cs="仿宋"/>
                <w:kern w:val="0"/>
                <w:sz w:val="21"/>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污染减排</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57.74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2111199</w:t>
            </w:r>
            <w:r>
              <w:rPr>
                <w:rFonts w:hint="eastAsia" w:ascii="仿宋" w:hAnsi="仿宋" w:eastAsia="仿宋" w:cs="仿宋"/>
                <w:kern w:val="0"/>
                <w:sz w:val="21"/>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其他污染减排支出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57.74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212</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城乡社区支出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48789.39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37167.68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11621.71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21201</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城乡社区管理事务</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12809.21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9247.97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3561.24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2120101</w:t>
            </w:r>
            <w:r>
              <w:rPr>
                <w:rFonts w:hint="eastAsia" w:ascii="仿宋" w:hAnsi="仿宋" w:eastAsia="仿宋" w:cs="仿宋"/>
                <w:kern w:val="0"/>
                <w:sz w:val="21"/>
                <w:szCs w:val="21"/>
              </w:rPr>
              <w:tab/>
            </w:r>
            <w:r>
              <w:rPr>
                <w:rFonts w:hint="eastAsia" w:ascii="仿宋" w:hAnsi="仿宋" w:eastAsia="仿宋" w:cs="仿宋"/>
                <w:kern w:val="0"/>
                <w:sz w:val="21"/>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行政运行</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1800.63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1800.63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2120102</w:t>
            </w:r>
            <w:r>
              <w:rPr>
                <w:rFonts w:hint="eastAsia" w:ascii="Times New Roman" w:hAnsi="Times New Roman" w:eastAsia="仿宋_GB2312" w:cs="Times New Roman"/>
                <w:kern w:val="0"/>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一般行政管理事务</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4341.78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4031.63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310.15</w:t>
            </w:r>
          </w:p>
        </w:tc>
      </w:tr>
      <w:tr>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2120104</w:t>
            </w:r>
            <w:r>
              <w:rPr>
                <w:rFonts w:hint="eastAsia" w:ascii="Times New Roman" w:hAnsi="Times New Roman" w:eastAsia="仿宋_GB2312" w:cs="Times New Roman"/>
                <w:kern w:val="0"/>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城管执法</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1723.3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1723.3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2120106</w:t>
            </w:r>
            <w:r>
              <w:rPr>
                <w:rFonts w:hint="eastAsia" w:ascii="Times New Roman" w:hAnsi="Times New Roman" w:eastAsia="仿宋_GB2312" w:cs="Times New Roman"/>
                <w:kern w:val="0"/>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工程建设管理</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9.81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2120199</w:t>
            </w:r>
            <w:r>
              <w:rPr>
                <w:rFonts w:hint="eastAsia" w:ascii="Times New Roman" w:hAnsi="Times New Roman" w:eastAsia="仿宋_GB2312" w:cs="Times New Roman"/>
                <w:kern w:val="0"/>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其他城乡社区管理事务支出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4933.69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1692.4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3241.29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21202</w:t>
            </w:r>
            <w:r>
              <w:rPr>
                <w:rFonts w:hint="eastAsia" w:ascii="Times New Roman" w:hAnsi="Times New Roman" w:eastAsia="仿宋_GB2312" w:cs="Times New Roman"/>
                <w:kern w:val="0"/>
                <w:szCs w:val="21"/>
              </w:rPr>
              <w:tab/>
            </w:r>
          </w:p>
        </w:tc>
        <w:tc>
          <w:tcPr>
            <w:tcW w:w="3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城乡社区规划与管理</w:t>
            </w:r>
          </w:p>
        </w:tc>
        <w:tc>
          <w:tcPr>
            <w:tcW w:w="28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31766.22</w:t>
            </w:r>
          </w:p>
        </w:tc>
        <w:tc>
          <w:tcPr>
            <w:tcW w:w="34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24094.77</w:t>
            </w:r>
          </w:p>
        </w:tc>
        <w:tc>
          <w:tcPr>
            <w:tcW w:w="3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7671.45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2120201</w:t>
            </w:r>
            <w:r>
              <w:rPr>
                <w:rFonts w:hint="eastAsia" w:ascii="Times New Roman" w:hAnsi="Times New Roman" w:eastAsia="仿宋_GB2312" w:cs="Times New Roman"/>
                <w:kern w:val="0"/>
                <w:szCs w:val="21"/>
              </w:rPr>
              <w:tab/>
            </w:r>
          </w:p>
        </w:tc>
        <w:tc>
          <w:tcPr>
            <w:tcW w:w="36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 xml:space="preserve"> 城乡社区规划与管理</w:t>
            </w:r>
          </w:p>
        </w:tc>
        <w:tc>
          <w:tcPr>
            <w:tcW w:w="28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31766.22</w:t>
            </w:r>
          </w:p>
        </w:tc>
        <w:tc>
          <w:tcPr>
            <w:tcW w:w="34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24094.77</w:t>
            </w:r>
          </w:p>
        </w:tc>
        <w:tc>
          <w:tcPr>
            <w:tcW w:w="3000" w:type="dxa"/>
            <w:tcBorders>
              <w:top w:val="single" w:color="auto" w:sz="4" w:space="0"/>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7671.45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21203</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城乡社区公共设施</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861.65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221.65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2120399</w:t>
            </w:r>
            <w:r>
              <w:rPr>
                <w:rFonts w:hint="eastAsia" w:ascii="Times New Roman" w:hAnsi="Times New Roman" w:eastAsia="仿宋_GB2312" w:cs="Times New Roman"/>
                <w:kern w:val="0"/>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其他城乡社区公共设施支出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861.65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640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221.65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w:t>
            </w:r>
            <w:r>
              <w:rPr>
                <w:rFonts w:hint="eastAsia" w:ascii="Times New Roman" w:hAnsi="Times New Roman" w:eastAsia="仿宋_GB2312" w:cs="Times New Roman"/>
                <w:kern w:val="0"/>
                <w:szCs w:val="21"/>
                <w:lang w:val="en-US" w:eastAsia="zh-CN"/>
              </w:rPr>
              <w:t>99</w:t>
            </w:r>
            <w:r>
              <w:rPr>
                <w:rFonts w:hint="eastAsia" w:ascii="Times New Roman" w:hAnsi="Times New Roman" w:eastAsia="仿宋_GB2312" w:cs="Times New Roman"/>
                <w:kern w:val="0"/>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其他城乡社区支出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3352.3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3184.95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167.36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2129901</w:t>
            </w:r>
            <w:r>
              <w:rPr>
                <w:rFonts w:hint="eastAsia" w:ascii="Times New Roman" w:hAnsi="Times New Roman" w:eastAsia="仿宋_GB2312" w:cs="Times New Roman"/>
                <w:kern w:val="0"/>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其他城乡社区支出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3352.3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3184.95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167.36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213</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农林水支出</w:t>
            </w:r>
          </w:p>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SA"/>
              </w:rPr>
            </w:pP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21399</w:t>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其他农林水支出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2139999</w:t>
            </w:r>
            <w:r>
              <w:rPr>
                <w:rFonts w:hint="eastAsia" w:ascii="Times New Roman" w:hAnsi="Times New Roman" w:eastAsia="仿宋_GB2312" w:cs="Times New Roman"/>
                <w:kern w:val="0"/>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 xml:space="preserve">  其他农林水支</w:t>
            </w:r>
            <w:r>
              <w:rPr>
                <w:rFonts w:hint="eastAsia" w:ascii="Times New Roman" w:hAnsi="Times New Roman" w:eastAsia="仿宋_GB2312" w:cs="Times New Roman"/>
                <w:kern w:val="0"/>
                <w:szCs w:val="21"/>
                <w:lang w:eastAsia="zh-CN"/>
              </w:rPr>
              <w:t>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215</w:t>
            </w:r>
            <w:r>
              <w:rPr>
                <w:rFonts w:hint="eastAsia" w:ascii="Times New Roman" w:hAnsi="Times New Roman" w:eastAsia="仿宋_GB2312" w:cs="Times New Roman"/>
                <w:kern w:val="0"/>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资源勘探信息等支出</w:t>
            </w:r>
          </w:p>
        </w:tc>
        <w:tc>
          <w:tcPr>
            <w:tcW w:w="28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282.16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39.99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242.17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21503</w:t>
            </w:r>
            <w:r>
              <w:rPr>
                <w:rFonts w:hint="eastAsia" w:ascii="Times New Roman" w:hAnsi="Times New Roman" w:eastAsia="仿宋_GB2312" w:cs="Times New Roman"/>
                <w:kern w:val="0"/>
                <w:szCs w:val="21"/>
              </w:rPr>
              <w:tab/>
            </w:r>
          </w:p>
        </w:tc>
        <w:tc>
          <w:tcPr>
            <w:tcW w:w="364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仿宋" w:hAnsi="仿宋" w:eastAsia="仿宋_GB2312" w:cs="仿宋"/>
                <w:kern w:val="0"/>
                <w:sz w:val="21"/>
                <w:szCs w:val="21"/>
                <w:lang w:val="en-US" w:eastAsia="zh-CN" w:bidi="ar-SA"/>
              </w:rPr>
            </w:pPr>
            <w:r>
              <w:rPr>
                <w:rFonts w:hint="eastAsia" w:ascii="Times New Roman" w:hAnsi="Times New Roman" w:eastAsia="仿宋_GB2312" w:cs="Times New Roman"/>
                <w:kern w:val="0"/>
                <w:szCs w:val="21"/>
              </w:rPr>
              <w:t>建筑</w:t>
            </w:r>
            <w:r>
              <w:rPr>
                <w:rFonts w:hint="eastAsia" w:ascii="Times New Roman" w:hAnsi="Times New Roman" w:eastAsia="仿宋_GB2312" w:cs="Times New Roman"/>
                <w:kern w:val="0"/>
                <w:szCs w:val="21"/>
                <w:lang w:eastAsia="zh-CN"/>
              </w:rPr>
              <w:t>业</w:t>
            </w:r>
          </w:p>
        </w:tc>
        <w:tc>
          <w:tcPr>
            <w:tcW w:w="288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265.16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22.99</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242.17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2150399</w:t>
            </w:r>
            <w:r>
              <w:rPr>
                <w:rFonts w:hint="eastAsia" w:ascii="Times New Roman" w:hAnsi="Times New Roman" w:eastAsia="仿宋_GB2312" w:cs="Times New Roman"/>
                <w:kern w:val="0"/>
                <w:szCs w:val="21"/>
              </w:rPr>
              <w:tab/>
            </w:r>
          </w:p>
        </w:tc>
        <w:tc>
          <w:tcPr>
            <w:tcW w:w="364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 xml:space="preserve"> 其他建筑业支出</w:t>
            </w:r>
          </w:p>
        </w:tc>
        <w:tc>
          <w:tcPr>
            <w:tcW w:w="2881" w:type="dxa"/>
            <w:tcBorders>
              <w:top w:val="nil"/>
              <w:left w:val="nil"/>
              <w:bottom w:val="single" w:color="auto"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265.16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22.99</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242.17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21507</w:t>
            </w:r>
            <w:r>
              <w:rPr>
                <w:rFonts w:hint="eastAsia" w:ascii="Times New Roman" w:hAnsi="Times New Roman" w:eastAsia="仿宋_GB2312" w:cs="Times New Roman"/>
                <w:kern w:val="0"/>
                <w:szCs w:val="21"/>
              </w:rPr>
              <w:tab/>
            </w:r>
          </w:p>
        </w:tc>
        <w:tc>
          <w:tcPr>
            <w:tcW w:w="364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国有资产监管</w:t>
            </w:r>
          </w:p>
        </w:tc>
        <w:tc>
          <w:tcPr>
            <w:tcW w:w="2881" w:type="dxa"/>
            <w:tcBorders>
              <w:top w:val="nil"/>
              <w:left w:val="nil"/>
              <w:bottom w:val="single" w:color="auto"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2150799</w:t>
            </w:r>
            <w:r>
              <w:rPr>
                <w:rFonts w:hint="eastAsia" w:ascii="Times New Roman" w:hAnsi="Times New Roman" w:eastAsia="仿宋_GB2312" w:cs="Times New Roman"/>
                <w:kern w:val="0"/>
                <w:szCs w:val="21"/>
              </w:rPr>
              <w:tab/>
            </w:r>
          </w:p>
        </w:tc>
        <w:tc>
          <w:tcPr>
            <w:tcW w:w="364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 xml:space="preserve">  其他国有资产监管支出</w:t>
            </w:r>
          </w:p>
        </w:tc>
        <w:tc>
          <w:tcPr>
            <w:tcW w:w="2881" w:type="dxa"/>
            <w:tcBorders>
              <w:top w:val="nil"/>
              <w:left w:val="nil"/>
              <w:bottom w:val="single" w:color="auto"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17</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229</w:t>
            </w:r>
            <w:r>
              <w:rPr>
                <w:rFonts w:hint="eastAsia" w:ascii="Times New Roman" w:hAnsi="Times New Roman" w:eastAsia="仿宋_GB2312" w:cs="Times New Roman"/>
                <w:kern w:val="0"/>
                <w:szCs w:val="21"/>
              </w:rPr>
              <w:tab/>
            </w:r>
          </w:p>
        </w:tc>
        <w:tc>
          <w:tcPr>
            <w:tcW w:w="364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其他支出</w:t>
            </w:r>
          </w:p>
        </w:tc>
        <w:tc>
          <w:tcPr>
            <w:tcW w:w="2881" w:type="dxa"/>
            <w:tcBorders>
              <w:top w:val="nil"/>
              <w:left w:val="nil"/>
              <w:bottom w:val="single" w:color="auto"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6231.13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6231.13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22960</w:t>
            </w:r>
            <w:r>
              <w:rPr>
                <w:rFonts w:hint="eastAsia" w:ascii="Times New Roman" w:hAnsi="Times New Roman" w:eastAsia="仿宋_GB2312" w:cs="Times New Roman"/>
                <w:kern w:val="0"/>
                <w:szCs w:val="21"/>
              </w:rPr>
              <w:tab/>
            </w:r>
          </w:p>
        </w:tc>
        <w:tc>
          <w:tcPr>
            <w:tcW w:w="36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彩票公益金安排的支出</w:t>
            </w:r>
          </w:p>
        </w:tc>
        <w:tc>
          <w:tcPr>
            <w:tcW w:w="2881"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2296002</w:t>
            </w:r>
            <w:r>
              <w:rPr>
                <w:rFonts w:hint="eastAsia" w:ascii="Times New Roman" w:hAnsi="Times New Roman" w:eastAsia="仿宋_GB2312" w:cs="Times New Roman"/>
                <w:kern w:val="0"/>
                <w:szCs w:val="21"/>
              </w:rPr>
              <w:tab/>
            </w:r>
          </w:p>
        </w:tc>
        <w:tc>
          <w:tcPr>
            <w:tcW w:w="3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 xml:space="preserve"> 用于社会福利的彩票公益金支出</w:t>
            </w:r>
          </w:p>
        </w:tc>
        <w:tc>
          <w:tcPr>
            <w:tcW w:w="288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34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0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22999</w:t>
            </w:r>
            <w:r>
              <w:rPr>
                <w:rFonts w:hint="eastAsia" w:ascii="Times New Roman" w:hAnsi="Times New Roman" w:eastAsia="仿宋_GB2312" w:cs="Times New Roman"/>
                <w:kern w:val="0"/>
                <w:szCs w:val="21"/>
              </w:rPr>
              <w:tab/>
            </w:r>
          </w:p>
        </w:tc>
        <w:tc>
          <w:tcPr>
            <w:tcW w:w="3646" w:type="dxa"/>
            <w:tcBorders>
              <w:top w:val="single" w:color="auto" w:sz="4" w:space="0"/>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left"/>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其他支出</w:t>
            </w:r>
          </w:p>
        </w:tc>
        <w:tc>
          <w:tcPr>
            <w:tcW w:w="2881" w:type="dxa"/>
            <w:tcBorders>
              <w:top w:val="single" w:color="auto" w:sz="4" w:space="0"/>
              <w:left w:val="nil"/>
              <w:bottom w:val="single" w:color="auto"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6231.13</w:t>
            </w:r>
          </w:p>
        </w:tc>
        <w:tc>
          <w:tcPr>
            <w:tcW w:w="3492" w:type="dxa"/>
            <w:tcBorders>
              <w:top w:val="single" w:color="auto" w:sz="4" w:space="0"/>
              <w:left w:val="nil"/>
              <w:bottom w:val="single" w:color="auto"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3000" w:type="dxa"/>
            <w:tcBorders>
              <w:top w:val="single" w:color="auto" w:sz="4"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6231.13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rPr>
                <w:rFonts w:hint="eastAsia" w:ascii="宋体" w:hAnsi="宋体" w:eastAsia="宋体" w:cs="宋体"/>
                <w:kern w:val="0"/>
                <w:sz w:val="18"/>
                <w:szCs w:val="18"/>
                <w:lang w:val="en-US" w:eastAsia="zh-CN" w:bidi="ar-SA"/>
              </w:rPr>
            </w:pPr>
            <w:r>
              <w:rPr>
                <w:rFonts w:hint="eastAsia" w:ascii="Times New Roman" w:hAnsi="Times New Roman" w:eastAsia="仿宋_GB2312" w:cs="Times New Roman"/>
                <w:kern w:val="0"/>
                <w:szCs w:val="21"/>
              </w:rPr>
              <w:t>2299901</w:t>
            </w:r>
            <w:r>
              <w:rPr>
                <w:rFonts w:hint="eastAsia" w:ascii="Times New Roman" w:hAnsi="Times New Roman" w:eastAsia="仿宋_GB2312" w:cs="Times New Roman"/>
                <w:kern w:val="0"/>
                <w:szCs w:val="21"/>
              </w:rPr>
              <w:tab/>
            </w:r>
          </w:p>
        </w:tc>
        <w:tc>
          <w:tcPr>
            <w:tcW w:w="364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lang w:val="en-US" w:eastAsia="zh-CN" w:bidi="ar-SA"/>
              </w:rPr>
            </w:pPr>
            <w:r>
              <w:rPr>
                <w:rFonts w:hint="eastAsia" w:ascii="Times New Roman" w:hAnsi="Times New Roman" w:eastAsia="仿宋_GB2312" w:cs="Times New Roman"/>
                <w:kern w:val="0"/>
                <w:szCs w:val="21"/>
              </w:rPr>
              <w:t>其他支出</w:t>
            </w:r>
            <w:r>
              <w:rPr>
                <w:rFonts w:hint="eastAsia" w:ascii="Times New Roman" w:hAnsi="Times New Roman" w:eastAsia="仿宋_GB2312" w:cs="Times New Roman"/>
                <w:kern w:val="0"/>
                <w:szCs w:val="21"/>
              </w:rPr>
              <w:tab/>
            </w:r>
          </w:p>
        </w:tc>
        <w:tc>
          <w:tcPr>
            <w:tcW w:w="2881" w:type="dxa"/>
            <w:tcBorders>
              <w:top w:val="nil"/>
              <w:left w:val="nil"/>
              <w:bottom w:val="single" w:color="auto"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6231.13</w:t>
            </w:r>
          </w:p>
        </w:tc>
        <w:tc>
          <w:tcPr>
            <w:tcW w:w="3492" w:type="dxa"/>
            <w:tcBorders>
              <w:top w:val="nil"/>
              <w:left w:val="nil"/>
              <w:bottom w:val="single" w:color="auto" w:sz="8"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6231.13</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ind w:left="14490" w:hanging="14490" w:hangingChars="69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岳阳市城市管理和综合执法局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5900" w:type="dxa"/>
        <w:tblInd w:w="93" w:type="dxa"/>
        <w:tblLayout w:type="fixed"/>
        <w:tblCellMar>
          <w:top w:w="0" w:type="dxa"/>
          <w:left w:w="108" w:type="dxa"/>
          <w:bottom w:w="0" w:type="dxa"/>
          <w:right w:w="108" w:type="dxa"/>
        </w:tblCellMar>
      </w:tblPr>
      <w:tblGrid>
        <w:gridCol w:w="1149"/>
        <w:gridCol w:w="2725"/>
        <w:gridCol w:w="1437"/>
        <w:gridCol w:w="1110"/>
        <w:gridCol w:w="2029"/>
        <w:gridCol w:w="1124"/>
        <w:gridCol w:w="1076"/>
        <w:gridCol w:w="3440"/>
        <w:gridCol w:w="1810"/>
      </w:tblGrid>
      <w:tr>
        <w:tblPrEx>
          <w:tblCellMar>
            <w:top w:w="0" w:type="dxa"/>
            <w:left w:w="108" w:type="dxa"/>
            <w:bottom w:w="0" w:type="dxa"/>
            <w:right w:w="108" w:type="dxa"/>
          </w:tblCellMar>
        </w:tblPrEx>
        <w:trPr>
          <w:trHeight w:val="529"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72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437"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29"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24"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44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81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330"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9987.89</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12199.68</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307</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4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30101</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3621.78</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30201</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190.57</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30701</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30102</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568.25</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30202</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65.67</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30702</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30103</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764.84</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30203</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10.83</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1390.5</w:t>
            </w:r>
          </w:p>
        </w:tc>
      </w:tr>
      <w:tr>
        <w:tblPrEx>
          <w:tblCellMar>
            <w:top w:w="0" w:type="dxa"/>
            <w:left w:w="108" w:type="dxa"/>
            <w:bottom w:w="0" w:type="dxa"/>
            <w:right w:w="108" w:type="dxa"/>
          </w:tblCellMar>
        </w:tblPrEx>
        <w:trPr>
          <w:trHeight w:val="330"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30106</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100.35</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30204</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31001</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32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30107</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2023.71</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30205</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221.78</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31002</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112.74</w:t>
            </w:r>
          </w:p>
        </w:tc>
      </w:tr>
      <w:tr>
        <w:tblPrEx>
          <w:tblCellMar>
            <w:top w:w="0" w:type="dxa"/>
            <w:left w:w="108" w:type="dxa"/>
            <w:bottom w:w="0" w:type="dxa"/>
            <w:right w:w="108" w:type="dxa"/>
          </w:tblCellMar>
        </w:tblPrEx>
        <w:trPr>
          <w:trHeight w:val="360"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30108</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973.08</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30206</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2132.46</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31003</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1075.69</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30109</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346.97</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30207</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21.4</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31005</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30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30110</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603.32</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30208</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31006</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30111</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41.79</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30209</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7.6</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31007</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0.9</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30112</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224.12</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30211</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81.29</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31008</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80"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30113</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598.16</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30212</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31009</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30114</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50.69</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30213</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473.64</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31010</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30199</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70.84</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30214</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281.89</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31011</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31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303</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416.63</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30215</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31012</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30301</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30216</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16.76</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31013</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34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30302</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154.59</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30217</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10.76</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31019</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4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30303</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30218</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4605.12</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31021</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30304</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35.58</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30224</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19.56</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31022</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0.9</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30305</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99.16</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30225</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36.59</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31099</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200.38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30306</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30226</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1164.77</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399</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30307</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43.23</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30227</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364.03</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39906</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30308</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30228</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397.23</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39907</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26.53</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28.39</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39908</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103.69</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39999</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13886.5</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725" w:type="dxa"/>
            <w:tcBorders>
              <w:top w:val="single" w:color="auto" w:sz="8" w:space="0"/>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437" w:type="dxa"/>
            <w:tcBorders>
              <w:top w:val="single" w:color="auto" w:sz="8" w:space="0"/>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56.5</w:t>
            </w:r>
          </w:p>
        </w:tc>
        <w:tc>
          <w:tcPr>
            <w:tcW w:w="1110" w:type="dxa"/>
            <w:tcBorders>
              <w:top w:val="single" w:color="auto" w:sz="8" w:space="0"/>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029" w:type="dxa"/>
            <w:tcBorders>
              <w:top w:val="single" w:color="auto" w:sz="8" w:space="0"/>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124" w:type="dxa"/>
            <w:tcBorders>
              <w:top w:val="single" w:color="auto" w:sz="8" w:space="0"/>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283.24</w:t>
            </w:r>
          </w:p>
        </w:tc>
        <w:tc>
          <w:tcPr>
            <w:tcW w:w="1076" w:type="dxa"/>
            <w:tcBorders>
              <w:top w:val="single" w:color="auto" w:sz="8" w:space="0"/>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3440" w:type="dxa"/>
            <w:tcBorders>
              <w:top w:val="single" w:color="auto" w:sz="8" w:space="0"/>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810"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173.22</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725"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1437"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029"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124"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1506.33</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3440" w:type="dxa"/>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810"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35" w:hRule="exact"/>
        </w:trPr>
        <w:tc>
          <w:tcPr>
            <w:tcW w:w="3874" w:type="dxa"/>
            <w:gridSpan w:val="2"/>
            <w:tcBorders>
              <w:top w:val="nil"/>
              <w:left w:val="single" w:color="auto" w:sz="8" w:space="0"/>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437"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10404.52</w:t>
            </w:r>
          </w:p>
        </w:tc>
        <w:tc>
          <w:tcPr>
            <w:tcW w:w="8779" w:type="dxa"/>
            <w:gridSpan w:val="5"/>
            <w:tcBorders>
              <w:top w:val="nil"/>
              <w:left w:val="nil"/>
              <w:bottom w:val="single" w:color="auto" w:sz="8" w:space="0"/>
              <w:right w:val="single" w:color="auto" w:sz="8" w:space="0"/>
            </w:tcBorders>
            <w:shd w:val="clear" w:color="auto" w:fill="auto"/>
            <w:noWrap/>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8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27476.68</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715.87</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426.42</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426.42</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289.45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156.8</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139.1</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139.1</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11.2</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center"/>
        <w:rPr>
          <w:rFonts w:ascii="Times New Roman" w:hAnsi="Times New Roman" w:eastAsia="方正小标宋_GBK" w:cs="Times New Roman"/>
          <w:kern w:val="0"/>
          <w:sz w:val="36"/>
          <w:szCs w:val="36"/>
        </w:rPr>
      </w:pPr>
      <w:r>
        <w:rPr>
          <w:rFonts w:ascii="宋体" w:eastAsia="宋体" w:cs="宋体"/>
          <w:kern w:val="0"/>
          <w:sz w:val="24"/>
          <w:szCs w:val="24"/>
        </w:rPr>
        <w:br w:type="page"/>
      </w:r>
      <w:r>
        <w:rPr>
          <w:rFonts w:hint="eastAsia" w:ascii="Times New Roman" w:hAnsi="Times New Roman" w:eastAsia="方正小标宋_GBK" w:cs="Times New Roman"/>
          <w:kern w:val="0"/>
          <w:sz w:val="36"/>
          <w:szCs w:val="36"/>
          <w:lang w:eastAsia="zh-CN"/>
        </w:rPr>
        <w:t>政</w:t>
      </w:r>
      <w:r>
        <w:rPr>
          <w:rFonts w:ascii="Times New Roman" w:hAnsi="Times New Roman" w:eastAsia="方正小标宋_GBK" w:cs="Times New Roman"/>
          <w:kern w:val="0"/>
          <w:sz w:val="36"/>
          <w:szCs w:val="36"/>
        </w:rPr>
        <w:t>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年初结转和结余</w:t>
            </w: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本年收入</w:t>
            </w:r>
          </w:p>
        </w:tc>
        <w:tc>
          <w:tcPr>
            <w:tcW w:w="6000" w:type="dxa"/>
            <w:gridSpan w:val="3"/>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2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2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w:t>
            </w: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w:t>
            </w: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rPr>
              <w:t>229</w:t>
            </w:r>
            <w:r>
              <w:rPr>
                <w:rFonts w:hint="default" w:ascii="Times New Roman" w:hAnsi="Times New Roman" w:eastAsia="仿宋_GB2312" w:cs="Times New Roman"/>
                <w:kern w:val="0"/>
                <w:szCs w:val="21"/>
              </w:rPr>
              <w:t>　</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其他支出</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rPr>
              <w:t>22960</w:t>
            </w:r>
            <w:r>
              <w:rPr>
                <w:rFonts w:hint="eastAsia" w:ascii="Times New Roman" w:hAnsi="Times New Roman" w:eastAsia="仿宋_GB2312" w:cs="Times New Roman"/>
                <w:kern w:val="0"/>
                <w:szCs w:val="21"/>
              </w:rPr>
              <w:tab/>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rPr>
              <w:t>彩票公益金安排的支出</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r>
              <w:rPr>
                <w:rFonts w:hint="eastAsia" w:ascii="Times New Roman" w:hAnsi="Times New Roman" w:eastAsia="仿宋_GB2312" w:cs="Times New Roman"/>
                <w:kern w:val="0"/>
                <w:szCs w:val="21"/>
              </w:rPr>
              <w:t>2296002</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rPr>
              <w:t>用于社会福利的彩票公益金支出</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8"/>
        <w:rPr>
          <w:sz w:val="72"/>
          <w:szCs w:val="72"/>
        </w:rPr>
      </w:pPr>
    </w:p>
    <w:p>
      <w:pPr>
        <w:pStyle w:val="18"/>
        <w:rPr>
          <w:sz w:val="72"/>
          <w:szCs w:val="72"/>
        </w:rPr>
      </w:pPr>
    </w:p>
    <w:p>
      <w:pPr>
        <w:pStyle w:val="18"/>
        <w:rPr>
          <w:sz w:val="72"/>
          <w:szCs w:val="72"/>
        </w:rPr>
      </w:pPr>
    </w:p>
    <w:p>
      <w:pPr>
        <w:pStyle w:val="18"/>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r>
        <w:rPr>
          <w:rFonts w:hint="eastAsia"/>
          <w:sz w:val="72"/>
          <w:szCs w:val="72"/>
        </w:rPr>
        <w:t>第三部分</w:t>
      </w:r>
    </w:p>
    <w:p>
      <w:pPr>
        <w:pStyle w:val="18"/>
        <w:jc w:val="center"/>
        <w:rPr>
          <w:sz w:val="70"/>
          <w:szCs w:val="70"/>
        </w:rPr>
      </w:pPr>
    </w:p>
    <w:p>
      <w:pPr>
        <w:pStyle w:val="18"/>
        <w:jc w:val="center"/>
        <w:rPr>
          <w:sz w:val="70"/>
          <w:szCs w:val="70"/>
        </w:rPr>
      </w:pPr>
      <w:r>
        <w:rPr>
          <w:sz w:val="70"/>
          <w:szCs w:val="70"/>
        </w:rPr>
        <w:t>2019</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8"/>
        <w:rPr>
          <w:rFonts w:asciiTheme="minorEastAsia" w:hAnsiTheme="minorEastAsia" w:eastAsiaTheme="minorEastAsia"/>
          <w:sz w:val="32"/>
          <w:szCs w:val="32"/>
        </w:rPr>
      </w:pPr>
    </w:p>
    <w:p>
      <w:pPr>
        <w:pStyle w:val="18"/>
        <w:ind w:firstLine="634" w:firstLineChars="200"/>
        <w:rPr>
          <w:rFonts w:hAnsi="黑体"/>
          <w:b/>
          <w:sz w:val="32"/>
          <w:szCs w:val="32"/>
        </w:rPr>
      </w:pPr>
      <w:r>
        <w:rPr>
          <w:rFonts w:hint="eastAsia" w:hAnsi="黑体"/>
          <w:b/>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34" w:firstLineChars="200"/>
        <w:textAlignment w:val="auto"/>
        <w:rPr>
          <w:rFonts w:hint="eastAsia" w:asciiTheme="minorEastAsia" w:hAnsiTheme="minorEastAsia" w:cstheme="minorEastAsia"/>
          <w:kern w:val="0"/>
          <w:sz w:val="32"/>
          <w:szCs w:val="32"/>
          <w:lang w:eastAsia="zh-CN"/>
        </w:rPr>
      </w:pPr>
      <w:r>
        <w:rPr>
          <w:rFonts w:hint="eastAsia" w:asciiTheme="minorEastAsia" w:hAnsiTheme="minorEastAsia" w:eastAsiaTheme="minorEastAsia" w:cstheme="minorEastAsia"/>
          <w:sz w:val="32"/>
          <w:szCs w:val="32"/>
        </w:rPr>
        <w:t>2019 年度</w:t>
      </w:r>
      <w:r>
        <w:rPr>
          <w:rFonts w:hint="eastAsia" w:asciiTheme="minorEastAsia" w:hAnsiTheme="minorEastAsia" w:cstheme="minorEastAsia"/>
          <w:sz w:val="32"/>
          <w:szCs w:val="32"/>
          <w:lang w:eastAsia="zh-CN"/>
        </w:rPr>
        <w:t>总</w:t>
      </w:r>
      <w:r>
        <w:rPr>
          <w:rFonts w:hint="eastAsia" w:asciiTheme="minorEastAsia" w:hAnsiTheme="minorEastAsia" w:eastAsiaTheme="minorEastAsia" w:cstheme="minorEastAsia"/>
          <w:sz w:val="32"/>
          <w:szCs w:val="32"/>
          <w:lang w:eastAsia="zh-CN"/>
        </w:rPr>
        <w:t>收入</w:t>
      </w:r>
      <w:r>
        <w:rPr>
          <w:rFonts w:hint="eastAsia" w:asciiTheme="minorEastAsia" w:hAnsiTheme="minorEastAsia" w:eastAsiaTheme="minorEastAsia" w:cstheme="minorEastAsia"/>
          <w:sz w:val="32"/>
          <w:szCs w:val="32"/>
          <w:lang w:val="en-US" w:eastAsia="zh-CN"/>
        </w:rPr>
        <w:t>59952.52</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eastAsia="zh-CN"/>
        </w:rPr>
        <w:t>，</w:t>
      </w:r>
      <w:r>
        <w:rPr>
          <w:rFonts w:hint="eastAsia" w:ascii="宋体" w:hAnsi="宋体" w:eastAsia="宋体" w:cs="宋体"/>
          <w:kern w:val="0"/>
          <w:sz w:val="32"/>
          <w:szCs w:val="32"/>
        </w:rPr>
        <w:t>比上年增加2</w:t>
      </w:r>
      <w:r>
        <w:rPr>
          <w:rFonts w:hint="eastAsia" w:ascii="宋体" w:hAnsi="宋体" w:eastAsia="宋体" w:cs="宋体"/>
          <w:kern w:val="0"/>
          <w:sz w:val="32"/>
          <w:szCs w:val="32"/>
          <w:lang w:val="en-US" w:eastAsia="zh-CN"/>
        </w:rPr>
        <w:t>2</w:t>
      </w:r>
      <w:r>
        <w:rPr>
          <w:rFonts w:hint="eastAsia" w:ascii="宋体" w:hAnsi="宋体" w:eastAsia="宋体" w:cs="宋体"/>
          <w:kern w:val="0"/>
          <w:sz w:val="32"/>
          <w:szCs w:val="32"/>
        </w:rPr>
        <w:t>%，原因是年度财政</w:t>
      </w:r>
      <w:r>
        <w:rPr>
          <w:rFonts w:hint="eastAsia" w:ascii="宋体" w:hAnsi="宋体" w:eastAsia="宋体" w:cs="宋体"/>
          <w:kern w:val="0"/>
          <w:sz w:val="32"/>
          <w:szCs w:val="32"/>
          <w:lang w:eastAsia="zh-CN"/>
        </w:rPr>
        <w:t>项目经费</w:t>
      </w:r>
      <w:r>
        <w:rPr>
          <w:rFonts w:hint="eastAsia" w:ascii="宋体" w:hAnsi="宋体" w:eastAsia="宋体" w:cs="宋体"/>
          <w:kern w:val="0"/>
          <w:sz w:val="32"/>
          <w:szCs w:val="32"/>
        </w:rPr>
        <w:t>增加</w:t>
      </w:r>
      <w:r>
        <w:rPr>
          <w:rFonts w:hint="eastAsia" w:ascii="宋体" w:hAnsi="宋体" w:eastAsia="宋体" w:cs="宋体"/>
          <w:kern w:val="0"/>
          <w:szCs w:val="21"/>
        </w:rPr>
        <w:t>，</w:t>
      </w:r>
      <w:r>
        <w:rPr>
          <w:rFonts w:hint="eastAsia" w:asciiTheme="minorEastAsia" w:hAnsiTheme="minorEastAsia" w:eastAsiaTheme="minorEastAsia" w:cstheme="minorEastAsia"/>
          <w:kern w:val="0"/>
          <w:sz w:val="32"/>
          <w:szCs w:val="32"/>
        </w:rPr>
        <w:t>其中：一般公共预算拨款收入</w:t>
      </w:r>
      <w:r>
        <w:rPr>
          <w:rFonts w:hint="eastAsia" w:asciiTheme="minorEastAsia" w:hAnsiTheme="minorEastAsia" w:cstheme="minorEastAsia"/>
          <w:kern w:val="0"/>
          <w:sz w:val="32"/>
          <w:szCs w:val="32"/>
          <w:lang w:val="en-US" w:eastAsia="zh-CN"/>
        </w:rPr>
        <w:t>58284.48</w:t>
      </w:r>
      <w:r>
        <w:rPr>
          <w:rFonts w:hint="eastAsia" w:asciiTheme="minorEastAsia" w:hAnsiTheme="minorEastAsia" w:eastAsiaTheme="minorEastAsia" w:cstheme="minorEastAsia"/>
          <w:kern w:val="0"/>
          <w:sz w:val="32"/>
          <w:szCs w:val="32"/>
        </w:rPr>
        <w:t>万元，占9</w:t>
      </w:r>
      <w:r>
        <w:rPr>
          <w:rFonts w:hint="eastAsia" w:asciiTheme="minorEastAsia" w:hAnsiTheme="minorEastAsia" w:cstheme="minorEastAsia"/>
          <w:kern w:val="0"/>
          <w:sz w:val="32"/>
          <w:szCs w:val="32"/>
          <w:lang w:val="en-US" w:eastAsia="zh-CN"/>
        </w:rPr>
        <w:t>7</w:t>
      </w:r>
      <w:r>
        <w:rPr>
          <w:rFonts w:hint="eastAsia" w:asciiTheme="minorEastAsia" w:hAnsiTheme="minorEastAsia" w:eastAsiaTheme="minorEastAsia" w:cstheme="minorEastAsia"/>
          <w:kern w:val="0"/>
          <w:sz w:val="32"/>
          <w:szCs w:val="32"/>
        </w:rPr>
        <w:t>%，比上年增加</w:t>
      </w:r>
      <w:r>
        <w:rPr>
          <w:rFonts w:hint="eastAsia" w:asciiTheme="minorEastAsia" w:hAnsiTheme="minorEastAsia" w:cstheme="minorEastAsia"/>
          <w:kern w:val="0"/>
          <w:sz w:val="32"/>
          <w:szCs w:val="32"/>
          <w:lang w:val="en-US" w:eastAsia="zh-CN"/>
        </w:rPr>
        <w:t>31</w:t>
      </w:r>
      <w:r>
        <w:rPr>
          <w:rFonts w:hint="eastAsia" w:asciiTheme="minorEastAsia" w:hAnsiTheme="minorEastAsia" w:eastAsiaTheme="minorEastAsia" w:cstheme="minorEastAsia"/>
          <w:kern w:val="0"/>
          <w:sz w:val="32"/>
          <w:szCs w:val="32"/>
        </w:rPr>
        <w:t>%</w:t>
      </w:r>
      <w:r>
        <w:rPr>
          <w:rFonts w:hint="eastAsia" w:asciiTheme="minorEastAsia" w:hAnsiTheme="minorEastAsia" w:cstheme="minorEastAsia"/>
          <w:kern w:val="0"/>
          <w:sz w:val="32"/>
          <w:szCs w:val="32"/>
          <w:lang w:eastAsia="zh-CN"/>
        </w:rPr>
        <w:t>。</w:t>
      </w:r>
    </w:p>
    <w:p>
      <w:pPr>
        <w:pStyle w:val="18"/>
        <w:ind w:firstLine="634" w:firstLineChars="200"/>
        <w:rPr>
          <w:rFonts w:asciiTheme="minorEastAsia" w:hAnsiTheme="minorEastAsia" w:eastAsiaTheme="minorEastAsia"/>
          <w:sz w:val="32"/>
          <w:szCs w:val="32"/>
        </w:rPr>
      </w:pPr>
      <w:r>
        <w:rPr>
          <w:rFonts w:hint="eastAsia" w:asciiTheme="minorEastAsia" w:hAnsiTheme="minorEastAsia" w:cstheme="minorEastAsia"/>
          <w:sz w:val="32"/>
          <w:szCs w:val="32"/>
          <w:lang w:val="en-US" w:eastAsia="zh-CN"/>
        </w:rPr>
        <w:t>2019</w:t>
      </w:r>
      <w:r>
        <w:rPr>
          <w:rFonts w:hint="eastAsia" w:asciiTheme="minorEastAsia" w:hAnsiTheme="minorEastAsia" w:eastAsiaTheme="minorEastAsia" w:cstheme="minorEastAsia"/>
          <w:sz w:val="32"/>
          <w:szCs w:val="32"/>
        </w:rPr>
        <w:t>年度</w:t>
      </w:r>
      <w:r>
        <w:rPr>
          <w:rFonts w:hint="eastAsia" w:asciiTheme="minorEastAsia" w:hAnsiTheme="minorEastAsia" w:cstheme="minorEastAsia"/>
          <w:sz w:val="32"/>
          <w:szCs w:val="32"/>
          <w:lang w:eastAsia="zh-CN"/>
        </w:rPr>
        <w:t>总</w:t>
      </w:r>
      <w:r>
        <w:rPr>
          <w:rFonts w:hint="eastAsia" w:asciiTheme="minorEastAsia" w:hAnsiTheme="minorEastAsia" w:eastAsiaTheme="minorEastAsia" w:cstheme="minorEastAsia"/>
          <w:sz w:val="32"/>
          <w:szCs w:val="32"/>
          <w:lang w:eastAsia="zh-CN"/>
        </w:rPr>
        <w:t>支出</w:t>
      </w:r>
      <w:r>
        <w:rPr>
          <w:rFonts w:hint="eastAsia" w:asciiTheme="minorEastAsia" w:hAnsiTheme="minorEastAsia" w:eastAsiaTheme="minorEastAsia" w:cstheme="minorEastAsia"/>
          <w:sz w:val="32"/>
          <w:szCs w:val="32"/>
          <w:lang w:val="en-US" w:eastAsia="zh-CN"/>
        </w:rPr>
        <w:t>58805.74</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eastAsia="zh-CN"/>
        </w:rPr>
        <w:t>，</w:t>
      </w:r>
      <w:r>
        <w:rPr>
          <w:rFonts w:hint="eastAsia" w:asciiTheme="minorEastAsia" w:hAnsiTheme="minorEastAsia" w:eastAsiaTheme="minorEastAsia"/>
          <w:sz w:val="32"/>
          <w:szCs w:val="32"/>
        </w:rPr>
        <w:t>与2018年相比，增加</w:t>
      </w:r>
      <w:r>
        <w:rPr>
          <w:rFonts w:hint="eastAsia" w:asciiTheme="minorEastAsia" w:hAnsiTheme="minorEastAsia" w:eastAsiaTheme="minorEastAsia"/>
          <w:sz w:val="32"/>
          <w:szCs w:val="32"/>
          <w:lang w:val="en-US" w:eastAsia="zh-CN"/>
        </w:rPr>
        <w:t>12362.13</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%，主要是因为</w:t>
      </w:r>
      <w:r>
        <w:rPr>
          <w:rFonts w:hint="eastAsia" w:asciiTheme="minorEastAsia" w:hAnsiTheme="minorEastAsia" w:eastAsiaTheme="minorEastAsia" w:cstheme="minorEastAsia"/>
          <w:b w:val="0"/>
          <w:bCs w:val="0"/>
          <w:sz w:val="32"/>
          <w:szCs w:val="32"/>
          <w:lang w:val="en-US" w:eastAsia="zh-CN"/>
        </w:rPr>
        <w:t>垃圾中转站项目、站北箱涵黑臭水整治项目、城市亮化城区排水、桥梁整治经费及垃圾站建设项目、环卫和市政项目经费以及静脉产业园中央专项补助资金6417万元等项目支出的增加。</w:t>
      </w:r>
    </w:p>
    <w:p>
      <w:pPr>
        <w:pStyle w:val="18"/>
        <w:ind w:firstLine="634" w:firstLineChars="200"/>
        <w:rPr>
          <w:rFonts w:hAnsi="黑体"/>
          <w:b/>
          <w:sz w:val="32"/>
          <w:szCs w:val="32"/>
        </w:rPr>
      </w:pPr>
      <w:r>
        <w:rPr>
          <w:rFonts w:hint="eastAsia" w:hAnsi="黑体"/>
          <w:b/>
          <w:sz w:val="32"/>
          <w:szCs w:val="32"/>
        </w:rPr>
        <w:t>二、收入决算情况说明</w:t>
      </w:r>
    </w:p>
    <w:p>
      <w:pPr>
        <w:pStyle w:val="18"/>
        <w:ind w:firstLine="634"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cstheme="minorEastAsia"/>
          <w:sz w:val="32"/>
          <w:szCs w:val="32"/>
          <w:lang w:val="en-US" w:eastAsia="zh-CN"/>
        </w:rPr>
        <w:t>59952.52</w:t>
      </w:r>
      <w:r>
        <w:rPr>
          <w:rFonts w:hint="eastAsia" w:asciiTheme="minorEastAsia" w:hAnsiTheme="minorEastAsia" w:eastAsiaTheme="minorEastAsia"/>
          <w:sz w:val="32"/>
          <w:szCs w:val="32"/>
        </w:rPr>
        <w:t>万元，其中：财政拨款收入</w:t>
      </w:r>
      <w:r>
        <w:rPr>
          <w:rFonts w:hint="eastAsia" w:asciiTheme="minorEastAsia" w:hAnsiTheme="minorEastAsia" w:cstheme="minorEastAsia"/>
          <w:kern w:val="0"/>
          <w:sz w:val="32"/>
          <w:szCs w:val="32"/>
          <w:lang w:val="en-US" w:eastAsia="zh-CN"/>
        </w:rPr>
        <w:t>58284.48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97</w:t>
      </w:r>
      <w:r>
        <w:rPr>
          <w:rFonts w:hint="eastAsia" w:asciiTheme="minorEastAsia" w:hAnsiTheme="minorEastAsia" w:eastAsiaTheme="minorEastAsia"/>
          <w:sz w:val="32"/>
          <w:szCs w:val="32"/>
        </w:rPr>
        <w:t>%；</w:t>
      </w:r>
      <w:r>
        <w:rPr>
          <w:rFonts w:hint="eastAsia" w:asciiTheme="minorEastAsia" w:hAnsiTheme="minorEastAsia" w:eastAsiaTheme="minorEastAsia" w:cstheme="minorEastAsia"/>
          <w:kern w:val="0"/>
          <w:sz w:val="32"/>
          <w:szCs w:val="32"/>
        </w:rPr>
        <w:t>政府性基金预算财政拨款收入</w:t>
      </w:r>
      <w:r>
        <w:rPr>
          <w:rFonts w:hint="eastAsia" w:asciiTheme="minorEastAsia" w:hAnsiTheme="minorEastAsia" w:eastAsiaTheme="minorEastAsia" w:cstheme="minorEastAsia"/>
          <w:kern w:val="0"/>
          <w:sz w:val="32"/>
          <w:szCs w:val="32"/>
          <w:lang w:val="en-US" w:eastAsia="zh-CN"/>
        </w:rPr>
        <w:t>60万元；</w:t>
      </w:r>
      <w:r>
        <w:rPr>
          <w:rFonts w:hint="eastAsia" w:asciiTheme="minorEastAsia" w:hAnsiTheme="minorEastAsia" w:eastAsiaTheme="minorEastAsia" w:cstheme="minorEastAsia"/>
          <w:kern w:val="0"/>
          <w:sz w:val="32"/>
          <w:szCs w:val="32"/>
        </w:rPr>
        <w:t>其他收入</w:t>
      </w:r>
      <w:r>
        <w:rPr>
          <w:rFonts w:hint="eastAsia" w:asciiTheme="minorEastAsia" w:hAnsiTheme="minorEastAsia" w:eastAsiaTheme="minorEastAsia" w:cstheme="minorEastAsia"/>
          <w:kern w:val="0"/>
          <w:sz w:val="32"/>
          <w:szCs w:val="32"/>
          <w:lang w:val="en-US" w:eastAsia="zh-CN"/>
        </w:rPr>
        <w:t>1608.04</w:t>
      </w:r>
      <w:r>
        <w:rPr>
          <w:rFonts w:hint="eastAsia" w:asciiTheme="minorEastAsia" w:hAnsiTheme="minorEastAsia" w:eastAsiaTheme="minorEastAsia" w:cstheme="minorEastAsia"/>
          <w:kern w:val="0"/>
          <w:sz w:val="32"/>
          <w:szCs w:val="32"/>
        </w:rPr>
        <w:t>万元</w:t>
      </w:r>
      <w:r>
        <w:rPr>
          <w:rFonts w:hint="eastAsia" w:asciiTheme="minorEastAsia" w:hAnsiTheme="minorEastAsia" w:eastAsiaTheme="minorEastAsia" w:cstheme="minorEastAsia"/>
          <w:kern w:val="0"/>
          <w:sz w:val="32"/>
          <w:szCs w:val="32"/>
          <w:lang w:eastAsia="zh-CN"/>
        </w:rPr>
        <w:t>。</w:t>
      </w:r>
    </w:p>
    <w:p>
      <w:pPr>
        <w:pStyle w:val="18"/>
        <w:ind w:firstLine="634" w:firstLineChars="200"/>
        <w:rPr>
          <w:rFonts w:hAnsi="黑体"/>
          <w:b/>
          <w:sz w:val="32"/>
          <w:szCs w:val="32"/>
        </w:rPr>
      </w:pPr>
      <w:r>
        <w:rPr>
          <w:rFonts w:hint="eastAsia" w:hAnsi="黑体"/>
          <w:b/>
          <w:sz w:val="32"/>
          <w:szCs w:val="32"/>
        </w:rPr>
        <w:t>三、支出决算情况说明</w:t>
      </w:r>
    </w:p>
    <w:p>
      <w:pPr>
        <w:pStyle w:val="18"/>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cstheme="minorEastAsia"/>
          <w:sz w:val="32"/>
          <w:szCs w:val="32"/>
          <w:lang w:val="en-US" w:eastAsia="zh-CN"/>
        </w:rPr>
        <w:t>58805.74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40122.95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68</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18682.79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18"/>
        <w:ind w:firstLine="634" w:firstLineChars="200"/>
        <w:rPr>
          <w:rFonts w:hAnsi="黑体"/>
          <w:b/>
          <w:sz w:val="32"/>
          <w:szCs w:val="32"/>
        </w:rPr>
      </w:pPr>
      <w:r>
        <w:rPr>
          <w:rFonts w:hint="eastAsia" w:hAnsi="黑体"/>
          <w:b/>
          <w:sz w:val="32"/>
          <w:szCs w:val="32"/>
        </w:rPr>
        <w:t>四、财政拨款收入支出决算总体情况说明</w:t>
      </w:r>
    </w:p>
    <w:p>
      <w:pPr>
        <w:pStyle w:val="18"/>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2019年度财政拨款收</w:t>
      </w:r>
      <w:r>
        <w:rPr>
          <w:rFonts w:hint="eastAsia" w:asciiTheme="minorEastAsia" w:hAnsiTheme="minorEastAsia" w:eastAsiaTheme="minorEastAsia" w:cstheme="minorEastAsia"/>
          <w:sz w:val="32"/>
          <w:szCs w:val="32"/>
          <w:lang w:eastAsia="zh-CN"/>
        </w:rPr>
        <w:t>入</w:t>
      </w:r>
      <w:r>
        <w:rPr>
          <w:rFonts w:hint="eastAsia" w:asciiTheme="minorEastAsia" w:hAnsiTheme="minorEastAsia" w:eastAsiaTheme="minorEastAsia"/>
          <w:sz w:val="32"/>
          <w:szCs w:val="32"/>
        </w:rPr>
        <w:t>总计</w:t>
      </w:r>
      <w:r>
        <w:rPr>
          <w:rFonts w:hint="eastAsia" w:asciiTheme="minorEastAsia" w:hAnsiTheme="minorEastAsia" w:eastAsiaTheme="minorEastAsia"/>
          <w:sz w:val="32"/>
          <w:szCs w:val="32"/>
          <w:lang w:val="en-US" w:eastAsia="zh-CN"/>
        </w:rPr>
        <w:t>58284.48</w:t>
      </w:r>
      <w:r>
        <w:rPr>
          <w:rFonts w:hint="eastAsia" w:asciiTheme="minorEastAsia" w:hAnsiTheme="minorEastAsia" w:eastAsiaTheme="minorEastAsia"/>
          <w:sz w:val="32"/>
          <w:szCs w:val="32"/>
        </w:rPr>
        <w:t>万元，与2018年相比，增加</w:t>
      </w:r>
      <w:r>
        <w:rPr>
          <w:rFonts w:hint="eastAsia" w:asciiTheme="minorEastAsia" w:hAnsiTheme="minorEastAsia" w:eastAsiaTheme="minorEastAsia"/>
          <w:sz w:val="32"/>
          <w:szCs w:val="32"/>
          <w:lang w:val="en-US" w:eastAsia="zh-CN"/>
        </w:rPr>
        <w:t>14469.97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32.6</w:t>
      </w:r>
      <w:r>
        <w:rPr>
          <w:rFonts w:hint="eastAsia" w:asciiTheme="minorEastAsia" w:hAnsiTheme="minorEastAsia" w:eastAsiaTheme="minorEastAsia"/>
          <w:sz w:val="32"/>
          <w:szCs w:val="32"/>
        </w:rPr>
        <w:t>%，主要</w:t>
      </w:r>
      <w:r>
        <w:rPr>
          <w:rFonts w:hint="eastAsia" w:ascii="宋体" w:hAnsi="宋体" w:eastAsia="宋体" w:cs="宋体"/>
          <w:kern w:val="0"/>
          <w:sz w:val="32"/>
          <w:szCs w:val="32"/>
        </w:rPr>
        <w:t>是</w:t>
      </w:r>
      <w:r>
        <w:rPr>
          <w:rFonts w:hint="eastAsia" w:asciiTheme="minorEastAsia" w:hAnsiTheme="minorEastAsia" w:eastAsiaTheme="minorEastAsia" w:cstheme="minorEastAsia"/>
          <w:b w:val="0"/>
          <w:bCs w:val="0"/>
          <w:sz w:val="32"/>
          <w:szCs w:val="32"/>
          <w:lang w:val="en-US" w:eastAsia="zh-CN"/>
        </w:rPr>
        <w:t>垃圾中转站项目、站北箱涵黑臭水整治项目、城市亮化城区排水、桥梁整治经费及垃圾站建设项目、环卫和市政项目经费以及静脉产业园中央专项补助资金6417万元等项目经费的增加。</w:t>
      </w:r>
      <w:r>
        <w:rPr>
          <w:rFonts w:hint="eastAsia" w:asciiTheme="minorEastAsia" w:hAnsiTheme="minorEastAsia" w:eastAsiaTheme="minorEastAsia"/>
          <w:sz w:val="32"/>
          <w:szCs w:val="32"/>
        </w:rPr>
        <w:t>2019年度财政拨款</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总计</w:t>
      </w:r>
      <w:r>
        <w:rPr>
          <w:rFonts w:hint="eastAsia" w:asciiTheme="minorEastAsia" w:hAnsiTheme="minorEastAsia" w:eastAsiaTheme="minorEastAsia"/>
          <w:sz w:val="32"/>
          <w:szCs w:val="32"/>
          <w:lang w:val="en-US" w:eastAsia="zh-CN"/>
        </w:rPr>
        <w:t>56429.96</w:t>
      </w:r>
      <w:r>
        <w:rPr>
          <w:rFonts w:hint="eastAsia" w:asciiTheme="minorEastAsia" w:hAnsiTheme="minorEastAsia" w:eastAsiaTheme="minorEastAsia"/>
          <w:sz w:val="32"/>
          <w:szCs w:val="32"/>
        </w:rPr>
        <w:t>万元，与2018年相比，增加</w:t>
      </w:r>
      <w:r>
        <w:rPr>
          <w:rFonts w:hint="eastAsia" w:asciiTheme="minorEastAsia" w:hAnsiTheme="minorEastAsia" w:eastAsiaTheme="minorEastAsia"/>
          <w:sz w:val="32"/>
          <w:szCs w:val="32"/>
          <w:lang w:val="en-US" w:eastAsia="zh-CN"/>
        </w:rPr>
        <w:t>13944.78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%，主要是因为</w:t>
      </w:r>
      <w:r>
        <w:rPr>
          <w:rFonts w:hint="eastAsia" w:ascii="宋体" w:hAnsi="宋体" w:eastAsia="宋体" w:cs="宋体"/>
          <w:kern w:val="0"/>
          <w:sz w:val="32"/>
          <w:szCs w:val="32"/>
          <w:lang w:eastAsia="zh-CN"/>
        </w:rPr>
        <w:t>财政拨款收入对应项目支出以及静脉产业园专项经费支出的增加</w:t>
      </w:r>
      <w:r>
        <w:rPr>
          <w:rFonts w:hint="eastAsia" w:ascii="宋体" w:hAnsi="宋体" w:eastAsia="宋体" w:cs="宋体"/>
          <w:kern w:val="0"/>
          <w:sz w:val="32"/>
          <w:szCs w:val="32"/>
        </w:rPr>
        <w:t>。</w:t>
      </w:r>
    </w:p>
    <w:p>
      <w:pPr>
        <w:pStyle w:val="18"/>
        <w:ind w:firstLine="634" w:firstLineChars="200"/>
        <w:rPr>
          <w:rFonts w:hAnsi="黑体"/>
          <w:b/>
          <w:sz w:val="32"/>
          <w:szCs w:val="32"/>
        </w:rPr>
      </w:pPr>
      <w:r>
        <w:rPr>
          <w:rFonts w:hint="eastAsia" w:hAnsi="黑体"/>
          <w:b/>
          <w:sz w:val="32"/>
          <w:szCs w:val="32"/>
        </w:rPr>
        <w:t>五、一般公共预算财政拨款支出决算情况说明</w:t>
      </w:r>
    </w:p>
    <w:p>
      <w:pPr>
        <w:pStyle w:val="18"/>
        <w:ind w:firstLine="634"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8"/>
        <w:ind w:firstLine="793"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2019年度财政拨款支出</w:t>
      </w:r>
      <w:r>
        <w:rPr>
          <w:rFonts w:hint="eastAsia" w:asciiTheme="minorEastAsia" w:hAnsiTheme="minorEastAsia" w:eastAsiaTheme="minorEastAsia"/>
          <w:sz w:val="32"/>
          <w:szCs w:val="32"/>
          <w:lang w:val="en-US" w:eastAsia="zh-CN"/>
        </w:rPr>
        <w:t>56429.96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96</w:t>
      </w:r>
      <w:r>
        <w:rPr>
          <w:rFonts w:hint="eastAsia" w:asciiTheme="minorEastAsia" w:hAnsiTheme="minorEastAsia" w:eastAsiaTheme="minorEastAsia"/>
          <w:sz w:val="32"/>
          <w:szCs w:val="32"/>
        </w:rPr>
        <w:t>%，与2018年相比，财政拨款支出增加</w:t>
      </w:r>
      <w:r>
        <w:rPr>
          <w:rFonts w:hint="eastAsia" w:asciiTheme="minorEastAsia" w:hAnsiTheme="minorEastAsia" w:eastAsiaTheme="minorEastAsia"/>
          <w:sz w:val="32"/>
          <w:szCs w:val="32"/>
          <w:lang w:val="en-US" w:eastAsia="zh-CN"/>
        </w:rPr>
        <w:t>13944.78</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%，主要是因为</w:t>
      </w:r>
      <w:r>
        <w:rPr>
          <w:rFonts w:hint="eastAsia" w:asciiTheme="minorEastAsia" w:hAnsiTheme="minorEastAsia" w:eastAsiaTheme="minorEastAsia" w:cstheme="minorEastAsia"/>
          <w:b w:val="0"/>
          <w:bCs w:val="0"/>
          <w:sz w:val="32"/>
          <w:szCs w:val="32"/>
          <w:lang w:val="en-US" w:eastAsia="zh-CN"/>
        </w:rPr>
        <w:t>垃圾中转站项目、站北箱涵黑臭水整治项目、城市亮化城区排水、桥梁整治经费及垃圾站建设项目、环卫和市政项目经费以及静脉产业园中央专项补助资金6417万元等项目支出的增加。</w:t>
      </w:r>
    </w:p>
    <w:p>
      <w:pPr>
        <w:pStyle w:val="18"/>
        <w:ind w:firstLine="476"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8"/>
        <w:ind w:firstLine="634"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2019年度财政拨款支出</w:t>
      </w:r>
      <w:r>
        <w:rPr>
          <w:rFonts w:hint="eastAsia" w:asciiTheme="minorEastAsia" w:hAnsiTheme="minorEastAsia" w:eastAsiaTheme="minorEastAsia"/>
          <w:sz w:val="32"/>
          <w:szCs w:val="32"/>
          <w:lang w:val="en-US" w:eastAsia="zh-CN"/>
        </w:rPr>
        <w:t>56429.96</w:t>
      </w:r>
      <w:r>
        <w:rPr>
          <w:rFonts w:hint="eastAsia" w:asciiTheme="minorEastAsia" w:hAnsiTheme="minorEastAsia" w:eastAsiaTheme="minorEastAsia"/>
          <w:sz w:val="32"/>
          <w:szCs w:val="32"/>
        </w:rPr>
        <w:t>万元，主要用于以下方面：社会保障和就业支出</w:t>
      </w:r>
      <w:r>
        <w:rPr>
          <w:rFonts w:hint="eastAsia" w:asciiTheme="minorEastAsia" w:hAnsiTheme="minorEastAsia" w:eastAsiaTheme="minorEastAsia"/>
          <w:sz w:val="32"/>
          <w:szCs w:val="32"/>
          <w:lang w:val="en-US" w:eastAsia="zh-CN"/>
        </w:rPr>
        <w:t>491.99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161.81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0.3</w:t>
      </w:r>
      <w:r>
        <w:rPr>
          <w:rFonts w:hint="eastAsia" w:asciiTheme="minorEastAsia" w:hAnsiTheme="minorEastAsia" w:eastAsiaTheme="minorEastAsia"/>
          <w:sz w:val="32"/>
          <w:szCs w:val="32"/>
        </w:rPr>
        <w:t>%；节能环保支出</w:t>
      </w:r>
      <w:r>
        <w:rPr>
          <w:rFonts w:hint="eastAsia" w:asciiTheme="minorEastAsia" w:hAnsiTheme="minorEastAsia" w:eastAsiaTheme="minorEastAsia"/>
          <w:sz w:val="32"/>
          <w:szCs w:val="32"/>
          <w:lang w:val="en-US" w:eastAsia="zh-CN"/>
        </w:rPr>
        <w:t>398.47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0.7</w:t>
      </w: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val="en-US" w:eastAsia="zh-CN"/>
        </w:rPr>
        <w:t>48789.39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86</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0.03</w:t>
      </w:r>
      <w:r>
        <w:rPr>
          <w:rFonts w:hint="eastAsia" w:asciiTheme="minorEastAsia" w:hAnsiTheme="minorEastAsia" w:eastAsiaTheme="minorEastAsia"/>
          <w:sz w:val="32"/>
          <w:szCs w:val="32"/>
        </w:rPr>
        <w:t>%；资源勘探信息等支出</w:t>
      </w:r>
      <w:r>
        <w:rPr>
          <w:rFonts w:hint="eastAsia" w:asciiTheme="minorEastAsia" w:hAnsiTheme="minorEastAsia" w:eastAsiaTheme="minorEastAsia"/>
          <w:sz w:val="32"/>
          <w:szCs w:val="32"/>
          <w:lang w:val="en-US" w:eastAsia="zh-CN"/>
        </w:rPr>
        <w:t>282.16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%；其他支出</w:t>
      </w:r>
      <w:r>
        <w:rPr>
          <w:rFonts w:hint="eastAsia" w:asciiTheme="minorEastAsia" w:hAnsiTheme="minorEastAsia" w:eastAsiaTheme="minorEastAsia"/>
          <w:sz w:val="32"/>
          <w:szCs w:val="32"/>
          <w:lang w:val="en-US" w:eastAsia="zh-CN"/>
        </w:rPr>
        <w:t>6291.13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11.15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8"/>
        <w:keepNext w:val="0"/>
        <w:keepLines w:val="0"/>
        <w:pageBreakBefore w:val="0"/>
        <w:kinsoku/>
        <w:wordWrap/>
        <w:overflowPunct/>
        <w:topLinePunct w:val="0"/>
        <w:bidi w:val="0"/>
        <w:snapToGrid/>
        <w:spacing w:line="240" w:lineRule="auto"/>
        <w:ind w:firstLine="634" w:firstLineChars="200"/>
        <w:textAlignment w:val="auto"/>
        <w:rPr>
          <w:rFonts w:eastAsia="宋体" w:asciiTheme="minorEastAsia" w:hAnsiTheme="minorEastAsia"/>
          <w:b/>
          <w:color w:val="000000" w:themeColor="text1"/>
          <w:sz w:val="32"/>
          <w:szCs w:val="32"/>
          <w14:textFill>
            <w14:solidFill>
              <w14:schemeClr w14:val="tx1"/>
            </w14:solidFill>
          </w14:textFill>
        </w:rPr>
      </w:pPr>
      <w:r>
        <w:rPr>
          <w:rFonts w:hint="eastAsia" w:eastAsia="宋体" w:asciiTheme="minorEastAsia" w:hAnsiTheme="minorEastAsia"/>
          <w:b/>
          <w:color w:val="000000" w:themeColor="text1"/>
          <w:sz w:val="32"/>
          <w:szCs w:val="32"/>
          <w14:textFill>
            <w14:solidFill>
              <w14:schemeClr w14:val="tx1"/>
            </w14:solidFill>
          </w14:textFill>
        </w:rPr>
        <w:t>（三）财政拨款支出决算具体情况</w:t>
      </w:r>
    </w:p>
    <w:p>
      <w:pPr>
        <w:pStyle w:val="6"/>
        <w:keepNext w:val="0"/>
        <w:keepLines w:val="0"/>
        <w:pageBreakBefore w:val="0"/>
        <w:widowControl/>
        <w:kinsoku/>
        <w:wordWrap/>
        <w:overflowPunct/>
        <w:topLinePunct w:val="0"/>
        <w:bidi w:val="0"/>
        <w:snapToGrid/>
        <w:spacing w:before="0" w:beforeAutospacing="0" w:after="0" w:afterAutospacing="0" w:line="240" w:lineRule="auto"/>
        <w:ind w:left="0" w:right="0" w:firstLine="634" w:firstLineChars="200"/>
        <w:jc w:val="both"/>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sz w:val="32"/>
          <w:szCs w:val="32"/>
          <w14:textFill>
            <w14:solidFill>
              <w14:schemeClr w14:val="tx1"/>
            </w14:solidFill>
          </w14:textFill>
        </w:rPr>
        <w:t>2019年度财政拨款支出年初预算数为</w:t>
      </w:r>
      <w:r>
        <w:rPr>
          <w:rFonts w:hint="eastAsia" w:ascii="仿宋_GB2312" w:hAnsi="仿宋_GB2312" w:eastAsia="宋体" w:cs="仿宋_GB2312"/>
          <w:b w:val="0"/>
          <w:bCs w:val="0"/>
          <w:color w:val="000000" w:themeColor="text1"/>
          <w:sz w:val="32"/>
          <w:szCs w:val="32"/>
          <w:lang w:val="en-US" w:eastAsia="zh-CN"/>
          <w14:textFill>
            <w14:solidFill>
              <w14:schemeClr w14:val="tx1"/>
            </w14:solidFill>
          </w14:textFill>
        </w:rPr>
        <w:t>35666.65</w:t>
      </w:r>
      <w:r>
        <w:rPr>
          <w:rFonts w:hint="eastAsia" w:ascii="仿宋_GB2312" w:hAnsi="仿宋_GB2312" w:eastAsia="宋体" w:cs="仿宋_GB2312"/>
          <w:b w:val="0"/>
          <w:bCs w:val="0"/>
          <w:color w:val="000000" w:themeColor="text1"/>
          <w:sz w:val="32"/>
          <w:szCs w:val="32"/>
          <w14:textFill>
            <w14:solidFill>
              <w14:schemeClr w14:val="tx1"/>
            </w14:solidFill>
          </w14:textFill>
        </w:rPr>
        <w:t>万元，支出决算数为</w:t>
      </w:r>
      <w:r>
        <w:rPr>
          <w:rFonts w:hint="eastAsia" w:ascii="仿宋_GB2312" w:hAnsi="仿宋_GB2312" w:eastAsia="宋体" w:cs="仿宋_GB2312"/>
          <w:b w:val="0"/>
          <w:bCs w:val="0"/>
          <w:color w:val="000000" w:themeColor="text1"/>
          <w:sz w:val="32"/>
          <w:szCs w:val="32"/>
          <w:lang w:val="en-US" w:eastAsia="zh-CN"/>
          <w14:textFill>
            <w14:solidFill>
              <w14:schemeClr w14:val="tx1"/>
            </w14:solidFill>
          </w14:textFill>
        </w:rPr>
        <w:t>56429.96</w:t>
      </w:r>
      <w:r>
        <w:rPr>
          <w:rFonts w:hint="eastAsia" w:ascii="仿宋_GB2312" w:hAnsi="仿宋_GB2312" w:eastAsia="宋体" w:cs="仿宋_GB2312"/>
          <w:b w:val="0"/>
          <w:bCs w:val="0"/>
          <w:color w:val="000000" w:themeColor="text1"/>
          <w:sz w:val="32"/>
          <w:szCs w:val="32"/>
          <w14:textFill>
            <w14:solidFill>
              <w14:schemeClr w14:val="tx1"/>
            </w14:solidFill>
          </w14:textFill>
        </w:rPr>
        <w:t>万元，完成年初预算的</w:t>
      </w:r>
      <w:r>
        <w:rPr>
          <w:rFonts w:hint="eastAsia" w:ascii="仿宋_GB2312" w:hAnsi="仿宋_GB2312" w:eastAsia="宋体" w:cs="仿宋_GB2312"/>
          <w:b w:val="0"/>
          <w:bCs w:val="0"/>
          <w:color w:val="000000" w:themeColor="text1"/>
          <w:sz w:val="32"/>
          <w:szCs w:val="32"/>
          <w:lang w:val="en-US" w:eastAsia="zh-CN"/>
          <w14:textFill>
            <w14:solidFill>
              <w14:schemeClr w14:val="tx1"/>
            </w14:solidFill>
          </w14:textFill>
        </w:rPr>
        <w:t>158</w:t>
      </w:r>
      <w:r>
        <w:rPr>
          <w:rFonts w:hint="eastAsia" w:ascii="仿宋_GB2312" w:hAnsi="仿宋_GB2312" w:eastAsia="宋体" w:cs="仿宋_GB2312"/>
          <w:b w:val="0"/>
          <w:bCs w:val="0"/>
          <w:color w:val="000000" w:themeColor="text1"/>
          <w:sz w:val="32"/>
          <w:szCs w:val="32"/>
          <w14:textFill>
            <w14:solidFill>
              <w14:schemeClr w14:val="tx1"/>
            </w14:solidFill>
          </w14:textFill>
        </w:rPr>
        <w:t>%</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。其中：</w:t>
      </w:r>
    </w:p>
    <w:p>
      <w:pPr>
        <w:pStyle w:val="6"/>
        <w:keepNext w:val="0"/>
        <w:keepLines w:val="0"/>
        <w:pageBreakBefore w:val="0"/>
        <w:widowControl/>
        <w:kinsoku/>
        <w:wordWrap/>
        <w:overflowPunct/>
        <w:topLinePunct w:val="0"/>
        <w:bidi w:val="0"/>
        <w:snapToGrid/>
        <w:spacing w:before="0" w:beforeAutospacing="0" w:after="0" w:afterAutospacing="0" w:line="240" w:lineRule="auto"/>
        <w:ind w:left="0" w:right="0" w:firstLine="634" w:firstLineChars="200"/>
        <w:jc w:val="both"/>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sz w:val="32"/>
          <w:szCs w:val="32"/>
          <w:lang w:val="en-US"/>
          <w14:textFill>
            <w14:solidFill>
              <w14:schemeClr w14:val="tx1"/>
            </w14:solidFill>
          </w14:textFill>
        </w:rPr>
        <w:t>1</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、社会保障和就业（类）行政事业单位离退休（款）机关事业单位基本保险费支出（项）。</w:t>
      </w:r>
    </w:p>
    <w:p>
      <w:pPr>
        <w:pStyle w:val="6"/>
        <w:keepNext w:val="0"/>
        <w:keepLines w:val="0"/>
        <w:pageBreakBefore w:val="0"/>
        <w:widowControl/>
        <w:kinsoku/>
        <w:wordWrap/>
        <w:overflowPunct/>
        <w:topLinePunct w:val="0"/>
        <w:bidi w:val="0"/>
        <w:snapToGrid/>
        <w:spacing w:before="0" w:beforeAutospacing="0" w:after="0" w:afterAutospacing="0" w:line="240" w:lineRule="auto"/>
        <w:ind w:left="0" w:right="0" w:firstLine="634" w:firstLineChars="200"/>
        <w:jc w:val="both"/>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年初预算为</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466.75</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万元，支出决算为</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491.99</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万元，完成年初预算的</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105%</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，决算数大于年初预算数的主要原因是</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机构改革人员变动。</w:t>
      </w:r>
    </w:p>
    <w:p>
      <w:pPr>
        <w:pStyle w:val="6"/>
        <w:keepNext w:val="0"/>
        <w:keepLines w:val="0"/>
        <w:pageBreakBefore w:val="0"/>
        <w:widowControl/>
        <w:kinsoku/>
        <w:wordWrap/>
        <w:overflowPunct/>
        <w:topLinePunct w:val="0"/>
        <w:bidi w:val="0"/>
        <w:snapToGrid/>
        <w:spacing w:before="0" w:beforeAutospacing="0" w:after="0" w:afterAutospacing="0" w:line="240" w:lineRule="auto"/>
        <w:ind w:left="0" w:right="0" w:firstLine="634" w:firstLineChars="200"/>
        <w:jc w:val="both"/>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sz w:val="32"/>
          <w:szCs w:val="32"/>
          <w:lang w:val="en-US"/>
          <w14:textFill>
            <w14:solidFill>
              <w14:schemeClr w14:val="tx1"/>
            </w14:solidFill>
          </w14:textFill>
        </w:rPr>
        <w:t>2</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、卫生健康（类）行政事业单位医疗（款）行政单位医疗（项）。</w:t>
      </w:r>
    </w:p>
    <w:p>
      <w:pPr>
        <w:pStyle w:val="6"/>
        <w:keepNext w:val="0"/>
        <w:keepLines w:val="0"/>
        <w:pageBreakBefore w:val="0"/>
        <w:widowControl/>
        <w:kinsoku/>
        <w:wordWrap/>
        <w:overflowPunct/>
        <w:topLinePunct w:val="0"/>
        <w:bidi w:val="0"/>
        <w:snapToGrid/>
        <w:spacing w:before="0" w:beforeAutospacing="0" w:after="0" w:afterAutospacing="0" w:line="240" w:lineRule="auto"/>
        <w:ind w:left="0" w:right="0" w:firstLine="634" w:firstLineChars="200"/>
        <w:jc w:val="both"/>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年初预算为</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216.57</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万元，支出决算为</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161.81</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万元，完成年初预算的</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75%</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，决算数小于年初预算数的主要原因是：机构改革人员变动。</w:t>
      </w:r>
    </w:p>
    <w:p>
      <w:pPr>
        <w:pStyle w:val="6"/>
        <w:keepNext w:val="0"/>
        <w:keepLines w:val="0"/>
        <w:pageBreakBefore w:val="0"/>
        <w:widowControl/>
        <w:kinsoku/>
        <w:wordWrap/>
        <w:overflowPunct/>
        <w:topLinePunct w:val="0"/>
        <w:bidi w:val="0"/>
        <w:snapToGrid/>
        <w:spacing w:before="0" w:beforeAutospacing="0" w:after="0" w:afterAutospacing="0" w:line="240" w:lineRule="auto"/>
        <w:ind w:left="0" w:right="0" w:firstLine="634" w:firstLineChars="200"/>
        <w:jc w:val="both"/>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sz w:val="32"/>
          <w:szCs w:val="32"/>
          <w:lang w:val="en-US"/>
          <w14:textFill>
            <w14:solidFill>
              <w14:schemeClr w14:val="tx1"/>
            </w14:solidFill>
          </w14:textFill>
        </w:rPr>
        <w:t>3</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、城乡社区（类）行政运行（款）其他城乡社区管理事务支出（项）。</w:t>
      </w:r>
    </w:p>
    <w:p>
      <w:pPr>
        <w:pStyle w:val="6"/>
        <w:keepNext w:val="0"/>
        <w:keepLines w:val="0"/>
        <w:pageBreakBefore w:val="0"/>
        <w:widowControl/>
        <w:kinsoku/>
        <w:wordWrap/>
        <w:overflowPunct/>
        <w:topLinePunct w:val="0"/>
        <w:bidi w:val="0"/>
        <w:snapToGrid/>
        <w:spacing w:before="0" w:beforeAutospacing="0" w:after="0" w:afterAutospacing="0" w:line="240" w:lineRule="auto"/>
        <w:ind w:left="0" w:right="0" w:firstLine="634" w:firstLineChars="200"/>
        <w:jc w:val="both"/>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年初预算为</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34</w:t>
      </w:r>
      <w:r>
        <w:rPr>
          <w:rFonts w:hint="eastAsia" w:ascii="仿宋_GB2312" w:hAnsi="仿宋_GB2312" w:eastAsia="宋体" w:cs="仿宋_GB2312"/>
          <w:b w:val="0"/>
          <w:bCs w:val="0"/>
          <w:color w:val="000000" w:themeColor="text1"/>
          <w:sz w:val="32"/>
          <w:szCs w:val="32"/>
          <w:lang w:val="en-US" w:eastAsia="zh-CN"/>
          <w14:textFill>
            <w14:solidFill>
              <w14:schemeClr w14:val="tx1"/>
            </w14:solidFill>
          </w14:textFill>
        </w:rPr>
        <w:t>983.33</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万元，支出决算为</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48789.39</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万元，完成年初预算的</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1</w:t>
      </w:r>
      <w:r>
        <w:rPr>
          <w:rFonts w:hint="eastAsia" w:ascii="仿宋_GB2312" w:hAnsi="仿宋_GB2312" w:eastAsia="宋体" w:cs="仿宋_GB2312"/>
          <w:b w:val="0"/>
          <w:bCs w:val="0"/>
          <w:color w:val="000000" w:themeColor="text1"/>
          <w:sz w:val="32"/>
          <w:szCs w:val="32"/>
          <w:lang w:val="en-US" w:eastAsia="zh-CN"/>
          <w14:textFill>
            <w14:solidFill>
              <w14:schemeClr w14:val="tx1"/>
            </w14:solidFill>
          </w14:textFill>
        </w:rPr>
        <w:t>39</w:t>
      </w:r>
      <w:r>
        <w:rPr>
          <w:rFonts w:hint="eastAsia" w:ascii="仿宋_GB2312" w:hAnsi="仿宋_GB2312" w:eastAsia="宋体" w:cs="仿宋_GB2312"/>
          <w:b w:val="0"/>
          <w:bCs w:val="0"/>
          <w:color w:val="000000" w:themeColor="text1"/>
          <w:sz w:val="32"/>
          <w:szCs w:val="32"/>
          <w:lang w:val="en-US"/>
          <w14:textFill>
            <w14:solidFill>
              <w14:schemeClr w14:val="tx1"/>
            </w14:solidFill>
          </w14:textFill>
        </w:rPr>
        <w:t>%</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，决算数大于年初预算数的主要原因是：垃圾中转站项目款项；站北箱涵黑臭水整治项目经费；环卫工人休息室</w:t>
      </w:r>
      <w:r>
        <w:rPr>
          <w:rFonts w:hint="eastAsia" w:ascii="仿宋_GB2312" w:hAnsi="仿宋_GB2312" w:eastAsia="宋体" w:cs="仿宋_GB2312"/>
          <w:b w:val="0"/>
          <w:bCs w:val="0"/>
          <w:color w:val="000000" w:themeColor="text1"/>
          <w:sz w:val="32"/>
          <w:szCs w:val="32"/>
          <w:lang w:val="en-US" w:eastAsia="zh-CN"/>
          <w14:textFill>
            <w14:solidFill>
              <w14:schemeClr w14:val="tx1"/>
            </w14:solidFill>
          </w14:textFill>
        </w:rPr>
        <w:t>和</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公园绿化等项目经费；城市亮化城区排水、桥梁整治经费及垃圾站建设项目经费年初未纳入预算。</w:t>
      </w:r>
    </w:p>
    <w:p>
      <w:pPr>
        <w:pStyle w:val="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634" w:firstLineChars="200"/>
        <w:jc w:val="left"/>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kern w:val="2"/>
          <w:sz w:val="32"/>
          <w:szCs w:val="32"/>
          <w:lang w:val="en-US" w:eastAsia="zh-CN" w:bidi="ar"/>
          <w14:textFill>
            <w14:solidFill>
              <w14:schemeClr w14:val="tx1"/>
            </w14:solidFill>
          </w14:textFill>
        </w:rPr>
        <w:t>4、</w:t>
      </w:r>
      <w:r>
        <w:rPr>
          <w:rFonts w:hint="eastAsia" w:ascii="仿宋_GB2312" w:hAnsi="仿宋_GB2312" w:eastAsia="宋体" w:cs="仿宋_GB2312"/>
          <w:b w:val="0"/>
          <w:bCs w:val="0"/>
          <w:color w:val="000000" w:themeColor="text1"/>
          <w:kern w:val="0"/>
          <w:sz w:val="32"/>
          <w:szCs w:val="32"/>
          <w:lang w:val="en-US" w:eastAsia="zh-CN" w:bidi="ar"/>
          <w14:textFill>
            <w14:solidFill>
              <w14:schemeClr w14:val="tx1"/>
            </w14:solidFill>
          </w14:textFill>
        </w:rPr>
        <w:t>节能环保支出（类）污染防治（款）其他污染防治支出（项）。年初预算为0万元，支出决算为398.47万元，决算数大于年初预算数的主要原因是：新增节能环保支出项目。</w:t>
      </w:r>
    </w:p>
    <w:p>
      <w:pPr>
        <w:pStyle w:val="6"/>
        <w:keepNext w:val="0"/>
        <w:keepLines w:val="0"/>
        <w:pageBreakBefore w:val="0"/>
        <w:widowControl/>
        <w:kinsoku/>
        <w:wordWrap/>
        <w:overflowPunct/>
        <w:topLinePunct w:val="0"/>
        <w:bidi w:val="0"/>
        <w:snapToGrid/>
        <w:spacing w:before="0" w:beforeAutospacing="0" w:after="0" w:afterAutospacing="0" w:line="240" w:lineRule="auto"/>
        <w:ind w:left="0" w:right="0" w:firstLine="634" w:firstLineChars="200"/>
        <w:jc w:val="both"/>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sz w:val="32"/>
          <w:szCs w:val="32"/>
          <w:lang w:val="en-US"/>
          <w14:textFill>
            <w14:solidFill>
              <w14:schemeClr w14:val="tx1"/>
            </w14:solidFill>
          </w14:textFill>
        </w:rPr>
        <w:t>5</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、农林水支出（类）其他农林水支出（款）其他农林水支出（项）。</w:t>
      </w:r>
    </w:p>
    <w:p>
      <w:pPr>
        <w:pStyle w:val="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634" w:firstLineChars="200"/>
        <w:jc w:val="left"/>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kern w:val="0"/>
          <w:sz w:val="32"/>
          <w:szCs w:val="32"/>
          <w:lang w:val="en-US" w:eastAsia="zh-CN" w:bidi="ar"/>
          <w14:textFill>
            <w14:solidFill>
              <w14:schemeClr w14:val="tx1"/>
            </w14:solidFill>
          </w14:textFill>
        </w:rPr>
        <w:t>年初预算为0万元，支出决算为15万元。决算数大于年初预算数的主要原因是：新增</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农林水支出</w:t>
      </w:r>
      <w:r>
        <w:rPr>
          <w:rFonts w:hint="eastAsia" w:ascii="仿宋_GB2312" w:hAnsi="仿宋_GB2312" w:eastAsia="宋体" w:cs="仿宋_GB2312"/>
          <w:b w:val="0"/>
          <w:bCs w:val="0"/>
          <w:color w:val="000000" w:themeColor="text1"/>
          <w:kern w:val="0"/>
          <w:sz w:val="32"/>
          <w:szCs w:val="32"/>
          <w:lang w:val="en-US" w:eastAsia="zh-CN" w:bidi="ar"/>
          <w14:textFill>
            <w14:solidFill>
              <w14:schemeClr w14:val="tx1"/>
            </w14:solidFill>
          </w14:textFill>
        </w:rPr>
        <w:t>项目。</w:t>
      </w:r>
    </w:p>
    <w:p>
      <w:pPr>
        <w:pStyle w:val="6"/>
        <w:keepNext w:val="0"/>
        <w:keepLines w:val="0"/>
        <w:pageBreakBefore w:val="0"/>
        <w:widowControl/>
        <w:kinsoku/>
        <w:wordWrap/>
        <w:overflowPunct/>
        <w:topLinePunct w:val="0"/>
        <w:bidi w:val="0"/>
        <w:snapToGrid/>
        <w:spacing w:before="0" w:beforeAutospacing="0" w:after="0" w:afterAutospacing="0" w:line="240" w:lineRule="auto"/>
        <w:ind w:left="0" w:right="0" w:firstLine="634" w:firstLineChars="200"/>
        <w:jc w:val="both"/>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kern w:val="0"/>
          <w:sz w:val="32"/>
          <w:szCs w:val="32"/>
          <w:lang w:val="en-US" w:eastAsia="zh-CN" w:bidi="ar"/>
          <w14:textFill>
            <w14:solidFill>
              <w14:schemeClr w14:val="tx1"/>
            </w14:solidFill>
          </w14:textFill>
        </w:rPr>
        <w:t>6、</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资源勘探信息等支出（类）建筑业（款）其他建筑业支出（项）。</w:t>
      </w:r>
    </w:p>
    <w:p>
      <w:pPr>
        <w:pStyle w:val="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634" w:firstLineChars="200"/>
        <w:jc w:val="left"/>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kern w:val="0"/>
          <w:sz w:val="32"/>
          <w:szCs w:val="32"/>
          <w:lang w:val="en-US" w:eastAsia="zh-CN" w:bidi="ar"/>
          <w14:textFill>
            <w14:solidFill>
              <w14:schemeClr w14:val="tx1"/>
            </w14:solidFill>
          </w14:textFill>
        </w:rPr>
        <w:t>年初预算为0万元，支出决算为282.16万元。决算数大于年初预算数的主要原因是：新增</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资源勘探信息等支出</w:t>
      </w:r>
      <w:r>
        <w:rPr>
          <w:rFonts w:hint="eastAsia" w:ascii="仿宋_GB2312" w:hAnsi="仿宋_GB2312" w:eastAsia="宋体" w:cs="仿宋_GB2312"/>
          <w:b w:val="0"/>
          <w:bCs w:val="0"/>
          <w:color w:val="000000" w:themeColor="text1"/>
          <w:kern w:val="0"/>
          <w:sz w:val="32"/>
          <w:szCs w:val="32"/>
          <w:lang w:val="en-US" w:eastAsia="zh-CN" w:bidi="ar"/>
          <w14:textFill>
            <w14:solidFill>
              <w14:schemeClr w14:val="tx1"/>
            </w14:solidFill>
          </w14:textFill>
        </w:rPr>
        <w:t>项目。</w:t>
      </w:r>
    </w:p>
    <w:p>
      <w:pPr>
        <w:pStyle w:val="6"/>
        <w:keepNext w:val="0"/>
        <w:keepLines w:val="0"/>
        <w:pageBreakBefore w:val="0"/>
        <w:widowControl/>
        <w:kinsoku/>
        <w:wordWrap/>
        <w:overflowPunct/>
        <w:topLinePunct w:val="0"/>
        <w:bidi w:val="0"/>
        <w:snapToGrid/>
        <w:spacing w:before="0" w:beforeAutospacing="0" w:after="0" w:afterAutospacing="0" w:line="240" w:lineRule="auto"/>
        <w:ind w:left="0" w:right="0" w:firstLine="634" w:firstLineChars="200"/>
        <w:jc w:val="both"/>
        <w:textAlignment w:val="auto"/>
        <w:rPr>
          <w:rFonts w:hint="eastAsia" w:ascii="仿宋_GB2312" w:hAnsi="仿宋_GB2312" w:eastAsia="宋体" w:cs="仿宋_GB2312"/>
          <w:b w:val="0"/>
          <w:bCs w:val="0"/>
          <w:color w:val="000000" w:themeColor="text1"/>
          <w:sz w:val="32"/>
          <w:szCs w:val="32"/>
          <w:lang w:val="en-US"/>
          <w14:textFill>
            <w14:solidFill>
              <w14:schemeClr w14:val="tx1"/>
            </w14:solidFill>
          </w14:textFill>
        </w:rPr>
      </w:pPr>
      <w:r>
        <w:rPr>
          <w:rFonts w:hint="eastAsia" w:ascii="仿宋_GB2312" w:hAnsi="仿宋_GB2312" w:eastAsia="宋体" w:cs="仿宋_GB2312"/>
          <w:b w:val="0"/>
          <w:bCs w:val="0"/>
          <w:color w:val="000000" w:themeColor="text1"/>
          <w:sz w:val="32"/>
          <w:szCs w:val="32"/>
          <w:lang w:val="en-US"/>
          <w14:textFill>
            <w14:solidFill>
              <w14:schemeClr w14:val="tx1"/>
            </w14:solidFill>
          </w14:textFill>
        </w:rPr>
        <w:t>7</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、其他支出（类）其他支出（款）其他支出（项）。</w:t>
      </w:r>
    </w:p>
    <w:p>
      <w:pPr>
        <w:pStyle w:val="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634" w:firstLineChars="200"/>
        <w:jc w:val="left"/>
        <w:textAlignment w:val="auto"/>
        <w:rPr>
          <w:rFonts w:asciiTheme="minorEastAsia" w:hAnsiTheme="minorEastAsia" w:eastAsiaTheme="minorEastAsia"/>
          <w:sz w:val="32"/>
          <w:szCs w:val="32"/>
        </w:rPr>
      </w:pPr>
      <w:r>
        <w:rPr>
          <w:rFonts w:hint="eastAsia" w:ascii="仿宋_GB2312" w:hAnsi="仿宋_GB2312" w:eastAsia="宋体" w:cs="仿宋_GB2312"/>
          <w:b w:val="0"/>
          <w:bCs w:val="0"/>
          <w:color w:val="000000" w:themeColor="text1"/>
          <w:kern w:val="0"/>
          <w:sz w:val="32"/>
          <w:szCs w:val="32"/>
          <w:lang w:val="en-US" w:eastAsia="zh-CN" w:bidi="ar"/>
          <w14:textFill>
            <w14:solidFill>
              <w14:schemeClr w14:val="tx1"/>
            </w14:solidFill>
          </w14:textFill>
        </w:rPr>
        <w:t>年初预算为0万元，支出决算为6291.13万元。决算数大于年初预算数的主要原因是：新增</w:t>
      </w:r>
      <w:r>
        <w:rPr>
          <w:rFonts w:hint="eastAsia" w:ascii="仿宋_GB2312" w:hAnsi="仿宋_GB2312" w:eastAsia="宋体" w:cs="仿宋_GB2312"/>
          <w:b w:val="0"/>
          <w:bCs w:val="0"/>
          <w:color w:val="000000" w:themeColor="text1"/>
          <w:sz w:val="32"/>
          <w:szCs w:val="32"/>
          <w:lang w:eastAsia="zh-CN"/>
          <w14:textFill>
            <w14:solidFill>
              <w14:schemeClr w14:val="tx1"/>
            </w14:solidFill>
          </w14:textFill>
        </w:rPr>
        <w:t>静脉产业园中央专项补助资金。</w:t>
      </w:r>
    </w:p>
    <w:p>
      <w:pPr>
        <w:pStyle w:val="18"/>
        <w:keepNext w:val="0"/>
        <w:keepLines w:val="0"/>
        <w:pageBreakBefore w:val="0"/>
        <w:kinsoku/>
        <w:wordWrap/>
        <w:overflowPunct/>
        <w:topLinePunct w:val="0"/>
        <w:bidi w:val="0"/>
        <w:snapToGrid/>
        <w:ind w:firstLine="634" w:firstLineChars="200"/>
        <w:textAlignment w:val="auto"/>
        <w:rPr>
          <w:rFonts w:hAnsi="黑体"/>
          <w:b/>
          <w:sz w:val="32"/>
          <w:szCs w:val="32"/>
        </w:rPr>
      </w:pPr>
      <w:r>
        <w:rPr>
          <w:rFonts w:hint="eastAsia" w:hAnsi="黑体"/>
          <w:b/>
          <w:sz w:val="32"/>
          <w:szCs w:val="32"/>
        </w:rPr>
        <w:t>六、一般公共预算财政拨款基本支出决算情况说明</w:t>
      </w:r>
    </w:p>
    <w:p>
      <w:pPr>
        <w:pStyle w:val="18"/>
        <w:keepNext w:val="0"/>
        <w:keepLines w:val="0"/>
        <w:pageBreakBefore w:val="0"/>
        <w:kinsoku/>
        <w:wordWrap/>
        <w:overflowPunct/>
        <w:topLinePunct w:val="0"/>
        <w:bidi w:val="0"/>
        <w:snapToGrid/>
        <w:ind w:firstLine="634"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2019年度财政拨款基本支出</w:t>
      </w:r>
      <w:r>
        <w:rPr>
          <w:rFonts w:hint="eastAsia" w:asciiTheme="minorEastAsia" w:hAnsiTheme="minorEastAsia" w:eastAsiaTheme="minorEastAsia"/>
          <w:sz w:val="32"/>
          <w:szCs w:val="32"/>
          <w:lang w:val="en-US" w:eastAsia="zh-CN"/>
        </w:rPr>
        <w:t>37881.2</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10404.52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27.5</w:t>
      </w:r>
      <w:r>
        <w:rPr>
          <w:rFonts w:hint="eastAsia" w:asciiTheme="minorEastAsia" w:hAnsiTheme="minorEastAsia" w:eastAsiaTheme="minorEastAsia"/>
          <w:sz w:val="32"/>
          <w:szCs w:val="32"/>
        </w:rPr>
        <w:t>%,主要包括基本工资、津贴补贴、奖金、伙食补助费</w:t>
      </w:r>
      <w:r>
        <w:rPr>
          <w:rFonts w:ascii="Times New Roman" w:hAnsi="Times New Roman" w:eastAsia="宋体" w:cs="Times New Roman"/>
          <w:color w:val="000000"/>
          <w:kern w:val="0"/>
          <w:sz w:val="18"/>
          <w:szCs w:val="18"/>
        </w:rPr>
        <w:t xml:space="preserve"> </w:t>
      </w:r>
      <w:r>
        <w:rPr>
          <w:rFonts w:hint="eastAsia" w:asciiTheme="minorEastAsia" w:hAnsiTheme="minorEastAsia" w:eastAsiaTheme="minorEastAsia" w:cstheme="minorEastAsia"/>
          <w:color w:val="000000"/>
          <w:kern w:val="0"/>
          <w:sz w:val="32"/>
          <w:szCs w:val="32"/>
        </w:rPr>
        <w:t>绩效工资</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机关事业单位基本养老保险费</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职业年金缴费</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职工基本医疗保险缴费</w:t>
      </w:r>
      <w:r>
        <w:rPr>
          <w:rFonts w:hint="eastAsia" w:asciiTheme="minorEastAsia" w:hAnsiTheme="minorEastAsia" w:eastAsiaTheme="minorEastAsia" w:cstheme="minorEastAsia"/>
          <w:color w:val="000000"/>
          <w:kern w:val="0"/>
          <w:sz w:val="32"/>
          <w:szCs w:val="32"/>
          <w:lang w:eastAsia="zh-CN"/>
        </w:rPr>
        <w:t>等</w:t>
      </w:r>
      <w:r>
        <w:rPr>
          <w:rFonts w:hint="eastAsia" w:asciiTheme="minorEastAsia" w:hAnsiTheme="minorEastAsia" w:eastAsiaTheme="minorEastAsia" w:cstheme="minorEastAsia"/>
          <w:color w:val="000000"/>
          <w:kern w:val="0"/>
          <w:sz w:val="32"/>
          <w:szCs w:val="32"/>
        </w:rPr>
        <w:t>其他社会保障缴费</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27476.68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72.5</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公务接待费</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专用材料费</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专用燃料费公务用车运行</w:t>
      </w:r>
      <w:r>
        <w:rPr>
          <w:rFonts w:hint="eastAsia" w:asciiTheme="minorEastAsia" w:hAnsiTheme="minorEastAsia" w:eastAsiaTheme="minorEastAsia" w:cstheme="minorEastAsia"/>
          <w:color w:val="000000"/>
          <w:kern w:val="0"/>
          <w:sz w:val="32"/>
          <w:szCs w:val="32"/>
          <w:lang w:eastAsia="zh-CN"/>
        </w:rPr>
        <w:t>维护</w:t>
      </w:r>
      <w:r>
        <w:rPr>
          <w:rFonts w:hint="eastAsia" w:asciiTheme="minorEastAsia" w:hAnsiTheme="minorEastAsia" w:eastAsiaTheme="minorEastAsia" w:cstheme="minorEastAsia"/>
          <w:color w:val="000000"/>
          <w:kern w:val="0"/>
          <w:sz w:val="32"/>
          <w:szCs w:val="32"/>
        </w:rPr>
        <w:t>费</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rPr>
        <w:t>资本性支出</w:t>
      </w:r>
      <w:r>
        <w:rPr>
          <w:rFonts w:hint="eastAsia" w:asciiTheme="minorEastAsia" w:hAnsiTheme="minorEastAsia" w:eastAsiaTheme="minorEastAsia" w:cstheme="minorEastAsia"/>
          <w:color w:val="000000"/>
          <w:kern w:val="0"/>
          <w:sz w:val="32"/>
          <w:szCs w:val="32"/>
          <w:lang w:eastAsia="zh-CN"/>
        </w:rPr>
        <w:t>等其他支出。</w:t>
      </w:r>
    </w:p>
    <w:p>
      <w:pPr>
        <w:pStyle w:val="18"/>
        <w:keepNext w:val="0"/>
        <w:keepLines w:val="0"/>
        <w:pageBreakBefore w:val="0"/>
        <w:kinsoku/>
        <w:wordWrap/>
        <w:overflowPunct/>
        <w:topLinePunct w:val="0"/>
        <w:bidi w:val="0"/>
        <w:snapToGrid/>
        <w:ind w:firstLine="634" w:firstLineChars="200"/>
        <w:textAlignment w:val="auto"/>
        <w:rPr>
          <w:rFonts w:hAnsi="黑体"/>
          <w:b/>
          <w:sz w:val="32"/>
          <w:szCs w:val="32"/>
        </w:rPr>
      </w:pPr>
      <w:r>
        <w:rPr>
          <w:rFonts w:hint="eastAsia" w:hAnsi="黑体"/>
          <w:b/>
          <w:sz w:val="32"/>
          <w:szCs w:val="32"/>
        </w:rPr>
        <w:t>七、一般公共预算财政拨款三公经费支出决算情况说明</w:t>
      </w:r>
    </w:p>
    <w:p>
      <w:pPr>
        <w:pStyle w:val="18"/>
        <w:keepNext w:val="0"/>
        <w:keepLines w:val="0"/>
        <w:pageBreakBefore w:val="0"/>
        <w:kinsoku/>
        <w:wordWrap/>
        <w:overflowPunct/>
        <w:topLinePunct w:val="0"/>
        <w:bidi w:val="0"/>
        <w:snapToGrid/>
        <w:ind w:firstLine="634" w:firstLineChars="20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8"/>
        <w:keepNext w:val="0"/>
        <w:keepLines w:val="0"/>
        <w:pageBreakBefore w:val="0"/>
        <w:kinsoku/>
        <w:wordWrap/>
        <w:overflowPunct/>
        <w:topLinePunct w:val="0"/>
        <w:bidi w:val="0"/>
        <w:snapToGrid/>
        <w:ind w:firstLine="634"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715.87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156.8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%，其中：</w:t>
      </w:r>
    </w:p>
    <w:p>
      <w:pPr>
        <w:pStyle w:val="18"/>
        <w:keepNext w:val="0"/>
        <w:keepLines w:val="0"/>
        <w:pageBreakBefore w:val="0"/>
        <w:kinsoku/>
        <w:wordWrap/>
        <w:overflowPunct/>
        <w:topLinePunct w:val="0"/>
        <w:bidi w:val="0"/>
        <w:snapToGrid/>
        <w:ind w:firstLine="634" w:firstLineChars="20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8"/>
        <w:keepNext w:val="0"/>
        <w:keepLines w:val="0"/>
        <w:pageBreakBefore w:val="0"/>
        <w:kinsoku/>
        <w:wordWrap/>
        <w:overflowPunct/>
        <w:topLinePunct w:val="0"/>
        <w:bidi w:val="0"/>
        <w:snapToGrid/>
        <w:ind w:firstLine="634" w:firstLineChars="20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经报请市委政府批准同意，前往德国等地考察垃圾焚烧发电项目的相关情况。</w:t>
      </w:r>
    </w:p>
    <w:p>
      <w:pPr>
        <w:pStyle w:val="18"/>
        <w:keepNext w:val="0"/>
        <w:keepLines w:val="0"/>
        <w:pageBreakBefore w:val="0"/>
        <w:kinsoku/>
        <w:wordWrap/>
        <w:overflowPunct/>
        <w:topLinePunct w:val="0"/>
        <w:bidi w:val="0"/>
        <w:snapToGrid/>
        <w:ind w:firstLine="634"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289.45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6.4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cstheme="minorEastAsia"/>
          <w:sz w:val="32"/>
          <w:szCs w:val="32"/>
        </w:rPr>
        <w:t>坚持了同城公务不接待开支，外地来岳必有公函方能按标准接待，坚决不超标接待</w:t>
      </w:r>
      <w:r>
        <w:rPr>
          <w:rFonts w:hint="eastAsia" w:asciiTheme="minorEastAsia" w:hAnsiTheme="minorEastAsia" w:eastAsiaTheme="minorEastAsia" w:cstheme="minorEastAsia"/>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34"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sz w:val="32"/>
          <w:szCs w:val="32"/>
          <w:lang w:val="en-US" w:eastAsia="zh-CN"/>
        </w:rPr>
        <w:t>426.42</w:t>
      </w:r>
      <w:r>
        <w:rPr>
          <w:rFonts w:hint="eastAsia" w:asciiTheme="minorEastAsia" w:hAnsiTheme="minorEastAsia" w:eastAsiaTheme="minorEastAsia"/>
          <w:sz w:val="32"/>
          <w:szCs w:val="32"/>
        </w:rPr>
        <w:t>万元，支出决算为</w:t>
      </w:r>
      <w:r>
        <w:rPr>
          <w:rFonts w:hint="eastAsia" w:asciiTheme="minorEastAsia" w:hAnsiTheme="minorEastAsia"/>
          <w:sz w:val="32"/>
          <w:szCs w:val="32"/>
          <w:lang w:val="en-US" w:eastAsia="zh-CN"/>
        </w:rPr>
        <w:t>139.1</w:t>
      </w:r>
      <w:r>
        <w:rPr>
          <w:rFonts w:hint="eastAsia" w:asciiTheme="minorEastAsia" w:hAnsiTheme="minorEastAsia" w:eastAsiaTheme="minorEastAsia"/>
          <w:sz w:val="32"/>
          <w:szCs w:val="32"/>
        </w:rPr>
        <w:t>万元，完成预算的</w:t>
      </w:r>
      <w:r>
        <w:rPr>
          <w:rFonts w:hint="eastAsia" w:asciiTheme="minorEastAsia" w:hAnsiTheme="minorEastAsia"/>
          <w:sz w:val="32"/>
          <w:szCs w:val="32"/>
          <w:lang w:val="en-US" w:eastAsia="zh-CN"/>
        </w:rPr>
        <w:t>33</w:t>
      </w:r>
      <w:r>
        <w:rPr>
          <w:rFonts w:hint="eastAsia" w:asciiTheme="minorEastAsia" w:hAnsiTheme="minorEastAsia" w:eastAsiaTheme="minorEastAsia"/>
          <w:sz w:val="32"/>
          <w:szCs w:val="32"/>
        </w:rPr>
        <w:t>%，与上年相比减少</w:t>
      </w:r>
      <w:r>
        <w:rPr>
          <w:rFonts w:hint="eastAsia" w:asciiTheme="minorEastAsia" w:hAnsiTheme="minorEastAsia"/>
          <w:sz w:val="32"/>
          <w:szCs w:val="32"/>
          <w:lang w:val="en-US" w:eastAsia="zh-CN"/>
        </w:rPr>
        <w:t>45.76</w:t>
      </w:r>
      <w:r>
        <w:rPr>
          <w:rFonts w:hint="eastAsia" w:asciiTheme="minorEastAsia" w:hAnsiTheme="minorEastAsia" w:eastAsiaTheme="minorEastAsia"/>
          <w:sz w:val="32"/>
          <w:szCs w:val="32"/>
        </w:rPr>
        <w:t>万元，减少</w:t>
      </w:r>
      <w:r>
        <w:rPr>
          <w:rFonts w:hint="eastAsia" w:asciiTheme="minorEastAsia" w:hAnsiTheme="minorEastAsia"/>
          <w:sz w:val="32"/>
          <w:szCs w:val="32"/>
          <w:lang w:val="en-US" w:eastAsia="zh-CN"/>
        </w:rPr>
        <w:t>25</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cstheme="minorEastAsia"/>
          <w:sz w:val="32"/>
          <w:szCs w:val="32"/>
        </w:rPr>
        <w:t>公务用车运行费方面管理规范，公务用车必须开公务车派车单才能出行，车辆加油由办公室统一规范管理。</w:t>
      </w:r>
    </w:p>
    <w:p>
      <w:pPr>
        <w:pStyle w:val="18"/>
        <w:keepNext w:val="0"/>
        <w:keepLines w:val="0"/>
        <w:pageBreakBefore w:val="0"/>
        <w:kinsoku/>
        <w:wordWrap/>
        <w:overflowPunct/>
        <w:topLinePunct w:val="0"/>
        <w:bidi w:val="0"/>
        <w:snapToGrid/>
        <w:ind w:firstLine="634" w:firstLineChars="20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8"/>
        <w:keepNext w:val="0"/>
        <w:keepLines w:val="0"/>
        <w:pageBreakBefore w:val="0"/>
        <w:kinsoku/>
        <w:wordWrap/>
        <w:overflowPunct/>
        <w:topLinePunct w:val="0"/>
        <w:bidi w:val="0"/>
        <w:snapToGrid/>
        <w:ind w:firstLine="634"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2019年度“三公”经费财政拨款支出决算中，公务接待费支出决算</w:t>
      </w:r>
      <w:r>
        <w:rPr>
          <w:rFonts w:hint="eastAsia" w:asciiTheme="minorEastAsia" w:hAnsiTheme="minorEastAsia" w:eastAsiaTheme="minorEastAsia"/>
          <w:sz w:val="32"/>
          <w:szCs w:val="32"/>
          <w:lang w:val="en-US" w:eastAsia="zh-CN"/>
        </w:rPr>
        <w:t>11.2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139.1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89</w:t>
      </w:r>
      <w:r>
        <w:rPr>
          <w:rFonts w:hint="eastAsia" w:asciiTheme="minorEastAsia" w:hAnsiTheme="minorEastAsia" w:eastAsiaTheme="minorEastAsia"/>
          <w:sz w:val="32"/>
          <w:szCs w:val="32"/>
        </w:rPr>
        <w:t>%。其中：</w:t>
      </w:r>
    </w:p>
    <w:p>
      <w:pPr>
        <w:pStyle w:val="18"/>
        <w:keepNext w:val="0"/>
        <w:keepLines w:val="0"/>
        <w:pageBreakBefore w:val="0"/>
        <w:kinsoku/>
        <w:wordWrap/>
        <w:overflowPunct/>
        <w:topLinePunct w:val="0"/>
        <w:bidi w:val="0"/>
        <w:snapToGrid/>
        <w:ind w:firstLine="634" w:firstLineChars="200"/>
        <w:textAlignment w:val="auto"/>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6.5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全年安排因公出国（境）团组</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人次,开支内容包括：</w:t>
      </w:r>
    </w:p>
    <w:p>
      <w:pPr>
        <w:pStyle w:val="18"/>
        <w:keepNext w:val="0"/>
        <w:keepLines w:val="0"/>
        <w:pageBreakBefore w:val="0"/>
        <w:kinsoku/>
        <w:wordWrap/>
        <w:overflowPunct/>
        <w:topLinePunct w:val="0"/>
        <w:bidi w:val="0"/>
        <w:snapToGrid/>
        <w:ind w:firstLine="634"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前往德国等地考察垃圾焚烧发电项目</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6.5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8"/>
        <w:keepNext w:val="0"/>
        <w:keepLines w:val="0"/>
        <w:pageBreakBefore w:val="0"/>
        <w:kinsoku/>
        <w:wordWrap/>
        <w:overflowPunct/>
        <w:topLinePunct w:val="0"/>
        <w:bidi w:val="0"/>
        <w:snapToGrid/>
        <w:ind w:firstLine="634"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11.2</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1705</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同行业学习考察调研</w:t>
      </w:r>
      <w:r>
        <w:rPr>
          <w:rFonts w:hint="eastAsia" w:asciiTheme="minorEastAsia" w:hAnsiTheme="minorEastAsia" w:eastAsiaTheme="minorEastAsia"/>
          <w:sz w:val="32"/>
          <w:szCs w:val="32"/>
        </w:rPr>
        <w:t>发生的接待支出。</w:t>
      </w:r>
    </w:p>
    <w:p>
      <w:pPr>
        <w:keepNext w:val="0"/>
        <w:keepLines w:val="0"/>
        <w:pageBreakBefore w:val="0"/>
        <w:kinsoku/>
        <w:wordWrap/>
        <w:overflowPunct/>
        <w:topLinePunct w:val="0"/>
        <w:bidi w:val="0"/>
        <w:snapToGrid/>
        <w:ind w:firstLine="634" w:firstLineChars="200"/>
        <w:textAlignment w:val="auto"/>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139.1</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139.1</w:t>
      </w:r>
      <w:r>
        <w:rPr>
          <w:rFonts w:hint="eastAsia" w:asciiTheme="minorEastAsia" w:hAnsiTheme="minorEastAsia"/>
          <w:sz w:val="32"/>
          <w:szCs w:val="32"/>
        </w:rPr>
        <w:t>万元，主要是</w:t>
      </w:r>
      <w:r>
        <w:rPr>
          <w:rFonts w:hint="eastAsia" w:asciiTheme="minorEastAsia" w:hAnsiTheme="minorEastAsia"/>
          <w:sz w:val="32"/>
          <w:szCs w:val="32"/>
          <w:lang w:eastAsia="zh-CN"/>
        </w:rPr>
        <w:t>车辆油料费、维修费、保险费及年检费用等</w:t>
      </w:r>
      <w:r>
        <w:rPr>
          <w:rFonts w:hint="eastAsia" w:asciiTheme="minorEastAsia" w:hAnsiTheme="minorEastAsia"/>
          <w:sz w:val="32"/>
          <w:szCs w:val="32"/>
        </w:rPr>
        <w:t>支出，截止2019年12月31日，我单位开支财政拨款的公务用车保有量为</w:t>
      </w:r>
      <w:r>
        <w:rPr>
          <w:rFonts w:hint="eastAsia" w:asciiTheme="minorEastAsia" w:hAnsiTheme="minorEastAsia"/>
          <w:sz w:val="32"/>
          <w:szCs w:val="32"/>
          <w:lang w:val="en-US" w:eastAsia="zh-CN"/>
        </w:rPr>
        <w:t>72</w:t>
      </w:r>
      <w:r>
        <w:rPr>
          <w:rFonts w:hint="eastAsia" w:asciiTheme="minorEastAsia" w:hAnsiTheme="minorEastAsia"/>
          <w:sz w:val="32"/>
          <w:szCs w:val="32"/>
        </w:rPr>
        <w:t>辆。</w:t>
      </w:r>
    </w:p>
    <w:p>
      <w:pPr>
        <w:pStyle w:val="18"/>
        <w:keepNext w:val="0"/>
        <w:keepLines w:val="0"/>
        <w:pageBreakBefore w:val="0"/>
        <w:kinsoku/>
        <w:wordWrap/>
        <w:overflowPunct/>
        <w:topLinePunct w:val="0"/>
        <w:bidi w:val="0"/>
        <w:snapToGrid/>
        <w:ind w:firstLine="634" w:firstLineChars="200"/>
        <w:textAlignment w:val="auto"/>
        <w:rPr>
          <w:rFonts w:hAnsi="黑体"/>
          <w:b/>
          <w:sz w:val="32"/>
          <w:szCs w:val="32"/>
        </w:rPr>
      </w:pPr>
      <w:r>
        <w:rPr>
          <w:rFonts w:hint="eastAsia" w:hAnsi="黑体"/>
          <w:b/>
          <w:sz w:val="32"/>
          <w:szCs w:val="32"/>
        </w:rPr>
        <w:t>八、政府性基金预算收入支出决算情况</w:t>
      </w:r>
    </w:p>
    <w:p>
      <w:pPr>
        <w:pStyle w:val="18"/>
        <w:keepNext w:val="0"/>
        <w:keepLines w:val="0"/>
        <w:pageBreakBefore w:val="0"/>
        <w:kinsoku/>
        <w:wordWrap/>
        <w:overflowPunct/>
        <w:topLinePunct w:val="0"/>
        <w:bidi w:val="0"/>
        <w:snapToGrid/>
        <w:ind w:firstLine="634" w:firstLineChars="200"/>
        <w:textAlignment w:val="auto"/>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2019年度政府性基金预算财政拨款收入</w:t>
      </w: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8"/>
        <w:keepNext w:val="0"/>
        <w:keepLines w:val="0"/>
        <w:pageBreakBefore w:val="0"/>
        <w:kinsoku/>
        <w:wordWrap/>
        <w:overflowPunct/>
        <w:topLinePunct w:val="0"/>
        <w:bidi w:val="0"/>
        <w:snapToGrid/>
        <w:ind w:firstLine="634" w:firstLineChars="200"/>
        <w:textAlignment w:val="auto"/>
        <w:rPr>
          <w:rFonts w:hAnsi="黑体"/>
          <w:b/>
          <w:sz w:val="32"/>
          <w:szCs w:val="32"/>
        </w:rPr>
      </w:pPr>
      <w:r>
        <w:rPr>
          <w:rFonts w:hint="eastAsia" w:hAnsi="黑体"/>
          <w:b/>
          <w:sz w:val="32"/>
          <w:szCs w:val="32"/>
        </w:rPr>
        <w:t>九、关于2019年度预算绩效情况说明</w:t>
      </w:r>
    </w:p>
    <w:p>
      <w:pPr>
        <w:keepNext w:val="0"/>
        <w:keepLines w:val="0"/>
        <w:pageBreakBefore w:val="0"/>
        <w:widowControl/>
        <w:kinsoku/>
        <w:wordWrap/>
        <w:overflowPunct/>
        <w:topLinePunct w:val="0"/>
        <w:autoSpaceDE/>
        <w:autoSpaceDN/>
        <w:bidi w:val="0"/>
        <w:adjustRightInd/>
        <w:snapToGrid/>
        <w:spacing w:line="240" w:lineRule="auto"/>
        <w:ind w:firstLine="634"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按照岳阳市财政局《关于全面开展2019年财政支出绩效自评工作的通知》（岳财发[2019]11号）、《关于全面开展2019年度财政资金绩效运行跟踪监控的通知》（岳财发〔2019〕20号）等文件要求，相继完成了绩效自评、绩效监控和绩效目标申报工作。其中预算绩效目标（包括整体支出绩效目标和专项支出绩效目标）已经市财政局组织的第三方审核通过，绩效自评报告等已在市城管局网站上公示。</w:t>
      </w:r>
    </w:p>
    <w:p>
      <w:pPr>
        <w:pStyle w:val="18"/>
        <w:keepNext w:val="0"/>
        <w:keepLines w:val="0"/>
        <w:pageBreakBefore w:val="0"/>
        <w:kinsoku/>
        <w:wordWrap/>
        <w:overflowPunct/>
        <w:topLinePunct w:val="0"/>
        <w:bidi w:val="0"/>
        <w:snapToGrid/>
        <w:ind w:firstLine="634" w:firstLineChars="200"/>
        <w:textAlignment w:val="auto"/>
        <w:rPr>
          <w:rFonts w:hAnsi="黑体"/>
          <w:b/>
          <w:sz w:val="32"/>
          <w:szCs w:val="32"/>
        </w:rPr>
      </w:pPr>
      <w:r>
        <w:rPr>
          <w:rFonts w:hint="eastAsia" w:hAnsi="黑体"/>
          <w:b/>
          <w:sz w:val="32"/>
          <w:szCs w:val="32"/>
        </w:rPr>
        <w:t>十、其他重要事项情况说明</w:t>
      </w:r>
    </w:p>
    <w:p>
      <w:pPr>
        <w:keepNext w:val="0"/>
        <w:keepLines w:val="0"/>
        <w:pageBreakBefore w:val="0"/>
        <w:kinsoku/>
        <w:wordWrap/>
        <w:overflowPunct/>
        <w:topLinePunct w:val="0"/>
        <w:bidi w:val="0"/>
        <w:snapToGrid/>
        <w:ind w:firstLine="634" w:firstLineChars="200"/>
        <w:textAlignment w:val="auto"/>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（一）机关运行经费支出情况</w:t>
      </w:r>
    </w:p>
    <w:p>
      <w:pPr>
        <w:keepNext w:val="0"/>
        <w:keepLines w:val="0"/>
        <w:pageBreakBefore w:val="0"/>
        <w:widowControl/>
        <w:kinsoku/>
        <w:wordWrap/>
        <w:overflowPunct/>
        <w:topLinePunct w:val="0"/>
        <w:autoSpaceDE/>
        <w:autoSpaceDN/>
        <w:bidi w:val="0"/>
        <w:adjustRightInd/>
        <w:snapToGrid/>
        <w:spacing w:line="240" w:lineRule="auto"/>
        <w:ind w:firstLine="634" w:firstLineChars="200"/>
        <w:textAlignment w:val="auto"/>
        <w:rPr>
          <w:rFonts w:hint="eastAsia" w:ascii="宋体" w:hAnsi="宋体" w:eastAsia="宋体" w:cs="宋体"/>
          <w:kern w:val="0"/>
          <w:sz w:val="32"/>
          <w:szCs w:val="32"/>
        </w:rPr>
      </w:pPr>
      <w:r>
        <w:rPr>
          <w:rFonts w:hint="eastAsia" w:cs="黑体" w:asciiTheme="minorEastAsia" w:hAnsiTheme="minorEastAsia"/>
          <w:color w:val="000000"/>
          <w:kern w:val="0"/>
          <w:sz w:val="32"/>
          <w:szCs w:val="32"/>
        </w:rPr>
        <w:t>2019 年度</w:t>
      </w:r>
      <w:r>
        <w:rPr>
          <w:rFonts w:hint="eastAsia" w:ascii="宋体" w:hAnsi="宋体" w:eastAsia="宋体" w:cs="宋体"/>
          <w:kern w:val="0"/>
          <w:sz w:val="32"/>
          <w:szCs w:val="32"/>
        </w:rPr>
        <w:t>市城市管理和</w:t>
      </w:r>
      <w:r>
        <w:rPr>
          <w:rFonts w:hint="eastAsia" w:ascii="宋体" w:hAnsi="宋体" w:eastAsia="宋体" w:cs="宋体"/>
          <w:kern w:val="0"/>
          <w:sz w:val="32"/>
          <w:szCs w:val="32"/>
          <w:lang w:eastAsia="zh-CN"/>
        </w:rPr>
        <w:t>综合</w:t>
      </w:r>
      <w:r>
        <w:rPr>
          <w:rFonts w:hint="eastAsia" w:ascii="宋体" w:hAnsi="宋体" w:eastAsia="宋体" w:cs="宋体"/>
          <w:kern w:val="0"/>
          <w:sz w:val="32"/>
          <w:szCs w:val="32"/>
        </w:rPr>
        <w:t>执法局机关</w:t>
      </w:r>
      <w:r>
        <w:rPr>
          <w:rFonts w:hint="eastAsia" w:ascii="宋体" w:hAnsi="宋体" w:eastAsia="宋体" w:cs="宋体"/>
          <w:kern w:val="0"/>
          <w:sz w:val="32"/>
          <w:szCs w:val="32"/>
          <w:lang w:eastAsia="zh-CN"/>
        </w:rPr>
        <w:t>行政</w:t>
      </w:r>
      <w:r>
        <w:rPr>
          <w:rFonts w:hint="eastAsia" w:cs="黑体" w:asciiTheme="minorEastAsia" w:hAnsiTheme="minorEastAsia"/>
          <w:color w:val="000000"/>
          <w:kern w:val="0"/>
          <w:sz w:val="32"/>
          <w:szCs w:val="32"/>
        </w:rPr>
        <w:t>运行经费支出</w:t>
      </w:r>
      <w:r>
        <w:rPr>
          <w:rFonts w:hint="eastAsia" w:cs="黑体" w:asciiTheme="minorEastAsia" w:hAnsiTheme="minorEastAsia"/>
          <w:color w:val="000000"/>
          <w:kern w:val="0"/>
          <w:sz w:val="32"/>
          <w:szCs w:val="32"/>
          <w:lang w:val="en-US" w:eastAsia="zh-CN"/>
        </w:rPr>
        <w:t>998.6</w:t>
      </w:r>
      <w:r>
        <w:rPr>
          <w:rFonts w:hint="eastAsia" w:cs="黑体" w:asciiTheme="minorEastAsia" w:hAnsiTheme="minorEastAsia"/>
          <w:color w:val="000000"/>
          <w:kern w:val="0"/>
          <w:sz w:val="32"/>
          <w:szCs w:val="32"/>
        </w:rPr>
        <w:t>万元</w:t>
      </w:r>
      <w:r>
        <w:rPr>
          <w:rFonts w:hint="eastAsia" w:cs="黑体" w:asciiTheme="minorEastAsia" w:hAnsiTheme="minorEastAsia"/>
          <w:i/>
          <w:color w:val="FF0000"/>
          <w:kern w:val="0"/>
          <w:sz w:val="32"/>
          <w:szCs w:val="32"/>
          <w:lang w:eastAsia="zh-CN"/>
        </w:rPr>
        <w:t>，</w:t>
      </w:r>
      <w:r>
        <w:rPr>
          <w:rFonts w:hint="eastAsia" w:cs="黑体" w:asciiTheme="minorEastAsia" w:hAnsiTheme="minorEastAsia"/>
          <w:color w:val="000000"/>
          <w:kern w:val="0"/>
          <w:sz w:val="32"/>
          <w:szCs w:val="32"/>
        </w:rPr>
        <w:t>比</w:t>
      </w:r>
      <w:r>
        <w:rPr>
          <w:rFonts w:hint="eastAsia" w:cs="黑体" w:asciiTheme="minorEastAsia" w:hAnsiTheme="minorEastAsia"/>
          <w:color w:val="000000"/>
          <w:kern w:val="0"/>
          <w:sz w:val="32"/>
          <w:szCs w:val="32"/>
          <w:lang w:val="en-US" w:eastAsia="zh-CN"/>
        </w:rPr>
        <w:t>2018年度</w:t>
      </w:r>
      <w:r>
        <w:rPr>
          <w:rFonts w:hint="eastAsia" w:cs="黑体" w:asciiTheme="minorEastAsia" w:hAnsiTheme="minorEastAsia"/>
          <w:color w:val="000000"/>
          <w:kern w:val="0"/>
          <w:sz w:val="32"/>
          <w:szCs w:val="32"/>
        </w:rPr>
        <w:t>增加</w:t>
      </w:r>
      <w:r>
        <w:rPr>
          <w:rFonts w:hint="eastAsia" w:cs="黑体" w:asciiTheme="minorEastAsia" w:hAnsiTheme="minorEastAsia"/>
          <w:color w:val="000000"/>
          <w:kern w:val="0"/>
          <w:sz w:val="32"/>
          <w:szCs w:val="32"/>
          <w:lang w:val="en-US" w:eastAsia="zh-CN"/>
        </w:rPr>
        <w:t>49.3</w:t>
      </w:r>
      <w:r>
        <w:rPr>
          <w:rFonts w:hint="eastAsia" w:cs="黑体" w:asciiTheme="minorEastAsia" w:hAnsiTheme="minorEastAsia"/>
          <w:color w:val="000000"/>
          <w:kern w:val="0"/>
          <w:sz w:val="32"/>
          <w:szCs w:val="32"/>
        </w:rPr>
        <w:t>万元，增长</w:t>
      </w:r>
      <w:r>
        <w:rPr>
          <w:rFonts w:hint="eastAsia" w:cs="黑体" w:asciiTheme="minorEastAsia" w:hAnsiTheme="minorEastAsia"/>
          <w:color w:val="000000"/>
          <w:kern w:val="0"/>
          <w:sz w:val="32"/>
          <w:szCs w:val="32"/>
          <w:lang w:val="en-US" w:eastAsia="zh-CN"/>
        </w:rPr>
        <w:t>5</w:t>
      </w:r>
      <w:r>
        <w:rPr>
          <w:rFonts w:hint="eastAsia" w:cs="黑体" w:asciiTheme="minorEastAsia" w:hAnsiTheme="minorEastAsia"/>
          <w:color w:val="000000"/>
          <w:kern w:val="0"/>
          <w:sz w:val="32"/>
          <w:szCs w:val="32"/>
        </w:rPr>
        <w:t>%。主要原因是：</w:t>
      </w:r>
      <w:r>
        <w:rPr>
          <w:rFonts w:hint="eastAsia" w:cs="黑体" w:asciiTheme="minorEastAsia" w:hAnsiTheme="minorEastAsia"/>
          <w:color w:val="000000"/>
          <w:kern w:val="0"/>
          <w:sz w:val="32"/>
          <w:szCs w:val="32"/>
          <w:lang w:val="en-US" w:eastAsia="zh-CN"/>
        </w:rPr>
        <w:t>2019年度机关工作人员46人比上年度增加5人以及</w:t>
      </w:r>
      <w:r>
        <w:rPr>
          <w:rFonts w:hint="eastAsia" w:ascii="宋体" w:hAnsi="宋体" w:eastAsia="宋体" w:cs="宋体"/>
          <w:kern w:val="0"/>
          <w:sz w:val="32"/>
          <w:szCs w:val="32"/>
        </w:rPr>
        <w:t>工资调标及</w:t>
      </w:r>
      <w:r>
        <w:rPr>
          <w:rFonts w:hint="eastAsia" w:ascii="宋体" w:hAnsi="宋体" w:eastAsia="宋体" w:cs="宋体"/>
          <w:kern w:val="0"/>
          <w:sz w:val="32"/>
          <w:szCs w:val="32"/>
          <w:lang w:eastAsia="zh-CN"/>
        </w:rPr>
        <w:t>相应</w:t>
      </w:r>
      <w:r>
        <w:rPr>
          <w:rFonts w:hint="eastAsia" w:ascii="宋体" w:hAnsi="宋体" w:eastAsia="宋体" w:cs="宋体"/>
          <w:kern w:val="0"/>
          <w:sz w:val="32"/>
          <w:szCs w:val="32"/>
        </w:rPr>
        <w:t>职工保障缴费增加。</w:t>
      </w:r>
    </w:p>
    <w:p>
      <w:pPr>
        <w:keepNext w:val="0"/>
        <w:keepLines w:val="0"/>
        <w:pageBreakBefore w:val="0"/>
        <w:kinsoku/>
        <w:wordWrap/>
        <w:overflowPunct/>
        <w:topLinePunct w:val="0"/>
        <w:bidi w:val="0"/>
        <w:snapToGrid/>
        <w:ind w:firstLine="634" w:firstLineChars="200"/>
        <w:textAlignment w:val="auto"/>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（二）一般性支出情况</w:t>
      </w:r>
    </w:p>
    <w:p>
      <w:pPr>
        <w:keepNext w:val="0"/>
        <w:keepLines w:val="0"/>
        <w:pageBreakBefore w:val="0"/>
        <w:kinsoku/>
        <w:wordWrap/>
        <w:overflowPunct/>
        <w:topLinePunct w:val="0"/>
        <w:bidi w:val="0"/>
        <w:snapToGrid/>
        <w:ind w:firstLine="634" w:firstLineChars="200"/>
        <w:textAlignment w:val="auto"/>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2019年本部门开支会议费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w:t>
      </w:r>
    </w:p>
    <w:p>
      <w:pPr>
        <w:keepNext w:val="0"/>
        <w:keepLines w:val="0"/>
        <w:pageBreakBefore w:val="0"/>
        <w:kinsoku/>
        <w:wordWrap/>
        <w:overflowPunct/>
        <w:topLinePunct w:val="0"/>
        <w:bidi w:val="0"/>
        <w:snapToGrid/>
        <w:ind w:firstLine="634" w:firstLineChars="200"/>
        <w:textAlignment w:val="auto"/>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（三）政府采购支出情况</w:t>
      </w:r>
    </w:p>
    <w:p>
      <w:pPr>
        <w:keepNext w:val="0"/>
        <w:keepLines w:val="0"/>
        <w:pageBreakBefore w:val="0"/>
        <w:kinsoku/>
        <w:wordWrap/>
        <w:overflowPunct/>
        <w:topLinePunct w:val="0"/>
        <w:bidi w:val="0"/>
        <w:snapToGrid/>
        <w:ind w:firstLine="634" w:firstLineChars="200"/>
        <w:textAlignment w:val="auto"/>
        <w:rPr>
          <w:rFonts w:hint="default" w:cs="黑体" w:asciiTheme="minorEastAsia" w:hAnsiTheme="minorEastAsia" w:eastAsiaTheme="minorEastAsia"/>
          <w:i/>
          <w:color w:val="FF0000"/>
          <w:kern w:val="0"/>
          <w:sz w:val="32"/>
          <w:szCs w:val="32"/>
          <w:lang w:val="en-US" w:eastAsia="zh-CN"/>
        </w:rPr>
      </w:pPr>
      <w:r>
        <w:rPr>
          <w:rFonts w:hint="eastAsia" w:cs="黑体" w:asciiTheme="minorEastAsia" w:hAnsiTheme="minorEastAsia"/>
          <w:color w:val="000000"/>
          <w:kern w:val="0"/>
          <w:sz w:val="32"/>
          <w:szCs w:val="32"/>
        </w:rPr>
        <w:t>本部门2019年度政府采购支出总额</w:t>
      </w:r>
      <w:r>
        <w:rPr>
          <w:rFonts w:hint="eastAsia" w:cs="黑体" w:asciiTheme="minorEastAsia" w:hAnsiTheme="minorEastAsia"/>
          <w:color w:val="000000"/>
          <w:kern w:val="0"/>
          <w:sz w:val="32"/>
          <w:szCs w:val="32"/>
          <w:lang w:val="en-US" w:eastAsia="zh-CN"/>
        </w:rPr>
        <w:t>1182.92</w:t>
      </w:r>
      <w:r>
        <w:rPr>
          <w:rFonts w:hint="eastAsia" w:cs="黑体" w:asciiTheme="minorEastAsia" w:hAnsiTheme="minorEastAsia"/>
          <w:color w:val="000000"/>
          <w:kern w:val="0"/>
          <w:sz w:val="32"/>
          <w:szCs w:val="32"/>
        </w:rPr>
        <w:t>万元，其中：政府采购货物支出</w:t>
      </w:r>
      <w:r>
        <w:rPr>
          <w:rFonts w:hint="eastAsia" w:cs="黑体" w:asciiTheme="minorEastAsia" w:hAnsiTheme="minorEastAsia"/>
          <w:color w:val="000000"/>
          <w:kern w:val="0"/>
          <w:sz w:val="32"/>
          <w:szCs w:val="32"/>
          <w:lang w:val="en-US" w:eastAsia="zh-CN"/>
        </w:rPr>
        <w:t>175.96</w:t>
      </w:r>
      <w:r>
        <w:rPr>
          <w:rFonts w:hint="eastAsia" w:cs="黑体" w:asciiTheme="minorEastAsia" w:hAnsiTheme="minorEastAsia"/>
          <w:color w:val="000000"/>
          <w:kern w:val="0"/>
          <w:sz w:val="32"/>
          <w:szCs w:val="32"/>
        </w:rPr>
        <w:t>万元、政府采购工程支出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万元、政府采购服务支出</w:t>
      </w:r>
      <w:r>
        <w:rPr>
          <w:rFonts w:hint="eastAsia" w:cs="黑体" w:asciiTheme="minorEastAsia" w:hAnsiTheme="minorEastAsia"/>
          <w:color w:val="000000"/>
          <w:kern w:val="0"/>
          <w:sz w:val="32"/>
          <w:szCs w:val="32"/>
          <w:lang w:val="en-US" w:eastAsia="zh-CN"/>
        </w:rPr>
        <w:t>1006.96</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授予中小企业合同金额</w:t>
      </w:r>
      <w:r>
        <w:rPr>
          <w:rFonts w:hint="eastAsia" w:cs="黑体" w:asciiTheme="minorEastAsia" w:hAnsiTheme="minorEastAsia"/>
          <w:color w:val="000000"/>
          <w:kern w:val="0"/>
          <w:sz w:val="32"/>
          <w:szCs w:val="32"/>
          <w:lang w:val="en-US" w:eastAsia="zh-CN"/>
        </w:rPr>
        <w:t>1182.92万元，占政府采购支出总额的100%。</w:t>
      </w:r>
    </w:p>
    <w:p>
      <w:pPr>
        <w:keepNext w:val="0"/>
        <w:keepLines w:val="0"/>
        <w:pageBreakBefore w:val="0"/>
        <w:kinsoku/>
        <w:wordWrap/>
        <w:overflowPunct/>
        <w:topLinePunct w:val="0"/>
        <w:bidi w:val="0"/>
        <w:snapToGrid/>
        <w:ind w:firstLine="634" w:firstLineChars="200"/>
        <w:textAlignment w:val="auto"/>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（四）国有资产占用情况</w:t>
      </w:r>
    </w:p>
    <w:p>
      <w:pPr>
        <w:keepNext w:val="0"/>
        <w:keepLines w:val="0"/>
        <w:pageBreakBefore w:val="0"/>
        <w:kinsoku/>
        <w:wordWrap/>
        <w:overflowPunct/>
        <w:topLinePunct w:val="0"/>
        <w:bidi w:val="0"/>
        <w:snapToGrid/>
        <w:ind w:firstLine="634" w:firstLineChars="200"/>
        <w:textAlignment w:val="auto"/>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截至2019年12月31日，本单位共有车辆</w:t>
      </w:r>
      <w:r>
        <w:rPr>
          <w:rFonts w:hint="eastAsia" w:cs="黑体" w:asciiTheme="minorEastAsia" w:hAnsiTheme="minorEastAsia"/>
          <w:color w:val="000000"/>
          <w:kern w:val="0"/>
          <w:sz w:val="32"/>
          <w:szCs w:val="32"/>
          <w:lang w:val="en-US" w:eastAsia="zh-CN"/>
        </w:rPr>
        <w:t>286</w:t>
      </w:r>
      <w:r>
        <w:rPr>
          <w:rFonts w:hint="eastAsia" w:cs="黑体" w:asciiTheme="minorEastAsia" w:hAnsiTheme="minorEastAsia"/>
          <w:color w:val="000000"/>
          <w:kern w:val="0"/>
          <w:sz w:val="32"/>
          <w:szCs w:val="32"/>
        </w:rPr>
        <w:t>辆，其中，</w:t>
      </w:r>
      <w:r>
        <w:rPr>
          <w:rFonts w:hint="eastAsia" w:cs="黑体" w:asciiTheme="minorEastAsia" w:hAnsiTheme="minorEastAsia"/>
          <w:color w:val="000000"/>
          <w:kern w:val="0"/>
          <w:sz w:val="32"/>
          <w:szCs w:val="32"/>
          <w:lang w:eastAsia="zh-CN"/>
        </w:rPr>
        <w:t>一般公务</w:t>
      </w:r>
      <w:r>
        <w:rPr>
          <w:rFonts w:hint="eastAsia" w:cs="黑体" w:asciiTheme="minorEastAsia" w:hAnsiTheme="minorEastAsia"/>
          <w:color w:val="000000"/>
          <w:kern w:val="0"/>
          <w:sz w:val="32"/>
          <w:szCs w:val="32"/>
        </w:rPr>
        <w:t>用车</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辆、机要通信用车</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辆、应急保障用车</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辆、执法执勤用车</w:t>
      </w:r>
      <w:r>
        <w:rPr>
          <w:rFonts w:hint="eastAsia" w:cs="黑体" w:asciiTheme="minorEastAsia" w:hAnsiTheme="minorEastAsia"/>
          <w:color w:val="000000"/>
          <w:kern w:val="0"/>
          <w:sz w:val="32"/>
          <w:szCs w:val="32"/>
          <w:lang w:val="en-US" w:eastAsia="zh-CN"/>
        </w:rPr>
        <w:t>19</w:t>
      </w:r>
      <w:r>
        <w:rPr>
          <w:rFonts w:hint="eastAsia" w:cs="黑体" w:asciiTheme="minorEastAsia" w:hAnsiTheme="minorEastAsia"/>
          <w:color w:val="000000"/>
          <w:kern w:val="0"/>
          <w:sz w:val="32"/>
          <w:szCs w:val="32"/>
        </w:rPr>
        <w:t>辆、特种专业技术用车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辆、其他用车</w:t>
      </w:r>
      <w:r>
        <w:rPr>
          <w:rFonts w:hint="eastAsia" w:cs="黑体" w:asciiTheme="minorEastAsia" w:hAnsiTheme="minorEastAsia"/>
          <w:color w:val="000000"/>
          <w:kern w:val="0"/>
          <w:sz w:val="32"/>
          <w:szCs w:val="32"/>
          <w:lang w:val="en-US" w:eastAsia="zh-CN"/>
        </w:rPr>
        <w:t>261</w:t>
      </w:r>
      <w:r>
        <w:rPr>
          <w:rFonts w:hint="eastAsia" w:cs="黑体" w:asciiTheme="minorEastAsia" w:hAnsiTheme="minorEastAsia"/>
          <w:color w:val="000000"/>
          <w:kern w:val="0"/>
          <w:sz w:val="32"/>
          <w:szCs w:val="32"/>
        </w:rPr>
        <w:t>辆，其他用车主要是</w:t>
      </w:r>
      <w:r>
        <w:rPr>
          <w:rFonts w:hint="eastAsia" w:cs="黑体" w:asciiTheme="minorEastAsia" w:hAnsiTheme="minorEastAsia"/>
          <w:color w:val="000000"/>
          <w:kern w:val="0"/>
          <w:sz w:val="32"/>
          <w:szCs w:val="32"/>
          <w:lang w:eastAsia="zh-CN"/>
        </w:rPr>
        <w:t>垃圾清运车及工程施工车等</w:t>
      </w:r>
      <w:r>
        <w:rPr>
          <w:rFonts w:hint="eastAsia" w:cs="黑体" w:asciiTheme="minorEastAsia" w:hAnsiTheme="minorEastAsia"/>
          <w:color w:val="000000"/>
          <w:kern w:val="0"/>
          <w:sz w:val="32"/>
          <w:szCs w:val="32"/>
        </w:rPr>
        <w:t>；单位价值50万元以上通用设备</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台（套）；单位价值100万元以上专用设备</w:t>
      </w:r>
      <w:r>
        <w:rPr>
          <w:rFonts w:hint="eastAsia" w:cs="黑体" w:asciiTheme="minorEastAsia" w:hAnsiTheme="minorEastAsia"/>
          <w:color w:val="000000"/>
          <w:kern w:val="0"/>
          <w:sz w:val="32"/>
          <w:szCs w:val="32"/>
          <w:lang w:val="en-US" w:eastAsia="zh-CN"/>
        </w:rPr>
        <w:t>5</w:t>
      </w:r>
      <w:r>
        <w:rPr>
          <w:rFonts w:hint="eastAsia" w:cs="黑体" w:asciiTheme="minorEastAsia" w:hAnsiTheme="minorEastAsia"/>
          <w:color w:val="000000"/>
          <w:kern w:val="0"/>
          <w:sz w:val="32"/>
          <w:szCs w:val="32"/>
        </w:rPr>
        <w:t xml:space="preserve">台（套）。     </w:t>
      </w:r>
    </w:p>
    <w:p>
      <w:pPr>
        <w:keepNext w:val="0"/>
        <w:keepLines w:val="0"/>
        <w:pageBreakBefore w:val="0"/>
        <w:widowControl/>
        <w:kinsoku/>
        <w:wordWrap/>
        <w:overflowPunct/>
        <w:topLinePunct w:val="0"/>
        <w:bidi w:val="0"/>
        <w:snapToGrid/>
        <w:ind w:firstLine="634" w:firstLineChars="200"/>
        <w:jc w:val="left"/>
        <w:textAlignment w:val="auto"/>
        <w:rPr>
          <w:rFonts w:cs="黑体" w:asciiTheme="minorEastAsia" w:hAnsiTheme="minorEastAsia"/>
          <w:color w:val="000000"/>
          <w:kern w:val="0"/>
          <w:sz w:val="32"/>
          <w:szCs w:val="32"/>
        </w:rPr>
      </w:pPr>
      <w:r>
        <w:rPr>
          <w:rFonts w:cs="黑体" w:asciiTheme="minorEastAsia" w:hAnsiTheme="minorEastAsia"/>
          <w:color w:val="000000"/>
          <w:kern w:val="0"/>
          <w:sz w:val="32"/>
          <w:szCs w:val="32"/>
        </w:rPr>
        <w:br w:type="page"/>
      </w:r>
    </w:p>
    <w:p>
      <w:pPr>
        <w:ind w:firstLine="634" w:firstLineChars="200"/>
        <w:rPr>
          <w:rFonts w:cs="黑体" w:asciiTheme="minorEastAsia" w:hAnsiTheme="minorEastAsia"/>
          <w:color w:val="000000"/>
          <w:kern w:val="0"/>
          <w:sz w:val="32"/>
          <w:szCs w:val="32"/>
        </w:rPr>
      </w:pPr>
    </w:p>
    <w:p>
      <w:pPr>
        <w:pStyle w:val="18"/>
        <w:jc w:val="center"/>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34" w:firstLineChars="200"/>
        <w:jc w:val="left"/>
        <w:rPr>
          <w:rFonts w:cs="黑体" w:asciiTheme="minorEastAsia" w:hAnsiTheme="minorEastAsia"/>
          <w:color w:val="000000"/>
          <w:kern w:val="0"/>
          <w:sz w:val="32"/>
          <w:szCs w:val="32"/>
        </w:rPr>
      </w:pPr>
    </w:p>
    <w:tbl>
      <w:tblPr>
        <w:tblStyle w:val="7"/>
        <w:tblW w:w="4900" w:type="pct"/>
        <w:jc w:val="center"/>
        <w:tblCellSpacing w:w="0" w:type="dxa"/>
        <w:shd w:val="clear" w:color="auto" w:fill="auto"/>
        <w:tblLayout w:type="autofit"/>
        <w:tblCellMar>
          <w:top w:w="0" w:type="dxa"/>
          <w:left w:w="0" w:type="dxa"/>
          <w:bottom w:w="0" w:type="dxa"/>
          <w:right w:w="0" w:type="dxa"/>
        </w:tblCellMar>
      </w:tblPr>
      <w:tblGrid>
        <w:gridCol w:w="8555"/>
      </w:tblGrid>
      <w:tr>
        <w:tblPrEx>
          <w:shd w:val="clear" w:color="auto" w:fill="auto"/>
          <w:tblCellMar>
            <w:top w:w="0" w:type="dxa"/>
            <w:left w:w="0" w:type="dxa"/>
            <w:bottom w:w="0" w:type="dxa"/>
            <w:right w:w="0" w:type="dxa"/>
          </w:tblCellMar>
        </w:tblPrEx>
        <w:trPr>
          <w:trHeight w:val="750" w:hRule="atLeast"/>
          <w:tblCellSpacing w:w="0" w:type="dxa"/>
          <w:jc w:val="center"/>
        </w:trPr>
        <w:tc>
          <w:tcPr>
            <w:tcW w:w="0" w:type="auto"/>
            <w:shd w:val="clear" w:color="auto" w:fill="auto"/>
            <w:vAlign w:val="center"/>
          </w:tcPr>
          <w:tbl>
            <w:tblPr>
              <w:tblStyle w:val="7"/>
              <w:tblW w:w="4400" w:type="pct"/>
              <w:jc w:val="center"/>
              <w:tblCellSpacing w:w="0" w:type="dxa"/>
              <w:shd w:val="clear" w:color="auto" w:fill="auto"/>
              <w:tblLayout w:type="autofit"/>
              <w:tblCellMar>
                <w:top w:w="0" w:type="dxa"/>
                <w:left w:w="0" w:type="dxa"/>
                <w:bottom w:w="0" w:type="dxa"/>
                <w:right w:w="0" w:type="dxa"/>
              </w:tblCellMar>
            </w:tblPr>
            <w:tblGrid>
              <w:gridCol w:w="7528"/>
            </w:tblGrid>
            <w:tr>
              <w:tblPrEx>
                <w:shd w:val="clear" w:color="auto" w:fill="auto"/>
                <w:tblCellMar>
                  <w:top w:w="0" w:type="dxa"/>
                  <w:left w:w="0" w:type="dxa"/>
                  <w:bottom w:w="0" w:type="dxa"/>
                  <w:right w:w="0" w:type="dxa"/>
                </w:tblCellMar>
              </w:tblPrEx>
              <w:trPr>
                <w:tblCellSpacing w:w="0" w:type="dxa"/>
                <w:jc w:val="center"/>
              </w:trPr>
              <w:tc>
                <w:tcPr>
                  <w:tcW w:w="0" w:type="auto"/>
                  <w:shd w:val="clear" w:color="auto" w:fill="auto"/>
                  <w:vAlign w:val="center"/>
                </w:tcPr>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财政拨款收入：指本级财政当年拨付的资金。</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其他收入：指除上述“财政拨款收入”、“上级补助收入”、“事业收入”、“经营收入”、“附属单位上缴收入”等以外的收入。</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上年结转和结余：指以前年度尚未完成、结转到本年按有关规定继续使用的资金。</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年末结转和结余资金：指本年度或以前年度预算安排、因客观条件发生变化无法按原计划实施，需要延迟到以后年度按有关规定继续使用的资金。</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社会保障和就业支出（类）：是指用于社会保障和就业方面的出，包括保障机构正常运转、完成日常和特定的工作任务或事业发展目标的支出。归口管理的行政单位离退休，指离退休人员管理机构统一管理的机关离退休人员的经费。</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节能环保支出（类）：是指用于节能环保支出，包括保障机构正常运转、完成日常和特定的工作任务或事业发展目标的支出。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城乡社区支出（类）：是指用于城乡社区事务支出，包括保障机构正常运转、完成日常和特定的工作任务或事业发展目标的支出。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资源勘探信息等支出（类）：是指用于资源勘探、制造业、建筑业、工业信息等方面支出，包括保障机构正常运转、完成日常和特定的工作任务或事业发展目标的支出。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基本支出：指保障机构正常运转、完成支日常工作任务而发生的人员支出和公用支出。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项目支出：指在基本支出之外为完成特定行政任务和事业发展目标所发生的支出。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工资福利支出：反映单位开支的在职职工和编制外长期聘用人员的各类劳动报酬，以及为上述人员缴纳的各项社会保险费等。</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津贴补贴：反映经国家批准建立的机关事业单位艰苦边远地区津贴、机关工作人员地区附加津贴、机关工作人员岗位津贴、事业单位工作人员特殊岗位津贴补贴等。</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奖金：反映机关工作人员年终一次性奖金。</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其他社会保障缴费：反映单位为职工缴纳的基本医疗、失业、工伤、生育等社会保险费，残疾人就业保障金，军队（含武警）为军人缴纳的伤亡、退役医疗等社会保险费。</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伙食补助费：反映单位发给职工的伙食补助费，如误餐补助等。</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绩效工资：反映事业单位工作人员的绩效工资。</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机关事业单位基本养老保险缴费：反映机关事业单位缴纳的基本养老保险费。由单位代扣的工作人员基本养老保险缴费，不在此科目反映。</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职业年金缴费：反映机关事业单位实际缴纳的职业年金支出。由单位代扣的工作人员职业年金缴费，不在此科目反映。</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商品和服务支出：反映单位购买商品和服务的支出（不包括用于购置固定资产的支出、战略性和应急储备支出）。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办公费：反映单位购买按财务会计制度规定不符合固定资产确认标准的日常办公用品、书报杂志等支出。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印刷费：反映单位的印刷费支出。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咨询费：反映单位咨询方面的支出。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手续费：反映单位支付的各类手续费支出。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水费：反映单位支付的水费、污水处理费等支出。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电费：反映单位的电费支出。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邮电费：反映单位开支的信函、包裹、货物等物品的邮寄费及电话费、电报费、传真费、网络通讯费等。</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物业管理费：反映单位开支的办公用房以及未实行职工住宅物业服务改革的在职职工和离退休人员宿舍等的物业管理费，包括综合治理、绿化、卫生等方面的支出。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差旅费：反映单位工作人员出差发生的城市间交通费、住宿费、伙食补贴费和市内交通费。</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维修(护)费：反映单位日常开支的固定资产（不包括车船等交通工具）修理和维护费用，网络信息系统运行与维护费用，以及按规定提取的修购基金。</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租赁费：反映租赁办公用房、宿舍、专用通讯网以及其他设备等方面的费用。</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会议费：反映会议中按规定开支的住宿费、伙食费、会议室租金、交通费、文件印刷费、医药费等。</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培训费：反映除因公出国（境）培训费以外的各类培训支出。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公务接待费：反映单位按规定开支的各类公务接待（含外宾接待）费用。</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劳务费：反映支付给单位和个人的劳务费用，如临时聘用人员、钟点工工资，稿费、翻译费，评审费等。</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委托业务费：反映因委托外单位办理业务而支付的委托业务费。</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工会经费：反映单位按规定提取的工会经费。</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福利费：反映单位按规定提取的福利费。</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公务用车运行维护费：反映单位按规定保留的公务用车燃料费、维修费、过桥过路费、保险费、安全奖励费用等支出。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其他交通费用：反映单位除公务用车运行维护费以外的其他交通费用。如公务交通补贴，租车费用、出租车费用，飞机、船舶等的燃料费、维修费、保险费等。</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其他商品和服务支出：反映上述科目未包括的日常公用支出。如行政赔偿费和诉讼费、国内组织的会员费、来访费、广告宣传、其他劳务费及离休人员特需费、公用经费等。</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对个人和家庭的补助：反映政府用于对个人和家庭的补助支出。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离休费：反映行政事业单位和军队移交政府安置的离休人员的离休费、护理费和其他补贴。</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退休费：反映行政事业单位和军队移交政府安置的退休人员的退休费和其他补贴。</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抚恤金：反映按规定开支的烈士遗属、牺牲病故人员遗属的一次性和定期抚恤金，伤残人员的抚恤金，离退休人员等其他人员的各项抚恤金。</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奖励金：反映政府各部门的奖励支出，如对个体私营经济的奖励、计划生育目标责任奖励、独生子女父母奖励等。</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住房公积金：反映行政事业单位按人力资源和社会保障部、财政部规定的基本工资和津贴补贴以及规定比例为职工缴纳的住房公积金。</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提租补贴：反映按房改政策规定的标准，行政事业单位向职工（含离退休人员）发放的租金补贴。</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对企事业单位的补贴：反映政府对各类企业、事业单位及民间非营利组织的补贴。</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事业单位补贴：反映对事业单位的补贴支出。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办公设备购置：反映用于购置并按财务会计制度规定纳入固定资产核算范围的办公家具和办公设备的支出，以及按规定提取的修购基金。</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其他交通工具购置：反映单位除公务用车外的其他各类交通工具(如船舶、飞机等)购置支出（含车辆购置税）。</w:t>
                  </w:r>
                </w:p>
                <w:p>
                  <w:pPr>
                    <w:pStyle w:val="6"/>
                    <w:keepNext w:val="0"/>
                    <w:keepLines w:val="0"/>
                    <w:widowControl/>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其他资本性支出：反映著作权、商标权、专利权等无形资产购置支出，以及其他上述科目中未包括的资本性支出。如娱乐、文化和艺术原作的使用权、购买国内外影片播映权、购置图书等。</w:t>
                  </w:r>
                </w:p>
              </w:tc>
            </w:tr>
          </w:tbl>
          <w:p>
            <w:pPr>
              <w:keepNext w:val="0"/>
              <w:keepLines w:val="0"/>
              <w:suppressLineNumbers w:val="0"/>
              <w:spacing w:before="0" w:beforeAutospacing="0" w:after="0" w:afterAutospacing="0" w:line="33" w:lineRule="atLeast"/>
              <w:ind w:left="0" w:right="0" w:firstLine="420"/>
              <w:jc w:val="both"/>
              <w:rPr>
                <w:rFonts w:hint="eastAsia" w:asciiTheme="minorEastAsia" w:hAnsiTheme="minorEastAsia" w:eastAsiaTheme="minorEastAsia" w:cstheme="minorEastAsia"/>
                <w:sz w:val="32"/>
                <w:szCs w:val="32"/>
              </w:rPr>
            </w:pPr>
          </w:p>
        </w:tc>
      </w:tr>
      <w:tr>
        <w:tblPrEx>
          <w:tblCellMar>
            <w:top w:w="0" w:type="dxa"/>
            <w:left w:w="0" w:type="dxa"/>
            <w:bottom w:w="0" w:type="dxa"/>
            <w:right w:w="0" w:type="dxa"/>
          </w:tblCellMar>
        </w:tblPrEx>
        <w:trPr>
          <w:trHeight w:val="301" w:hRule="atLeast"/>
          <w:tblCellSpacing w:w="0" w:type="dxa"/>
          <w:jc w:val="center"/>
        </w:trPr>
        <w:tc>
          <w:tcPr>
            <w:tcW w:w="0" w:type="auto"/>
            <w:shd w:val="clear" w:color="auto" w:fill="auto"/>
            <w:vAlign w:val="center"/>
          </w:tcPr>
          <w:p>
            <w:pPr>
              <w:keepNext w:val="0"/>
              <w:keepLines w:val="0"/>
              <w:widowControl/>
              <w:suppressLineNumbers w:val="0"/>
              <w:spacing w:before="0" w:beforeAutospacing="0" w:after="0" w:afterAutospacing="0" w:line="300" w:lineRule="atLeast"/>
              <w:ind w:left="0" w:right="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lang w:val="en-US" w:eastAsia="zh-CN" w:bidi="ar"/>
              </w:rPr>
              <w:t> </w:t>
            </w:r>
          </w:p>
        </w:tc>
      </w:tr>
      <w:tr>
        <w:tblPrEx>
          <w:tblCellMar>
            <w:top w:w="0" w:type="dxa"/>
            <w:left w:w="0" w:type="dxa"/>
            <w:bottom w:w="0" w:type="dxa"/>
            <w:right w:w="0" w:type="dxa"/>
          </w:tblCellMar>
        </w:tblPrEx>
        <w:trPr>
          <w:trHeight w:val="301" w:hRule="atLeast"/>
          <w:tblCellSpacing w:w="0" w:type="dxa"/>
          <w:jc w:val="center"/>
        </w:trPr>
        <w:tc>
          <w:tcPr>
            <w:tcW w:w="0" w:type="auto"/>
            <w:shd w:val="clear" w:color="auto" w:fill="auto"/>
            <w:vAlign w:val="center"/>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CellMar>
            <w:top w:w="0" w:type="dxa"/>
            <w:left w:w="0" w:type="dxa"/>
            <w:bottom w:w="0" w:type="dxa"/>
            <w:right w:w="0" w:type="dxa"/>
          </w:tblCellMar>
        </w:tblPrEx>
        <w:trPr>
          <w:trHeight w:val="600" w:hRule="atLeast"/>
          <w:tblCellSpacing w:w="0" w:type="dxa"/>
          <w:jc w:val="center"/>
        </w:trPr>
        <w:tc>
          <w:tcPr>
            <w:tcW w:w="0" w:type="auto"/>
            <w:shd w:val="clear" w:color="auto" w:fill="auto"/>
            <w:vAlign w:val="center"/>
          </w:tcPr>
          <w:tbl>
            <w:tblPr>
              <w:tblStyle w:val="7"/>
              <w:tblpPr w:vertAnchor="text" w:tblpXSpec="right"/>
              <w:tblW w:w="3000" w:type="dxa"/>
              <w:tblCellSpacing w:w="0" w:type="dxa"/>
              <w:tblInd w:w="0" w:type="dxa"/>
              <w:shd w:val="clear" w:color="auto" w:fill="auto"/>
              <w:tblLayout w:type="autofit"/>
              <w:tblCellMar>
                <w:top w:w="0" w:type="dxa"/>
                <w:left w:w="0" w:type="dxa"/>
                <w:bottom w:w="0" w:type="dxa"/>
                <w:right w:w="0" w:type="dxa"/>
              </w:tblCellMar>
            </w:tblPr>
            <w:tblGrid>
              <w:gridCol w:w="3000"/>
            </w:tblGrid>
            <w:tr>
              <w:tblPrEx>
                <w:shd w:val="clear" w:color="auto" w:fill="auto"/>
                <w:tblCellMar>
                  <w:top w:w="0" w:type="dxa"/>
                  <w:left w:w="0" w:type="dxa"/>
                  <w:bottom w:w="0" w:type="dxa"/>
                  <w:right w:w="0" w:type="dxa"/>
                </w:tblCellMar>
              </w:tblPrEx>
              <w:trPr>
                <w:tblCellSpacing w:w="0" w:type="dxa"/>
              </w:trPr>
              <w:tc>
                <w:tcPr>
                  <w:tcW w:w="1500" w:type="dxa"/>
                  <w:shd w:val="clear" w:color="auto" w:fill="auto"/>
                  <w:vAlign w:val="center"/>
                </w:tcPr>
                <w:tbl>
                  <w:tblPr>
                    <w:tblStyle w:val="7"/>
                    <w:tblW w:w="1500" w:type="dxa"/>
                    <w:tblCellSpacing w:w="0" w:type="dxa"/>
                    <w:tblInd w:w="0" w:type="dxa"/>
                    <w:shd w:val="clear" w:color="auto" w:fill="auto"/>
                    <w:tblLayout w:type="autofit"/>
                    <w:tblCellMar>
                      <w:top w:w="0" w:type="dxa"/>
                      <w:left w:w="0" w:type="dxa"/>
                      <w:bottom w:w="0" w:type="dxa"/>
                      <w:right w:w="0" w:type="dxa"/>
                    </w:tblCellMar>
                  </w:tblPr>
                  <w:tblGrid>
                    <w:gridCol w:w="1500"/>
                  </w:tblGrid>
                  <w:tr>
                    <w:tblPrEx>
                      <w:shd w:val="clear" w:color="auto" w:fill="auto"/>
                      <w:tblCellMar>
                        <w:top w:w="0" w:type="dxa"/>
                        <w:left w:w="0" w:type="dxa"/>
                        <w:bottom w:w="0" w:type="dxa"/>
                        <w:right w:w="0" w:type="dxa"/>
                      </w:tblCellMar>
                    </w:tblPrEx>
                    <w:trPr>
                      <w:tblCellSpacing w:w="0" w:type="dxa"/>
                    </w:trPr>
                    <w:tc>
                      <w:tcPr>
                        <w:tcW w:w="28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18"/>
                            <w:szCs w:val="18"/>
                          </w:rPr>
                        </w:pPr>
                      </w:p>
                    </w:tc>
                  </w:tr>
                </w:tbl>
                <w:p>
                  <w:pPr>
                    <w:keepNext w:val="0"/>
                    <w:keepLines w:val="0"/>
                    <w:suppressLineNumbers w:val="0"/>
                    <w:spacing w:before="0" w:beforeAutospacing="0" w:after="0" w:afterAutospacing="0" w:line="300" w:lineRule="atLeast"/>
                    <w:ind w:left="0" w:right="0"/>
                    <w:rPr>
                      <w:rFonts w:hint="eastAsia" w:ascii="宋体" w:hAnsi="宋体" w:eastAsia="宋体" w:cs="宋体"/>
                      <w:sz w:val="18"/>
                      <w:szCs w:val="18"/>
                    </w:rPr>
                  </w:pPr>
                </w:p>
              </w:tc>
            </w:tr>
          </w:tbl>
          <w:p>
            <w:pPr>
              <w:keepNext w:val="0"/>
              <w:keepLines w:val="0"/>
              <w:suppressLineNumbers w:val="0"/>
              <w:spacing w:before="0" w:beforeAutospacing="0" w:after="0" w:afterAutospacing="0" w:line="300" w:lineRule="atLeast"/>
              <w:ind w:left="0" w:right="0"/>
              <w:rPr>
                <w:rFonts w:hint="eastAsia" w:ascii="宋体" w:hAnsi="宋体" w:eastAsia="宋体" w:cs="宋体"/>
                <w:sz w:val="18"/>
                <w:szCs w:val="18"/>
              </w:rPr>
            </w:pPr>
          </w:p>
        </w:tc>
      </w:tr>
    </w:tbl>
    <w:p>
      <w:pPr>
        <w:widowControl/>
        <w:jc w:val="left"/>
        <w:rPr>
          <w:rFonts w:asciiTheme="minorEastAsia" w:hAnsiTheme="minorEastAsia"/>
          <w:i/>
          <w:color w:val="FF0000"/>
          <w:sz w:val="32"/>
          <w:szCs w:val="32"/>
        </w:rPr>
      </w:pPr>
    </w:p>
    <w:p>
      <w:pPr>
        <w:pStyle w:val="18"/>
        <w:jc w:val="center"/>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348" w:lineRule="auto"/>
        <w:jc w:val="both"/>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rPr>
        <w:t>1</w:t>
      </w:r>
      <w:r>
        <w:rPr>
          <w:rFonts w:hint="eastAsia" w:eastAsia="方正小标宋简体"/>
          <w:bCs/>
          <w:sz w:val="46"/>
          <w:szCs w:val="46"/>
          <w:u w:val="single"/>
          <w:lang w:val="en-US" w:eastAsia="zh-CN"/>
        </w:rPr>
        <w:t>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岳阳市城市管理和综合执法局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90601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126"/>
        <w:gridCol w:w="210"/>
        <w:gridCol w:w="1145"/>
        <w:gridCol w:w="272"/>
        <w:gridCol w:w="808"/>
        <w:gridCol w:w="1705"/>
        <w:gridCol w:w="196"/>
        <w:gridCol w:w="372"/>
        <w:gridCol w:w="693"/>
        <w:gridCol w:w="539"/>
        <w:gridCol w:w="139"/>
        <w:gridCol w:w="113"/>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李瑛</w:t>
            </w:r>
          </w:p>
        </w:tc>
        <w:tc>
          <w:tcPr>
            <w:tcW w:w="2273" w:type="dxa"/>
            <w:gridSpan w:val="3"/>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312"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8857572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w:t>
            </w:r>
          </w:p>
        </w:tc>
        <w:tc>
          <w:tcPr>
            <w:tcW w:w="2273" w:type="dxa"/>
            <w:gridSpan w:val="3"/>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312"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3"/>
            <w:noWrap w:val="0"/>
            <w:vAlign w:val="center"/>
          </w:tcPr>
          <w:p>
            <w:pPr>
              <w:keepNext w:val="0"/>
              <w:keepLines w:val="0"/>
              <w:suppressLineNumbers w:val="0"/>
              <w:autoSpaceDN w:val="0"/>
              <w:spacing w:before="0" w:beforeAutospacing="0" w:after="0" w:afterAutospacing="0" w:line="320" w:lineRule="exact"/>
              <w:ind w:left="0" w:right="0"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贯彻执行国家和地方关于城市管理和城市管理行政执法的法律法规和政策，负责城市基础设施的“黄线”控制及路政管理；负责城市道路及基础设施的管理、经营、改造和维护，负责指导、协调城市园林绿化、风景名胜的管理工作；负责组织城市市政公用设施、城市路灯照明、市容和环境卫生管理工作；负责审批道路破占、桥梁占用、停车场与洗车场的设置和基建土石方调配。负责中心城区城市规划范围内户外广告管理；负责“12319”城市管理热线管理与服务。负责城市管理的综合整治和行政执法，研究拟订有关管理制度和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仿宋_GB2312" w:hAnsi="仿宋_GB2312" w:eastAsia="仿宋_GB2312" w:cs="仿宋_GB2312"/>
                <w:b w:val="0"/>
                <w:bCs w:val="0"/>
                <w:color w:val="FF0000"/>
                <w:sz w:val="24"/>
                <w:szCs w:val="24"/>
              </w:rPr>
            </w:pPr>
            <w:r>
              <w:rPr>
                <w:rStyle w:val="9"/>
                <w:rFonts w:hint="eastAsia" w:ascii="仿宋" w:hAnsi="仿宋" w:eastAsia="仿宋" w:cs="仿宋"/>
                <w:i w:val="0"/>
                <w:caps w:val="0"/>
                <w:color w:val="000000"/>
                <w:spacing w:val="0"/>
                <w:sz w:val="24"/>
                <w:szCs w:val="24"/>
                <w:shd w:val="clear" w:color="auto" w:fill="FFFFFF"/>
                <w:lang w:eastAsia="zh-CN"/>
              </w:rPr>
              <w:t>任务</w:t>
            </w:r>
            <w:r>
              <w:rPr>
                <w:rStyle w:val="9"/>
                <w:rFonts w:hint="eastAsia" w:ascii="仿宋" w:hAnsi="仿宋" w:eastAsia="仿宋" w:cs="仿宋"/>
                <w:i w:val="0"/>
                <w:caps w:val="0"/>
                <w:color w:val="000000"/>
                <w:spacing w:val="0"/>
                <w:sz w:val="24"/>
                <w:szCs w:val="24"/>
                <w:shd w:val="clear" w:color="auto" w:fill="FFFFFF"/>
                <w:lang w:val="en-US" w:eastAsia="zh-CN"/>
              </w:rPr>
              <w:t>1：</w:t>
            </w:r>
            <w:r>
              <w:rPr>
                <w:rFonts w:hint="eastAsia" w:ascii="仿宋_GB2312" w:hAnsi="仿宋_GB2312" w:eastAsia="仿宋_GB2312" w:cs="仿宋_GB2312"/>
                <w:b w:val="0"/>
                <w:bCs w:val="0"/>
                <w:sz w:val="24"/>
                <w:szCs w:val="24"/>
                <w:lang w:bidi="ar"/>
              </w:rPr>
              <w:t>一是环境卫生整洁。二是市容秩序优良。三是美化亮化精细。四是市政维护优质。五是禁炮管理深入。</w:t>
            </w:r>
            <w:r>
              <w:rPr>
                <w:rFonts w:hint="eastAsia" w:ascii="仿宋_GB2312" w:hAnsi="仿宋_GB2312" w:eastAsia="仿宋_GB2312" w:cs="仿宋_GB2312"/>
                <w:b w:val="0"/>
                <w:bCs w:val="0"/>
                <w:sz w:val="24"/>
                <w:szCs w:val="24"/>
              </w:rPr>
              <w:t>六是执法支撑更加有力。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caps w:val="0"/>
                <w:color w:val="000000"/>
                <w:spacing w:val="0"/>
                <w:sz w:val="24"/>
                <w:szCs w:val="24"/>
              </w:rPr>
            </w:pPr>
            <w:r>
              <w:rPr>
                <w:rStyle w:val="9"/>
                <w:rFonts w:hint="eastAsia" w:ascii="仿宋" w:hAnsi="仿宋" w:eastAsia="仿宋" w:cs="仿宋"/>
                <w:i w:val="0"/>
                <w:caps w:val="0"/>
                <w:color w:val="000000"/>
                <w:spacing w:val="0"/>
                <w:sz w:val="24"/>
                <w:szCs w:val="24"/>
                <w:shd w:val="clear" w:color="auto" w:fill="FFFFFF"/>
                <w:lang w:eastAsia="zh-CN"/>
              </w:rPr>
              <w:t>任务</w:t>
            </w:r>
            <w:r>
              <w:rPr>
                <w:rStyle w:val="9"/>
                <w:rFonts w:hint="eastAsia" w:ascii="仿宋" w:hAnsi="仿宋" w:eastAsia="仿宋" w:cs="仿宋"/>
                <w:i w:val="0"/>
                <w:caps w:val="0"/>
                <w:color w:val="000000"/>
                <w:spacing w:val="0"/>
                <w:sz w:val="24"/>
                <w:szCs w:val="24"/>
                <w:shd w:val="clear" w:color="auto" w:fill="FFFFFF"/>
                <w:lang w:val="en-US" w:eastAsia="zh-CN"/>
              </w:rPr>
              <w:t>2：</w:t>
            </w:r>
            <w:r>
              <w:rPr>
                <w:rFonts w:hint="eastAsia" w:ascii="仿宋_GB2312" w:hAnsi="仿宋_GB2312" w:eastAsia="仿宋_GB2312" w:cs="仿宋_GB2312"/>
                <w:b w:val="0"/>
                <w:bCs w:val="0"/>
                <w:sz w:val="24"/>
                <w:szCs w:val="24"/>
              </w:rPr>
              <w:t>一是切实开展停车场建设。</w:t>
            </w:r>
            <w:r>
              <w:rPr>
                <w:rFonts w:hint="eastAsia" w:ascii="仿宋_GB2312" w:hAnsi="仿宋_GB2312" w:eastAsia="仿宋_GB2312" w:cs="仿宋_GB2312"/>
                <w:b w:val="0"/>
                <w:bCs w:val="0"/>
                <w:sz w:val="24"/>
                <w:szCs w:val="24"/>
                <w:lang w:bidi="ar"/>
              </w:rPr>
              <w:t>二是超常推进生活垃圾焚烧发电项目建设。三是收购改造罗家坳垃圾填埋场。四是高标准治理黑臭水体。</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sz w:val="24"/>
                <w:szCs w:val="24"/>
                <w:lang w:bidi="ar"/>
              </w:rPr>
              <w:t>五是用情实施民生项目。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textAlignment w:val="auto"/>
              <w:rPr>
                <w:rFonts w:hint="eastAsia" w:ascii="仿宋_GB2312" w:hAnsi="仿宋_GB2312" w:eastAsia="仿宋_GB2312" w:cs="仿宋_GB2312"/>
                <w:b/>
                <w:bCs/>
                <w:kern w:val="0"/>
                <w:sz w:val="24"/>
                <w:szCs w:val="24"/>
              </w:rPr>
            </w:pPr>
            <w:r>
              <w:rPr>
                <w:rStyle w:val="9"/>
                <w:rFonts w:hint="eastAsia" w:ascii="仿宋" w:hAnsi="仿宋" w:eastAsia="仿宋" w:cs="仿宋"/>
                <w:i w:val="0"/>
                <w:caps w:val="0"/>
                <w:color w:val="000000"/>
                <w:spacing w:val="0"/>
                <w:sz w:val="24"/>
                <w:szCs w:val="24"/>
                <w:shd w:val="clear" w:color="auto" w:fill="FFFFFF"/>
                <w:lang w:eastAsia="zh-CN"/>
              </w:rPr>
              <w:t>任务</w:t>
            </w:r>
            <w:r>
              <w:rPr>
                <w:rStyle w:val="9"/>
                <w:rFonts w:hint="eastAsia" w:ascii="仿宋" w:hAnsi="仿宋" w:eastAsia="仿宋" w:cs="仿宋"/>
                <w:i w:val="0"/>
                <w:caps w:val="0"/>
                <w:color w:val="000000"/>
                <w:spacing w:val="0"/>
                <w:sz w:val="24"/>
                <w:szCs w:val="24"/>
                <w:shd w:val="clear" w:color="auto" w:fill="FFFFFF"/>
                <w:lang w:val="en-US" w:eastAsia="zh-CN"/>
              </w:rPr>
              <w:t>3：</w:t>
            </w:r>
            <w:r>
              <w:rPr>
                <w:rFonts w:hint="eastAsia" w:ascii="仿宋_GB2312" w:hAnsi="仿宋_GB2312" w:eastAsia="仿宋_GB2312" w:cs="仿宋_GB2312"/>
                <w:b w:val="0"/>
                <w:bCs w:val="0"/>
                <w:sz w:val="24"/>
                <w:szCs w:val="24"/>
                <w:lang w:bidi="ar"/>
              </w:rPr>
              <w:t>一是健全办法规划。</w:t>
            </w:r>
            <w:r>
              <w:rPr>
                <w:rFonts w:hint="eastAsia" w:ascii="仿宋_GB2312" w:hAnsi="仿宋_GB2312" w:eastAsia="仿宋_GB2312" w:cs="仿宋_GB2312"/>
                <w:b w:val="0"/>
                <w:bCs w:val="0"/>
                <w:kern w:val="0"/>
                <w:sz w:val="24"/>
                <w:szCs w:val="24"/>
              </w:rPr>
              <w:t>二是实施道路停车收费</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三是完善管理体制。四是将数字城管转换成智慧城管。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textAlignment w:val="auto"/>
              <w:rPr>
                <w:rFonts w:hint="eastAsia" w:ascii="楷体_GB2312" w:hAnsi="楷体_GB2312" w:eastAsia="楷体_GB2312" w:cs="楷体_GB2312"/>
                <w:b w:val="0"/>
                <w:bCs w:val="0"/>
                <w:kern w:val="0"/>
                <w:sz w:val="24"/>
                <w:szCs w:val="24"/>
              </w:rPr>
            </w:pPr>
            <w:r>
              <w:rPr>
                <w:rStyle w:val="9"/>
                <w:rFonts w:hint="eastAsia" w:ascii="仿宋" w:hAnsi="仿宋" w:eastAsia="仿宋" w:cs="仿宋"/>
                <w:i w:val="0"/>
                <w:caps w:val="0"/>
                <w:color w:val="000000"/>
                <w:spacing w:val="0"/>
                <w:sz w:val="24"/>
                <w:szCs w:val="24"/>
                <w:shd w:val="clear" w:color="auto" w:fill="FFFFFF"/>
                <w:lang w:eastAsia="zh-CN"/>
              </w:rPr>
              <w:t>任务</w:t>
            </w:r>
            <w:r>
              <w:rPr>
                <w:rStyle w:val="9"/>
                <w:rFonts w:hint="eastAsia" w:ascii="仿宋" w:hAnsi="仿宋" w:eastAsia="仿宋" w:cs="仿宋"/>
                <w:i w:val="0"/>
                <w:caps w:val="0"/>
                <w:color w:val="000000"/>
                <w:spacing w:val="0"/>
                <w:sz w:val="24"/>
                <w:szCs w:val="24"/>
                <w:shd w:val="clear" w:color="auto" w:fill="FFFFFF"/>
                <w:lang w:val="en-US" w:eastAsia="zh-CN"/>
              </w:rPr>
              <w:t>4：</w:t>
            </w:r>
            <w:r>
              <w:rPr>
                <w:rFonts w:hint="eastAsia" w:ascii="仿宋_GB2312" w:hAnsi="仿宋_GB2312" w:eastAsia="仿宋_GB2312" w:cs="仿宋_GB2312"/>
                <w:b w:val="0"/>
                <w:bCs w:val="0"/>
                <w:color w:val="000000"/>
                <w:kern w:val="0"/>
                <w:sz w:val="24"/>
                <w:szCs w:val="24"/>
              </w:rPr>
              <w:t>一是筑牢安全稳定底线。</w:t>
            </w:r>
            <w:r>
              <w:rPr>
                <w:rFonts w:hint="eastAsia" w:ascii="仿宋_GB2312" w:hAnsi="仿宋_GB2312" w:eastAsia="仿宋_GB2312" w:cs="仿宋_GB2312"/>
                <w:b w:val="0"/>
                <w:bCs w:val="0"/>
                <w:kern w:val="0"/>
                <w:sz w:val="24"/>
                <w:szCs w:val="24"/>
              </w:rPr>
              <w:t>二是抓实“两大攻坚”。三是深化全国文明城市</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国家卫生城市</w:t>
            </w:r>
            <w:r>
              <w:rPr>
                <w:rFonts w:hint="eastAsia" w:ascii="仿宋_GB2312" w:hAnsi="仿宋_GB2312" w:eastAsia="仿宋_GB2312" w:cs="仿宋_GB2312"/>
                <w:b w:val="0"/>
                <w:bCs w:val="0"/>
                <w:kern w:val="0"/>
                <w:sz w:val="24"/>
                <w:szCs w:val="24"/>
                <w:lang w:eastAsia="zh-CN"/>
              </w:rPr>
              <w:t>、国家园林城市建设</w:t>
            </w:r>
            <w:r>
              <w:rPr>
                <w:rFonts w:hint="eastAsia" w:ascii="仿宋_GB2312" w:hAnsi="仿宋_GB2312" w:eastAsia="仿宋_GB2312" w:cs="仿宋_GB2312"/>
                <w:b w:val="0"/>
                <w:bCs w:val="0"/>
                <w:kern w:val="0"/>
                <w:sz w:val="24"/>
                <w:szCs w:val="24"/>
              </w:rPr>
              <w:t>。四是做精服务保障。</w:t>
            </w:r>
          </w:p>
          <w:p>
            <w:pPr>
              <w:keepNext w:val="0"/>
              <w:keepLines w:val="0"/>
              <w:suppressLineNumbers w:val="0"/>
              <w:spacing w:before="0" w:beforeAutospacing="0" w:after="0" w:afterAutospacing="0"/>
              <w:ind w:left="0" w:right="0" w:firstLine="480" w:firstLineChars="200"/>
              <w:rPr>
                <w:rFonts w:hint="eastAsia" w:ascii="仿宋_GB2312" w:hAnsi="仿宋_GB2312" w:eastAsia="仿宋_GB2312" w:cs="仿宋_GB2312"/>
                <w:color w:val="000000"/>
                <w:sz w:val="24"/>
              </w:rPr>
            </w:pPr>
            <w:r>
              <w:rPr>
                <w:rStyle w:val="9"/>
                <w:rFonts w:hint="eastAsia" w:ascii="仿宋" w:hAnsi="仿宋" w:eastAsia="仿宋" w:cs="仿宋"/>
                <w:i w:val="0"/>
                <w:caps w:val="0"/>
                <w:color w:val="000000"/>
                <w:spacing w:val="0"/>
                <w:sz w:val="24"/>
                <w:szCs w:val="24"/>
                <w:shd w:val="clear" w:color="auto" w:fill="FFFFFF"/>
                <w:lang w:eastAsia="zh-CN"/>
              </w:rPr>
              <w:t>任务</w:t>
            </w:r>
            <w:r>
              <w:rPr>
                <w:rStyle w:val="9"/>
                <w:rFonts w:hint="eastAsia" w:ascii="仿宋" w:hAnsi="仿宋" w:eastAsia="仿宋" w:cs="仿宋"/>
                <w:i w:val="0"/>
                <w:caps w:val="0"/>
                <w:color w:val="000000"/>
                <w:spacing w:val="0"/>
                <w:sz w:val="24"/>
                <w:szCs w:val="24"/>
                <w:shd w:val="clear" w:color="auto" w:fill="FFFFFF"/>
                <w:lang w:val="en-US" w:eastAsia="zh-CN"/>
              </w:rPr>
              <w:t>5：</w:t>
            </w:r>
            <w:r>
              <w:rPr>
                <w:rFonts w:hint="eastAsia" w:ascii="仿宋_GB2312" w:hAnsi="仿宋_GB2312" w:eastAsia="仿宋_GB2312" w:cs="仿宋_GB2312"/>
                <w:b w:val="0"/>
                <w:bCs w:val="0"/>
                <w:kern w:val="0"/>
                <w:sz w:val="24"/>
                <w:szCs w:val="24"/>
              </w:rPr>
              <w:t>一是狠抓学习培训。二是择优选拔干部。</w:t>
            </w:r>
            <w:r>
              <w:rPr>
                <w:rFonts w:hint="eastAsia" w:ascii="仿宋_GB2312" w:hAnsi="仿宋_GB2312" w:eastAsia="仿宋_GB2312" w:cs="仿宋_GB2312"/>
                <w:b w:val="0"/>
                <w:bCs w:val="0"/>
                <w:color w:val="00000A"/>
                <w:kern w:val="0"/>
                <w:sz w:val="24"/>
                <w:szCs w:val="24"/>
              </w:rPr>
              <w:t>三是深化作风建设。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3"/>
            <w:noWrap w:val="0"/>
            <w:vAlign w:val="center"/>
          </w:tcPr>
          <w:p>
            <w:pPr>
              <w:keepNext w:val="0"/>
              <w:keepLines w:val="0"/>
              <w:suppressLineNumbers w:val="0"/>
              <w:autoSpaceDN w:val="0"/>
              <w:spacing w:before="0" w:beforeAutospacing="0" w:after="0" w:afterAutospacing="0" w:line="320" w:lineRule="exact"/>
              <w:ind w:left="0" w:right="0"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2019年局系统上下认真贯彻习近平新时代中国特色社会</w:t>
            </w:r>
            <w:r>
              <w:rPr>
                <w:rFonts w:hint="eastAsia" w:ascii="仿宋_GB2312" w:hAnsi="仿宋_GB2312" w:eastAsia="仿宋_GB2312" w:cs="仿宋_GB2312"/>
                <w:color w:val="000000"/>
                <w:sz w:val="24"/>
                <w:lang w:eastAsia="zh-CN"/>
              </w:rPr>
              <w:t>主义</w:t>
            </w:r>
            <w:r>
              <w:rPr>
                <w:rFonts w:hint="eastAsia" w:ascii="仿宋_GB2312" w:hAnsi="仿宋_GB2312" w:eastAsia="仿宋_GB2312" w:cs="仿宋_GB2312"/>
                <w:color w:val="000000"/>
                <w:sz w:val="24"/>
              </w:rPr>
              <w:t>思想和党的十九大、十九届四中全会精神，坚决落实市委、市政府决策部署，努力实现更高质量、更有效率、更可持续的发展，各项工作取得了新的进展和成效。在部门工作市级评比中，安全生产、平安建设、信访、人大建议办理、政府热线办理等多项工作喜获先进，特别是在市委、市政府的年度综合绩效考评中连续第六年荣获全市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39" w:type="dxa"/>
            <w:gridSpan w:val="2"/>
            <w:vMerge w:val="restart"/>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441" w:type="dxa"/>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39" w:type="dxa"/>
            <w:gridSpan w:val="2"/>
            <w:vMerge w:val="continue"/>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441"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17006.92</w:t>
            </w: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1435.71</w:t>
            </w: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15571.21</w:t>
            </w: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p>
        </w:tc>
        <w:tc>
          <w:tcPr>
            <w:tcW w:w="1800" w:type="dxa"/>
            <w:gridSpan w:val="4"/>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restart"/>
            <w:noWrap w:val="0"/>
            <w:vAlign w:val="center"/>
          </w:tcPr>
          <w:p>
            <w:pPr>
              <w:keepNext w:val="0"/>
              <w:keepLines w:val="0"/>
              <w:suppressLineNumbers w:val="0"/>
              <w:snapToGrid w:val="0"/>
              <w:spacing w:before="0" w:beforeAutospacing="0" w:after="0" w:afterAutospacing="0" w:line="320" w:lineRule="exact"/>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gridSpan w:val="2"/>
            <w:vMerge w:val="restart"/>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01" w:type="dxa"/>
            <w:gridSpan w:val="8"/>
            <w:tcBorders>
              <w:left w:val="single" w:color="auto" w:sz="4" w:space="0"/>
              <w:bottom w:val="single" w:color="auto" w:sz="4" w:space="0"/>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19" w:type="dxa"/>
            <w:gridSpan w:val="4"/>
            <w:tcBorders>
              <w:left w:val="single" w:color="auto" w:sz="4" w:space="0"/>
              <w:bottom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sz w:val="24"/>
              </w:rPr>
            </w:pPr>
          </w:p>
        </w:tc>
        <w:tc>
          <w:tcPr>
            <w:tcW w:w="1339" w:type="dxa"/>
            <w:gridSpan w:val="2"/>
            <w:vMerge w:val="continue"/>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785" w:type="dxa"/>
            <w:gridSpan w:val="3"/>
            <w:tcBorders>
              <w:top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61" w:type="dxa"/>
            <w:gridSpan w:val="3"/>
            <w:vMerge w:val="restart"/>
            <w:tcBorders>
              <w:top w:val="single" w:color="auto" w:sz="4" w:space="0"/>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91" w:type="dxa"/>
            <w:gridSpan w:val="3"/>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28" w:type="dxa"/>
            <w:vMerge w:val="restart"/>
            <w:tcBorders>
              <w:top w:val="single" w:color="auto" w:sz="4" w:space="0"/>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sz w:val="24"/>
              </w:rPr>
            </w:pPr>
          </w:p>
        </w:tc>
        <w:tc>
          <w:tcPr>
            <w:tcW w:w="1339" w:type="dxa"/>
            <w:gridSpan w:val="2"/>
            <w:vMerge w:val="continue"/>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61" w:type="dxa"/>
            <w:gridSpan w:val="3"/>
            <w:vMerge w:val="continue"/>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791" w:type="dxa"/>
            <w:gridSpan w:val="3"/>
            <w:vMerge w:val="continue"/>
            <w:tcBorders>
              <w:left w:val="single" w:color="auto" w:sz="4" w:space="0"/>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828" w:type="dxa"/>
            <w:vMerge w:val="continue"/>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261" w:type="dxa"/>
            <w:gridSpan w:val="3"/>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791" w:type="dxa"/>
            <w:gridSpan w:val="3"/>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828" w:type="dxa"/>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9741.29</w:t>
            </w: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1017.16</w:t>
            </w: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803.69</w:t>
            </w: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213.47</w:t>
            </w:r>
          </w:p>
        </w:tc>
        <w:tc>
          <w:tcPr>
            <w:tcW w:w="1261" w:type="dxa"/>
            <w:gridSpan w:val="3"/>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8684.13</w:t>
            </w:r>
          </w:p>
        </w:tc>
        <w:tc>
          <w:tcPr>
            <w:tcW w:w="791" w:type="dxa"/>
            <w:gridSpan w:val="3"/>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5829.92</w:t>
            </w:r>
          </w:p>
        </w:tc>
        <w:tc>
          <w:tcPr>
            <w:tcW w:w="828" w:type="dxa"/>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7265.62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261" w:type="dxa"/>
            <w:gridSpan w:val="3"/>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791" w:type="dxa"/>
            <w:gridSpan w:val="3"/>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828" w:type="dxa"/>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261" w:type="dxa"/>
            <w:gridSpan w:val="3"/>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791" w:type="dxa"/>
            <w:gridSpan w:val="3"/>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828" w:type="dxa"/>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restart"/>
            <w:noWrap w:val="0"/>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gridSpan w:val="2"/>
            <w:vMerge w:val="restart"/>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sz w:val="24"/>
              </w:rPr>
            </w:pPr>
          </w:p>
        </w:tc>
        <w:tc>
          <w:tcPr>
            <w:tcW w:w="1339" w:type="dxa"/>
            <w:gridSpan w:val="2"/>
            <w:vMerge w:val="continue"/>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880" w:type="dxa"/>
            <w:gridSpan w:val="7"/>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880" w:type="dxa"/>
            <w:gridSpan w:val="7"/>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19.99</w:t>
            </w: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w:t>
            </w: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12.46</w:t>
            </w: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880" w:type="dxa"/>
            <w:gridSpan w:val="7"/>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880" w:type="dxa"/>
            <w:gridSpan w:val="7"/>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705" w:type="dxa"/>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880" w:type="dxa"/>
            <w:gridSpan w:val="7"/>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restart"/>
            <w:noWrap w:val="0"/>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gridSpan w:val="2"/>
            <w:vMerge w:val="restart"/>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sz w:val="24"/>
              </w:rPr>
            </w:pPr>
          </w:p>
        </w:tc>
        <w:tc>
          <w:tcPr>
            <w:tcW w:w="1339" w:type="dxa"/>
            <w:gridSpan w:val="2"/>
            <w:vMerge w:val="continue"/>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1501.35</w:t>
            </w:r>
          </w:p>
        </w:tc>
        <w:tc>
          <w:tcPr>
            <w:tcW w:w="2435" w:type="dxa"/>
            <w:gridSpan w:val="4"/>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1501.35</w:t>
            </w:r>
          </w:p>
        </w:tc>
        <w:tc>
          <w:tcPr>
            <w:tcW w:w="364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keepNext w:val="0"/>
              <w:keepLines w:val="0"/>
              <w:suppressLineNumbers w:val="0"/>
              <w:spacing w:before="0" w:beforeAutospacing="0" w:after="0" w:afterAutospacing="0" w:line="32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339" w:type="dxa"/>
            <w:gridSpan w:val="2"/>
            <w:tcBorders>
              <w:righ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3774" w:type="dxa"/>
            <w:gridSpan w:val="6"/>
            <w:noWrap w:val="0"/>
            <w:vAlign w:val="center"/>
          </w:tcPr>
          <w:p>
            <w:pPr>
              <w:keepNext w:val="0"/>
              <w:keepLines w:val="0"/>
              <w:suppressLineNumbers w:val="0"/>
              <w:spacing w:before="0" w:beforeAutospacing="0" w:after="0" w:afterAutospacing="0"/>
              <w:ind w:left="0" w:right="0" w:firstLine="480" w:firstLineChars="200"/>
              <w:rPr>
                <w:rFonts w:hint="default"/>
                <w:b w:val="0"/>
                <w:bCs w:val="0"/>
                <w:sz w:val="24"/>
                <w:szCs w:val="24"/>
              </w:rPr>
            </w:pPr>
            <w:r>
              <w:rPr>
                <w:rFonts w:hint="eastAsia" w:ascii="仿宋_GB2312" w:hAnsi="仿宋_GB2312" w:eastAsia="仿宋_GB2312" w:cs="仿宋_GB2312"/>
                <w:b w:val="0"/>
                <w:bCs w:val="0"/>
                <w:color w:val="000000"/>
                <w:sz w:val="24"/>
                <w:szCs w:val="24"/>
              </w:rPr>
              <w:t>目标1：</w:t>
            </w:r>
            <w:r>
              <w:rPr>
                <w:rFonts w:hint="eastAsia" w:ascii="楷体_GB2312" w:hAnsi="楷体_GB2312" w:eastAsia="楷体_GB2312" w:cs="楷体_GB2312"/>
                <w:b w:val="0"/>
                <w:bCs w:val="0"/>
                <w:sz w:val="24"/>
                <w:szCs w:val="24"/>
                <w:lang w:bidi="ar"/>
              </w:rPr>
              <w:t>日常管理有提升。</w:t>
            </w:r>
          </w:p>
          <w:p>
            <w:pPr>
              <w:keepNext w:val="0"/>
              <w:keepLines w:val="0"/>
              <w:suppressLineNumbers w:val="0"/>
              <w:spacing w:before="0" w:beforeAutospacing="0" w:after="0" w:afterAutospacing="0"/>
              <w:ind w:left="0" w:right="0" w:firstLine="480" w:firstLineChars="200"/>
              <w:rPr>
                <w:rFonts w:hint="default"/>
                <w:b w:val="0"/>
                <w:bCs w:val="0"/>
                <w:sz w:val="24"/>
                <w:szCs w:val="24"/>
              </w:rPr>
            </w:pPr>
            <w:r>
              <w:rPr>
                <w:rFonts w:hint="eastAsia" w:ascii="仿宋_GB2312" w:hAnsi="仿宋_GB2312" w:eastAsia="仿宋_GB2312" w:cs="仿宋_GB2312"/>
                <w:b w:val="0"/>
                <w:bCs w:val="0"/>
                <w:color w:val="000000"/>
                <w:sz w:val="24"/>
                <w:szCs w:val="24"/>
              </w:rPr>
              <w:t>目标2：</w:t>
            </w:r>
            <w:r>
              <w:rPr>
                <w:rFonts w:hint="eastAsia" w:ascii="楷体_GB2312" w:hAnsi="楷体_GB2312" w:eastAsia="楷体_GB2312" w:cs="楷体_GB2312"/>
                <w:b w:val="0"/>
                <w:bCs w:val="0"/>
                <w:sz w:val="24"/>
                <w:szCs w:val="24"/>
              </w:rPr>
              <w:t>项目建设有成效。</w:t>
            </w:r>
          </w:p>
          <w:p>
            <w:pPr>
              <w:keepNext w:val="0"/>
              <w:keepLines w:val="0"/>
              <w:suppressLineNumbers w:val="0"/>
              <w:spacing w:before="0" w:beforeAutospacing="0" w:after="0" w:afterAutospacing="0"/>
              <w:ind w:left="0" w:right="0" w:firstLine="480" w:firstLineChars="200"/>
              <w:rPr>
                <w:rFonts w:hint="default"/>
                <w:b w:val="0"/>
                <w:bCs w:val="0"/>
                <w:sz w:val="24"/>
                <w:szCs w:val="24"/>
              </w:rPr>
            </w:pPr>
            <w:r>
              <w:rPr>
                <w:rFonts w:hint="eastAsia" w:ascii="仿宋_GB2312" w:hAnsi="仿宋_GB2312" w:eastAsia="仿宋_GB2312" w:cs="仿宋_GB2312"/>
                <w:b w:val="0"/>
                <w:bCs w:val="0"/>
                <w:color w:val="000000"/>
                <w:sz w:val="24"/>
                <w:szCs w:val="24"/>
              </w:rPr>
              <w:t>目标3：</w:t>
            </w:r>
            <w:r>
              <w:rPr>
                <w:rFonts w:hint="eastAsia" w:ascii="楷体_GB2312" w:hAnsi="楷体_GB2312" w:eastAsia="楷体_GB2312" w:cs="楷体_GB2312"/>
                <w:b w:val="0"/>
                <w:bCs w:val="0"/>
                <w:sz w:val="24"/>
                <w:szCs w:val="24"/>
              </w:rPr>
              <w:t>工作创新有亮点</w:t>
            </w:r>
          </w:p>
          <w:p>
            <w:pPr>
              <w:keepNext w:val="0"/>
              <w:keepLines w:val="0"/>
              <w:suppressLineNumbers w:val="0"/>
              <w:spacing w:before="0" w:beforeAutospacing="0" w:after="0" w:afterAutospacing="0"/>
              <w:ind w:left="0" w:right="0" w:firstLine="480" w:firstLineChars="200"/>
              <w:rPr>
                <w:rFonts w:hint="default"/>
                <w:b w:val="0"/>
                <w:bCs w:val="0"/>
                <w:sz w:val="24"/>
                <w:szCs w:val="24"/>
              </w:rPr>
            </w:pPr>
            <w:r>
              <w:rPr>
                <w:rFonts w:hint="eastAsia" w:ascii="仿宋_GB2312" w:hAnsi="仿宋_GB2312" w:eastAsia="仿宋_GB2312" w:cs="仿宋_GB2312"/>
                <w:b w:val="0"/>
                <w:bCs w:val="0"/>
                <w:color w:val="000000"/>
                <w:sz w:val="24"/>
                <w:szCs w:val="24"/>
                <w:lang w:eastAsia="zh-CN"/>
              </w:rPr>
              <w:t>目标</w:t>
            </w:r>
            <w:r>
              <w:rPr>
                <w:rFonts w:hint="eastAsia" w:ascii="仿宋_GB2312" w:hAnsi="仿宋_GB2312" w:eastAsia="仿宋_GB2312" w:cs="仿宋_GB2312"/>
                <w:b w:val="0"/>
                <w:bCs w:val="0"/>
                <w:color w:val="000000"/>
                <w:sz w:val="24"/>
                <w:szCs w:val="24"/>
                <w:lang w:val="en-US" w:eastAsia="zh-CN"/>
              </w:rPr>
              <w:t>4：</w:t>
            </w:r>
            <w:r>
              <w:rPr>
                <w:rFonts w:hint="eastAsia" w:ascii="楷体_GB2312" w:hAnsi="楷体_GB2312" w:eastAsia="楷体_GB2312" w:cs="楷体_GB2312"/>
                <w:b w:val="0"/>
                <w:bCs w:val="0"/>
                <w:kern w:val="0"/>
                <w:sz w:val="24"/>
                <w:szCs w:val="24"/>
              </w:rPr>
              <w:t>重点保障有形象。</w:t>
            </w:r>
          </w:p>
          <w:p>
            <w:pPr>
              <w:keepNext w:val="0"/>
              <w:keepLines w:val="0"/>
              <w:suppressLineNumbers w:val="0"/>
              <w:spacing w:before="0" w:beforeAutospacing="0" w:after="0" w:afterAutospacing="0"/>
              <w:ind w:left="0" w:right="0" w:firstLine="480" w:firstLineChars="200"/>
              <w:rPr>
                <w:rFonts w:hint="eastAsia" w:eastAsia="楷体_GB2312"/>
                <w:lang w:eastAsia="zh-CN"/>
              </w:rPr>
            </w:pPr>
            <w:r>
              <w:rPr>
                <w:rFonts w:hint="eastAsia" w:ascii="仿宋_GB2312" w:hAnsi="仿宋_GB2312" w:eastAsia="仿宋_GB2312" w:cs="仿宋_GB2312"/>
                <w:b w:val="0"/>
                <w:bCs w:val="0"/>
                <w:color w:val="000000"/>
                <w:sz w:val="24"/>
                <w:szCs w:val="24"/>
                <w:lang w:eastAsia="zh-CN"/>
              </w:rPr>
              <w:t>目标</w:t>
            </w:r>
            <w:r>
              <w:rPr>
                <w:rFonts w:hint="eastAsia" w:ascii="仿宋_GB2312" w:hAnsi="仿宋_GB2312" w:eastAsia="仿宋_GB2312" w:cs="仿宋_GB2312"/>
                <w:b w:val="0"/>
                <w:bCs w:val="0"/>
                <w:color w:val="000000"/>
                <w:sz w:val="24"/>
                <w:szCs w:val="24"/>
                <w:lang w:val="en-US" w:eastAsia="zh-CN"/>
              </w:rPr>
              <w:t>5</w:t>
            </w:r>
            <w:r>
              <w:rPr>
                <w:rFonts w:hint="eastAsia" w:ascii="仿宋_GB2312" w:hAnsi="仿宋_GB2312" w:eastAsia="仿宋_GB2312" w:cs="仿宋_GB2312"/>
                <w:b w:val="0"/>
                <w:bCs w:val="0"/>
                <w:color w:val="000000"/>
                <w:sz w:val="24"/>
                <w:szCs w:val="24"/>
                <w:lang w:eastAsia="zh-CN"/>
              </w:rPr>
              <w:t>：</w:t>
            </w:r>
            <w:r>
              <w:rPr>
                <w:rFonts w:hint="eastAsia" w:ascii="楷体_GB2312" w:hAnsi="楷体_GB2312" w:eastAsia="楷体_GB2312" w:cs="楷体_GB2312"/>
                <w:b w:val="0"/>
                <w:bCs w:val="0"/>
                <w:kern w:val="0"/>
                <w:sz w:val="24"/>
                <w:szCs w:val="24"/>
              </w:rPr>
              <w:t>队伍建设有活力</w:t>
            </w:r>
            <w:r>
              <w:rPr>
                <w:rFonts w:hint="eastAsia" w:ascii="楷体_GB2312" w:hAnsi="楷体_GB2312" w:eastAsia="楷体_GB2312" w:cs="楷体_GB2312"/>
                <w:b w:val="0"/>
                <w:bCs w:val="0"/>
                <w:kern w:val="0"/>
                <w:sz w:val="24"/>
                <w:szCs w:val="24"/>
                <w:lang w:eastAsia="zh-CN"/>
              </w:rPr>
              <w:t>。</w:t>
            </w:r>
          </w:p>
          <w:p>
            <w:pPr>
              <w:pStyle w:val="2"/>
              <w:keepNext w:val="0"/>
              <w:keepLines w:val="0"/>
              <w:suppressLineNumbers w:val="0"/>
              <w:spacing w:before="0" w:beforeAutospacing="0" w:after="0" w:afterAutospacing="0"/>
              <w:ind w:left="0" w:right="0"/>
              <w:rPr>
                <w:rFonts w:hint="default"/>
              </w:rPr>
            </w:pP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p>
        </w:tc>
        <w:tc>
          <w:tcPr>
            <w:tcW w:w="4585" w:type="dxa"/>
            <w:gridSpan w:val="8"/>
            <w:noWrap w:val="0"/>
            <w:vAlign w:val="center"/>
          </w:tcPr>
          <w:p>
            <w:pPr>
              <w:keepNext w:val="0"/>
              <w:keepLines w:val="0"/>
              <w:suppressLineNumbers w:val="0"/>
              <w:autoSpaceDN w:val="0"/>
              <w:spacing w:before="0" w:beforeAutospacing="0" w:after="0" w:afterAutospacing="0" w:line="320" w:lineRule="exact"/>
              <w:ind w:left="0" w:right="0"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目标</w:t>
            </w:r>
            <w:r>
              <w:rPr>
                <w:rFonts w:hint="eastAsia" w:ascii="仿宋_GB2312" w:hAnsi="仿宋_GB2312" w:eastAsia="仿宋_GB2312" w:cs="仿宋_GB2312"/>
                <w:b/>
                <w:bCs/>
                <w:color w:val="000000"/>
                <w:sz w:val="24"/>
                <w:lang w:val="en-US" w:eastAsia="zh-CN"/>
              </w:rPr>
              <w:t>1：</w:t>
            </w:r>
            <w:r>
              <w:rPr>
                <w:rFonts w:hint="eastAsia" w:ascii="仿宋_GB2312" w:hAnsi="仿宋_GB2312" w:eastAsia="仿宋_GB2312" w:cs="仿宋_GB2312"/>
                <w:color w:val="000000"/>
                <w:sz w:val="24"/>
              </w:rPr>
              <w:t>一是环境卫生更加整洁。对1088万平方米保洁区域采取“深度清洗+快速保洁+吸尘抑尘”的立体作业模式；受理市民“车窗抛物”举报5.9万余起；在5个机关小区开展生活垃圾分类试点，垃圾分类投放总量187吨；对187家机关、学校食堂和大型餐饮酒店的厨余垃圾定时定点收处。二是市容秩序更加优良。开展出店经营、乱摆摊点、占道作业</w:t>
            </w:r>
            <w:r>
              <w:rPr>
                <w:rFonts w:hint="eastAsia" w:ascii="仿宋_GB2312" w:hAnsi="仿宋_GB2312" w:eastAsia="仿宋_GB2312" w:cs="仿宋_GB2312"/>
                <w:color w:val="000000"/>
                <w:sz w:val="24"/>
                <w:lang w:eastAsia="zh-CN"/>
              </w:rPr>
              <w:t>等</w:t>
            </w:r>
            <w:r>
              <w:rPr>
                <w:rFonts w:hint="eastAsia" w:ascii="仿宋_GB2312" w:hAnsi="仿宋_GB2312" w:eastAsia="仿宋_GB2312" w:cs="仿宋_GB2312"/>
                <w:color w:val="000000"/>
                <w:sz w:val="24"/>
              </w:rPr>
              <w:t>集中整治380次，宣传教育5000余人次，督促1500余家门店进店经营，清理转移流动摊贩1000余人次，行政处罚151.28万元；</w:t>
            </w:r>
            <w:r>
              <w:rPr>
                <w:rFonts w:hint="eastAsia" w:ascii="仿宋_GB2312" w:hAnsi="仿宋_GB2312" w:eastAsia="仿宋_GB2312" w:cs="仿宋_GB2312"/>
                <w:color w:val="000000"/>
                <w:sz w:val="24"/>
                <w:lang w:eastAsia="zh-CN"/>
              </w:rPr>
              <w:t>规范</w:t>
            </w:r>
            <w:r>
              <w:rPr>
                <w:rFonts w:hint="eastAsia" w:ascii="仿宋_GB2312" w:hAnsi="仿宋_GB2312" w:eastAsia="仿宋_GB2312" w:cs="仿宋_GB2312"/>
                <w:color w:val="000000"/>
                <w:sz w:val="24"/>
              </w:rPr>
              <w:t>152家夜市门店</w:t>
            </w:r>
            <w:r>
              <w:rPr>
                <w:rFonts w:hint="eastAsia" w:ascii="仿宋_GB2312" w:hAnsi="仿宋_GB2312" w:eastAsia="仿宋_GB2312" w:cs="仿宋_GB2312"/>
                <w:color w:val="000000"/>
                <w:sz w:val="24"/>
                <w:lang w:eastAsia="zh-CN"/>
              </w:rPr>
              <w:t>经营行为</w:t>
            </w:r>
            <w:r>
              <w:rPr>
                <w:rFonts w:hint="eastAsia" w:ascii="仿宋_GB2312" w:hAnsi="仿宋_GB2312" w:eastAsia="仿宋_GB2312" w:cs="仿宋_GB2312"/>
                <w:color w:val="000000"/>
                <w:sz w:val="24"/>
              </w:rPr>
              <w:t>；对临街砂石销售场所和废品回收店开展专项整治，取缔29家，转移20家，规范18家；开展污染源专项整治</w:t>
            </w:r>
            <w:r>
              <w:rPr>
                <w:rFonts w:hint="eastAsia" w:ascii="仿宋_GB2312" w:hAnsi="仿宋_GB2312" w:eastAsia="仿宋_GB2312" w:cs="仿宋_GB2312"/>
                <w:color w:val="000000"/>
                <w:sz w:val="24"/>
                <w:lang w:eastAsia="zh-CN"/>
              </w:rPr>
              <w:t>行动</w:t>
            </w:r>
            <w:r>
              <w:rPr>
                <w:rFonts w:hint="eastAsia" w:ascii="仿宋_GB2312" w:hAnsi="仿宋_GB2312" w:eastAsia="仿宋_GB2312" w:cs="仿宋_GB2312"/>
                <w:color w:val="000000"/>
                <w:sz w:val="24"/>
              </w:rPr>
              <w:t>1000余次，</w:t>
            </w:r>
            <w:r>
              <w:rPr>
                <w:rFonts w:hint="eastAsia" w:ascii="仿宋_GB2312" w:hAnsi="仿宋_GB2312" w:eastAsia="仿宋_GB2312" w:cs="仿宋_GB2312"/>
                <w:color w:val="000000"/>
                <w:sz w:val="24"/>
                <w:lang w:eastAsia="zh-CN"/>
              </w:rPr>
              <w:t>受理群众</w:t>
            </w:r>
            <w:r>
              <w:rPr>
                <w:rFonts w:hint="eastAsia" w:ascii="仿宋_GB2312" w:hAnsi="仿宋_GB2312" w:eastAsia="仿宋_GB2312" w:cs="仿宋_GB2312"/>
                <w:color w:val="000000"/>
                <w:sz w:val="24"/>
              </w:rPr>
              <w:t>扬尘污染举报75起</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查处各类涉污案件656起</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在岳阳火车东站建立综合执法信息指挥中心，通过高科技手段，对喊客拉客、的士拼客、非法营运、乱停乱靠精准打击；巴陵广场、南湖广场、金鹗公园、南湖公园等窗口单位保持了秩序良好、安全运营。三是美化亮化更加精细。</w:t>
            </w:r>
            <w:r>
              <w:rPr>
                <w:rFonts w:hint="eastAsia" w:ascii="仿宋_GB2312" w:hAnsi="仿宋_GB2312" w:eastAsia="仿宋_GB2312" w:cs="仿宋_GB2312"/>
                <w:color w:val="000000"/>
                <w:sz w:val="24"/>
                <w:lang w:eastAsia="zh-CN"/>
              </w:rPr>
              <w:t>建成</w:t>
            </w:r>
            <w:r>
              <w:rPr>
                <w:rFonts w:hint="eastAsia" w:ascii="仿宋_GB2312" w:hAnsi="仿宋_GB2312" w:eastAsia="仿宋_GB2312" w:cs="仿宋_GB2312"/>
                <w:color w:val="000000"/>
                <w:sz w:val="24"/>
              </w:rPr>
              <w:t>洞庭大道、求索路、沿湖</w:t>
            </w:r>
            <w:r>
              <w:rPr>
                <w:rFonts w:hint="eastAsia" w:ascii="仿宋_GB2312" w:hAnsi="仿宋_GB2312" w:eastAsia="仿宋_GB2312" w:cs="仿宋_GB2312"/>
                <w:color w:val="000000"/>
                <w:sz w:val="24"/>
                <w:lang w:eastAsia="zh-CN"/>
              </w:rPr>
              <w:t>大道</w:t>
            </w:r>
            <w:r>
              <w:rPr>
                <w:rFonts w:hint="eastAsia" w:ascii="仿宋_GB2312" w:hAnsi="仿宋_GB2312" w:eastAsia="仿宋_GB2312" w:cs="仿宋_GB2312"/>
                <w:color w:val="000000"/>
                <w:sz w:val="24"/>
              </w:rPr>
              <w:t>、巴陵东路4条</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园林绿化管养示范路</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；春节摆花、国庆主题花展受到市委市政府的高度肯定。完成</w:t>
            </w:r>
            <w:r>
              <w:rPr>
                <w:rFonts w:hint="eastAsia" w:ascii="仿宋_GB2312" w:hAnsi="仿宋_GB2312" w:eastAsia="仿宋_GB2312" w:cs="仿宋_GB2312"/>
                <w:color w:val="000000"/>
                <w:sz w:val="24"/>
                <w:lang w:eastAsia="zh-CN"/>
              </w:rPr>
              <w:t>主</w:t>
            </w:r>
            <w:r>
              <w:rPr>
                <w:rFonts w:hint="eastAsia" w:ascii="仿宋_GB2312" w:hAnsi="仿宋_GB2312" w:eastAsia="仿宋_GB2312" w:cs="仿宋_GB2312"/>
                <w:color w:val="000000"/>
                <w:sz w:val="24"/>
              </w:rPr>
              <w:t>城区路灯照明监控系统提质改造。拆除擅自设置的户外广告650余块（条）。督促权属单位维护和更换破损施工围挡860余块，集中撤除不达标围挡200余块。四是市政维护更加优质。提质改造主干道9条、隧道2座、桥梁2座；更换、调整人行道板17.3万平方米，修补破损、下沉路面15.5万平方米，更换、修复雨水井盖960套、雨水篦子1330套；清淤疏浚管网约9.5万米；整治路面积水点9处。五是禁炮管理更加深入。联合“六区”及公安、应急管理等部门开展炮源清缴行动300余次，收缴销毁价值85万元的烟花爆竹，捍卫了“岳阳蓝”。六是执法支撑更加有力。公安城管大队依法行政拘留21人、调解纠纷378起、接处警580人次。</w:t>
            </w:r>
          </w:p>
          <w:p>
            <w:pPr>
              <w:keepNext w:val="0"/>
              <w:keepLines w:val="0"/>
              <w:suppressLineNumbers w:val="0"/>
              <w:autoSpaceDN w:val="0"/>
              <w:spacing w:before="0" w:beforeAutospacing="0" w:after="0" w:afterAutospacing="0" w:line="320" w:lineRule="exact"/>
              <w:ind w:left="0" w:right="0"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目标</w:t>
            </w:r>
            <w:r>
              <w:rPr>
                <w:rFonts w:hint="eastAsia" w:ascii="仿宋_GB2312" w:hAnsi="仿宋_GB2312" w:eastAsia="仿宋_GB2312" w:cs="仿宋_GB2312"/>
                <w:b/>
                <w:bCs/>
                <w:color w:val="000000"/>
                <w:sz w:val="24"/>
                <w:lang w:val="en-US" w:eastAsia="zh-CN"/>
              </w:rPr>
              <w:t>2：</w:t>
            </w:r>
            <w:r>
              <w:rPr>
                <w:rFonts w:hint="eastAsia" w:ascii="仿宋_GB2312" w:hAnsi="仿宋_GB2312" w:eastAsia="仿宋_GB2312" w:cs="仿宋_GB2312"/>
                <w:color w:val="000000"/>
                <w:sz w:val="24"/>
              </w:rPr>
              <w:t>一是切实开展停车场建设。协调提质改造2个停车场、新建9个停车场，新增停车泊位1907个；王家河桥东、东方红小学、朝阳小学等停车场项目开工建设。二是超常推进生活垃圾焚烧发电项目建设。投资5.92亿元的</w:t>
            </w:r>
            <w:r>
              <w:rPr>
                <w:rFonts w:hint="eastAsia" w:ascii="仿宋_GB2312" w:hAnsi="仿宋_GB2312" w:eastAsia="仿宋_GB2312" w:cs="仿宋_GB2312"/>
                <w:color w:val="000000"/>
                <w:sz w:val="24"/>
                <w:lang w:eastAsia="zh-CN"/>
              </w:rPr>
              <w:t>市城市</w:t>
            </w:r>
            <w:r>
              <w:rPr>
                <w:rFonts w:hint="eastAsia" w:ascii="仿宋_GB2312" w:hAnsi="仿宋_GB2312" w:eastAsia="仿宋_GB2312" w:cs="仿宋_GB2312"/>
                <w:color w:val="000000"/>
                <w:sz w:val="24"/>
              </w:rPr>
              <w:t>生活垃圾焚烧发电厂点火运行，投资1.86亿元的配套项目大型垃圾中转站同步建成投用，中心城区彻底结束生活垃圾填埋历史。三是收购改造罗家坳垃圾填埋场。投入8735.36万元收购云溪区罗家坳垃圾填埋场，并将其升级改造成</w:t>
            </w:r>
            <w:r>
              <w:rPr>
                <w:rFonts w:hint="eastAsia" w:ascii="仿宋_GB2312" w:hAnsi="仿宋_GB2312" w:eastAsia="仿宋_GB2312" w:cs="仿宋_GB2312"/>
                <w:color w:val="000000"/>
                <w:sz w:val="24"/>
                <w:lang w:eastAsia="zh-CN"/>
              </w:rPr>
              <w:t>市城市</w:t>
            </w:r>
            <w:r>
              <w:rPr>
                <w:rFonts w:hint="eastAsia" w:ascii="仿宋_GB2312" w:hAnsi="仿宋_GB2312" w:eastAsia="仿宋_GB2312" w:cs="仿宋_GB2312"/>
                <w:color w:val="000000"/>
                <w:sz w:val="24"/>
              </w:rPr>
              <w:t>生活垃圾焚烧发电厂的飞灰专用填埋场。四是高标准治理黑臭水体。投资1.9亿元的蛇皮套和“三大湖”黑臭水体治理工程通过竣工验收，接待了生态环境部、全国人大法工委及长江水利委领导视察指导，成为我市海绵城市建设试点样板工程。五是用情实施民生项目。五里牌、土桥、火车站、国安局及蘑菇亭等公厕垃圾站建成投用；</w:t>
            </w:r>
            <w:r>
              <w:rPr>
                <w:rFonts w:hint="eastAsia" w:ascii="仿宋_GB2312" w:hAnsi="仿宋_GB2312" w:eastAsia="仿宋_GB2312" w:cs="仿宋_GB2312"/>
                <w:color w:val="000000"/>
                <w:sz w:val="24"/>
                <w:lang w:eastAsia="zh-CN"/>
              </w:rPr>
              <w:t>主</w:t>
            </w:r>
            <w:r>
              <w:rPr>
                <w:rFonts w:hint="eastAsia" w:ascii="仿宋_GB2312" w:hAnsi="仿宋_GB2312" w:eastAsia="仿宋_GB2312" w:cs="仿宋_GB2312"/>
                <w:color w:val="000000"/>
                <w:sz w:val="24"/>
              </w:rPr>
              <w:t>城区12处渍水点完成整治，解决了周边居民多年来的渍水之苦。</w:t>
            </w:r>
          </w:p>
          <w:p>
            <w:pPr>
              <w:keepNext w:val="0"/>
              <w:keepLines w:val="0"/>
              <w:suppressLineNumbers w:val="0"/>
              <w:autoSpaceDN w:val="0"/>
              <w:spacing w:before="0" w:beforeAutospacing="0" w:after="0" w:afterAutospacing="0" w:line="320" w:lineRule="exact"/>
              <w:ind w:left="0" w:right="0"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目标</w:t>
            </w:r>
            <w:r>
              <w:rPr>
                <w:rFonts w:hint="eastAsia" w:ascii="仿宋_GB2312" w:hAnsi="仿宋_GB2312" w:eastAsia="仿宋_GB2312" w:cs="仿宋_GB2312"/>
                <w:b/>
                <w:bCs/>
                <w:color w:val="000000"/>
                <w:sz w:val="24"/>
                <w:lang w:val="en-US" w:eastAsia="zh-CN"/>
              </w:rPr>
              <w:t>3</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一是健全办法规划。对《岳阳市中心城区户外广告管理办法》《岳阳市中心城区市政公用设施移交管理办法》《岳阳市城市道路人行道管理办法》3个市政府规范性文件进行了修订；报请市政府印发《岳阳市人民政府关于加强市城区餐厨剩余物监管的通告》，加强了餐厨剩余物监管；编制并实施《岳阳市主城区户外广告设置专项规划》《岳阳市城市规划区绿道系统规划》；市政府规章《岳阳市城市绿线管理办法》《岳阳市燃气管理办法》经市政府第36次常务会议审定后实施。二是实施道路停车收费。市智慧停车系统建成投运，主城区选定28条收费路段施划更新临时停车泊位7081个、安装地磁4100个。三是完善管理体制。成立市静脉产业园管理中心、市餐厨垃圾综合处理所、市智慧环卫信息中心，强化了专项工作；市城管局城陵矶新港区分局正式运作，新港区城市管理逐步走上正轨。四是将数字城管转换成智慧城管。在功能拓展、管理升级、覆盖扩面、资源共享、公众参与5个板块升级发力，高效处置城市管理案件29.86万件。</w:t>
            </w:r>
          </w:p>
          <w:p>
            <w:pPr>
              <w:keepNext w:val="0"/>
              <w:keepLines w:val="0"/>
              <w:suppressLineNumbers w:val="0"/>
              <w:autoSpaceDN w:val="0"/>
              <w:spacing w:before="0" w:beforeAutospacing="0" w:after="0" w:afterAutospacing="0" w:line="320" w:lineRule="exact"/>
              <w:ind w:left="0" w:right="0"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eastAsia="zh-CN"/>
              </w:rPr>
              <w:t>目标</w:t>
            </w:r>
            <w:r>
              <w:rPr>
                <w:rFonts w:hint="eastAsia" w:ascii="仿宋_GB2312" w:hAnsi="仿宋_GB2312" w:eastAsia="仿宋_GB2312" w:cs="仿宋_GB2312"/>
                <w:b/>
                <w:bCs/>
                <w:color w:val="000000"/>
                <w:sz w:val="24"/>
                <w:lang w:val="en-US" w:eastAsia="zh-CN"/>
              </w:rPr>
              <w:t>4：</w:t>
            </w:r>
            <w:r>
              <w:rPr>
                <w:rFonts w:hint="eastAsia" w:ascii="仿宋_GB2312" w:hAnsi="仿宋_GB2312" w:eastAsia="仿宋_GB2312" w:cs="仿宋_GB2312"/>
                <w:color w:val="000000"/>
                <w:sz w:val="24"/>
              </w:rPr>
              <w:t>一是筑牢安全稳定底线。受领市政府巴陵大桥市场拆除和安全隐患整治任务，分3次拆除各类建（构）物73处、2200平方米。深入开展“强执法防事故”和“安全生产月”等活动，组织燃气安全培训3次，开展安全隐患大检查2次，指导各县市区开展燃气执法300多次；抓好信访维稳工作，办结信访件53件，办结市长信箱来信和网络舆情回复152件，一批信访积案得到化解；深入开展城管系统扫黑除恶专项斗争，确保了大局和谐稳定。二是抓实“两大攻坚”。平江县杨柳村脱贫巩固提升工作作为典型在全省会议上作典型发言，临湘市长塘镇长塘社区人居环境攻坚工作获评全市A类。三是深化全国文明城市</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国家卫生城市</w:t>
            </w:r>
            <w:r>
              <w:rPr>
                <w:rFonts w:hint="eastAsia" w:ascii="仿宋_GB2312" w:hAnsi="仿宋_GB2312" w:eastAsia="仿宋_GB2312" w:cs="仿宋_GB2312"/>
                <w:color w:val="000000"/>
                <w:sz w:val="24"/>
                <w:lang w:eastAsia="zh-CN"/>
              </w:rPr>
              <w:t>、国家园林城市建设</w:t>
            </w:r>
            <w:r>
              <w:rPr>
                <w:rFonts w:hint="eastAsia" w:ascii="仿宋_GB2312" w:hAnsi="仿宋_GB2312" w:eastAsia="仿宋_GB2312" w:cs="仿宋_GB2312"/>
                <w:color w:val="000000"/>
                <w:sz w:val="24"/>
              </w:rPr>
              <w:t>。完善长效</w:t>
            </w:r>
            <w:r>
              <w:rPr>
                <w:rFonts w:hint="eastAsia" w:ascii="仿宋_GB2312" w:hAnsi="仿宋_GB2312" w:eastAsia="仿宋_GB2312" w:cs="仿宋_GB2312"/>
                <w:color w:val="000000"/>
                <w:sz w:val="24"/>
                <w:lang w:eastAsia="zh-CN"/>
              </w:rPr>
              <w:t>管理</w:t>
            </w:r>
            <w:r>
              <w:rPr>
                <w:rFonts w:hint="eastAsia" w:ascii="仿宋_GB2312" w:hAnsi="仿宋_GB2312" w:eastAsia="仿宋_GB2312" w:cs="仿宋_GB2312"/>
                <w:color w:val="000000"/>
                <w:sz w:val="24"/>
              </w:rPr>
              <w:t>机制，确保了</w:t>
            </w:r>
            <w:r>
              <w:rPr>
                <w:rFonts w:hint="eastAsia" w:ascii="仿宋_GB2312" w:hAnsi="仿宋_GB2312" w:eastAsia="仿宋_GB2312" w:cs="仿宋_GB2312"/>
                <w:color w:val="000000"/>
                <w:sz w:val="24"/>
                <w:lang w:eastAsia="zh-CN"/>
              </w:rPr>
              <w:t>复审或普查</w:t>
            </w:r>
            <w:r>
              <w:rPr>
                <w:rFonts w:hint="eastAsia" w:ascii="仿宋_GB2312" w:hAnsi="仿宋_GB2312" w:eastAsia="仿宋_GB2312" w:cs="仿宋_GB2312"/>
                <w:color w:val="000000"/>
                <w:sz w:val="24"/>
              </w:rPr>
              <w:t>未丢分、得高分。四是做精服务保障。成功应对1月上旬雨雪冰冻天气，深化市城管领域“跑改”，顺利完成40余次重大接待保障任务。</w:t>
            </w:r>
          </w:p>
          <w:p>
            <w:pPr>
              <w:keepNext w:val="0"/>
              <w:keepLines w:val="0"/>
              <w:suppressLineNumbers w:val="0"/>
              <w:autoSpaceDN w:val="0"/>
              <w:spacing w:before="0" w:beforeAutospacing="0" w:after="0" w:afterAutospacing="0" w:line="320" w:lineRule="exact"/>
              <w:ind w:left="0" w:right="0"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eastAsia="zh-CN"/>
              </w:rPr>
              <w:t>目标</w:t>
            </w:r>
            <w:r>
              <w:rPr>
                <w:rFonts w:hint="eastAsia" w:ascii="仿宋_GB2312" w:hAnsi="仿宋_GB2312" w:eastAsia="仿宋_GB2312" w:cs="仿宋_GB2312"/>
                <w:b/>
                <w:bCs/>
                <w:color w:val="000000"/>
                <w:sz w:val="24"/>
                <w:lang w:val="en-US" w:eastAsia="zh-CN"/>
              </w:rPr>
              <w:t>5：</w:t>
            </w:r>
            <w:r>
              <w:rPr>
                <w:rFonts w:hint="eastAsia" w:ascii="仿宋_GB2312" w:hAnsi="仿宋_GB2312" w:eastAsia="仿宋_GB2312" w:cs="仿宋_GB2312"/>
                <w:color w:val="000000"/>
                <w:sz w:val="24"/>
              </w:rPr>
              <w:t>一是狠抓学习培训。结合“不忘初心、牢记使命”主题教育，举办1期局系统党务干部培训班、2期教授专题辅导、54期主题教育读书班和127场党员领导干部专题党课，发放学习资料2600多本，组织观看专题教育影片54场，1218名党员参与学习。组织180名党员干部到市反腐倡廉警示教育基地实地参观，接受警示教育。二是择优选拔干部。严格按照干部选拔任用程序，调整重用、交流正科级干部8名、副科级干部12名；提拔任用正科级干部11名、副科级干部42名、主任科员2名、副主任科员3名，让一批</w:t>
            </w:r>
            <w:r>
              <w:rPr>
                <w:rFonts w:hint="eastAsia" w:ascii="仿宋_GB2312" w:hAnsi="仿宋_GB2312" w:eastAsia="仿宋_GB2312" w:cs="仿宋_GB2312"/>
                <w:color w:val="000000"/>
                <w:sz w:val="24"/>
                <w:lang w:eastAsia="zh-CN"/>
              </w:rPr>
              <w:t>勤政务实、敢于担当</w:t>
            </w:r>
            <w:r>
              <w:rPr>
                <w:rFonts w:hint="eastAsia" w:ascii="仿宋_GB2312" w:hAnsi="仿宋_GB2312" w:eastAsia="仿宋_GB2312" w:cs="仿宋_GB2312"/>
                <w:color w:val="000000"/>
                <w:sz w:val="24"/>
              </w:rPr>
              <w:t>的基层干部走上科级干部岗位。三是深化作风建设。严格落实中央“八项规定”和实施细则精神，将反对官僚主义、形式主义摆在更加突出的位置；提醒谈话98人次，保持正风肃纪的强大震慑；各级负责干部深入基层调研，真抓实干真督办，抓一件成一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restart"/>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文明执法</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未发生执法纠纷事件、未出现重大伤亡事故、无负面舆情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主城区路灯照明监控系统提质改造</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已完成，进入“智能路灯”时代。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生活垃圾焚烧发电项目建设</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val="en-US" w:eastAsia="zh-CN"/>
              </w:rPr>
              <w:t>已点火运行。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大型垃圾中转站项目</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eastAsia="zh-CN"/>
              </w:rPr>
              <w:t>建成投用</w:t>
            </w:r>
            <w:r>
              <w:rPr>
                <w:rFonts w:hint="eastAsia" w:ascii="仿宋_GB2312" w:hAnsi="仿宋_GB2312" w:eastAsia="仿宋_GB2312" w:cs="仿宋_GB2312"/>
                <w:b w:val="0"/>
                <w:bCs/>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收购罗家坳垃圾填埋场</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收购完成，并升级</w:t>
            </w:r>
            <w:r>
              <w:rPr>
                <w:rFonts w:hint="eastAsia" w:ascii="仿宋_GB2312" w:hAnsi="仿宋_GB2312" w:eastAsia="仿宋_GB2312" w:cs="仿宋_GB2312"/>
                <w:color w:val="000000"/>
                <w:sz w:val="24"/>
              </w:rPr>
              <w:t>改造成</w:t>
            </w:r>
            <w:r>
              <w:rPr>
                <w:rFonts w:hint="eastAsia" w:ascii="仿宋_GB2312" w:hAnsi="仿宋_GB2312" w:eastAsia="仿宋_GB2312" w:cs="仿宋_GB2312"/>
                <w:color w:val="000000"/>
                <w:sz w:val="24"/>
                <w:lang w:eastAsia="zh-CN"/>
              </w:rPr>
              <w:t>市城市</w:t>
            </w:r>
            <w:r>
              <w:rPr>
                <w:rFonts w:hint="eastAsia" w:ascii="仿宋_GB2312" w:hAnsi="仿宋_GB2312" w:eastAsia="仿宋_GB2312" w:cs="仿宋_GB2312"/>
                <w:color w:val="000000"/>
                <w:sz w:val="24"/>
              </w:rPr>
              <w:t>生活垃圾焚烧发电厂的飞灰专用填埋场。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数字城管转换为智慧城管</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sz w:val="24"/>
                <w:szCs w:val="24"/>
              </w:rPr>
              <w:t>在功能拓展、管理升级、覆盖扩面、资源共享、公众参与5个板块升级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完善管理体制</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rPr>
              <w:t>成立市静脉产业园管理中心、市餐厨垃圾综合处理所、市智慧环卫信息中心；市城管局城陵矶新港区分局正式运作</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缓解停车难问题。</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both"/>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1、切实开展停车场建设。</w:t>
            </w:r>
            <w:r>
              <w:rPr>
                <w:rFonts w:hint="eastAsia" w:ascii="仿宋_GB2312" w:hAnsi="仿宋_GB2312" w:eastAsia="仿宋_GB2312" w:cs="仿宋_GB2312"/>
                <w:color w:val="000000"/>
                <w:sz w:val="24"/>
              </w:rPr>
              <w:t>协调提质改造2个停车场、新建9个停车场，新增停车泊位1907个；王家河桥东、东方红小学、朝阳小学等停车场项目开工建设。</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实施道路停车收费。市智慧停车系统建成投运。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健全办法规范</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both"/>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rPr>
              <w:t>对《岳阳市中心城区户外广告管理办法》《岳阳市中心城区市政公用设施移交管理办法》《岳阳市城市道路人行道管理办法》3个市政府规范性文件进行了修订；报请市政府印发《岳阳市人民政府关于加强市城区餐厨剩余物监管的通告》；编制并实施《岳阳市主城区户外广告设置专项规划》《岳阳市城市规划区绿道系统规划》；市政府规章《岳阳市城市绿线管理办法》《岳阳市燃气管理办法》经市政府第36次常务会议审定后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restart"/>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restart"/>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restart"/>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开展市容秩序整治</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rPr>
              <w:t>开展出店经营、乱摆摊点、占道作业</w:t>
            </w:r>
            <w:r>
              <w:rPr>
                <w:rFonts w:hint="eastAsia" w:ascii="仿宋_GB2312" w:hAnsi="仿宋_GB2312" w:eastAsia="仿宋_GB2312" w:cs="仿宋_GB2312"/>
                <w:color w:val="000000"/>
                <w:sz w:val="24"/>
                <w:lang w:eastAsia="zh-CN"/>
              </w:rPr>
              <w:t>等</w:t>
            </w:r>
            <w:r>
              <w:rPr>
                <w:rFonts w:hint="eastAsia" w:ascii="仿宋_GB2312" w:hAnsi="仿宋_GB2312" w:eastAsia="仿宋_GB2312" w:cs="仿宋_GB2312"/>
                <w:color w:val="000000"/>
                <w:sz w:val="24"/>
              </w:rPr>
              <w:t>集中整治380次，宣传教育5000余人次，督促1500余家门店进店经营，清理转移流动摊贩1000余人次，行政处罚151.28万元；</w:t>
            </w:r>
            <w:r>
              <w:rPr>
                <w:rFonts w:hint="eastAsia" w:ascii="仿宋_GB2312" w:hAnsi="仿宋_GB2312" w:eastAsia="仿宋_GB2312" w:cs="仿宋_GB2312"/>
                <w:color w:val="000000"/>
                <w:sz w:val="24"/>
                <w:lang w:eastAsia="zh-CN"/>
              </w:rPr>
              <w:t>规范</w:t>
            </w:r>
            <w:r>
              <w:rPr>
                <w:rFonts w:hint="eastAsia" w:ascii="仿宋_GB2312" w:hAnsi="仿宋_GB2312" w:eastAsia="仿宋_GB2312" w:cs="仿宋_GB2312"/>
                <w:color w:val="000000"/>
                <w:sz w:val="24"/>
              </w:rPr>
              <w:t>152家夜市门店</w:t>
            </w:r>
            <w:r>
              <w:rPr>
                <w:rFonts w:hint="eastAsia" w:ascii="仿宋_GB2312" w:hAnsi="仿宋_GB2312" w:eastAsia="仿宋_GB2312" w:cs="仿宋_GB2312"/>
                <w:color w:val="000000"/>
                <w:sz w:val="24"/>
                <w:lang w:eastAsia="zh-CN"/>
              </w:rPr>
              <w:t>经营行为</w:t>
            </w:r>
            <w:r>
              <w:rPr>
                <w:rFonts w:hint="eastAsia" w:ascii="仿宋_GB2312" w:hAnsi="仿宋_GB2312" w:eastAsia="仿宋_GB2312" w:cs="仿宋_GB2312"/>
                <w:color w:val="000000"/>
                <w:sz w:val="24"/>
              </w:rPr>
              <w:t>；对临街砂石销售场所和废品回收店开展专项整治，取缔29家，转移20家，规范18家；开展污染源专项整治</w:t>
            </w:r>
            <w:r>
              <w:rPr>
                <w:rFonts w:hint="eastAsia" w:ascii="仿宋_GB2312" w:hAnsi="仿宋_GB2312" w:eastAsia="仿宋_GB2312" w:cs="仿宋_GB2312"/>
                <w:color w:val="000000"/>
                <w:sz w:val="24"/>
                <w:lang w:eastAsia="zh-CN"/>
              </w:rPr>
              <w:t>行动</w:t>
            </w:r>
            <w:r>
              <w:rPr>
                <w:rFonts w:hint="eastAsia" w:ascii="仿宋_GB2312" w:hAnsi="仿宋_GB2312" w:eastAsia="仿宋_GB2312" w:cs="仿宋_GB2312"/>
                <w:color w:val="000000"/>
                <w:sz w:val="24"/>
              </w:rPr>
              <w:t>1000余次，</w:t>
            </w:r>
            <w:r>
              <w:rPr>
                <w:rFonts w:hint="eastAsia" w:ascii="仿宋_GB2312" w:hAnsi="仿宋_GB2312" w:eastAsia="仿宋_GB2312" w:cs="仿宋_GB2312"/>
                <w:color w:val="000000"/>
                <w:sz w:val="24"/>
                <w:lang w:eastAsia="zh-CN"/>
              </w:rPr>
              <w:t>受理群众</w:t>
            </w:r>
            <w:r>
              <w:rPr>
                <w:rFonts w:hint="eastAsia" w:ascii="仿宋_GB2312" w:hAnsi="仿宋_GB2312" w:eastAsia="仿宋_GB2312" w:cs="仿宋_GB2312"/>
                <w:color w:val="000000"/>
                <w:sz w:val="24"/>
              </w:rPr>
              <w:t>扬尘污染举报75起</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查处各类涉污案件656起</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环境卫生整洁</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1、保洁区域1088万平方米；2、</w:t>
            </w:r>
            <w:r>
              <w:rPr>
                <w:rFonts w:hint="eastAsia" w:ascii="仿宋_GB2312" w:hAnsi="仿宋_GB2312" w:eastAsia="仿宋_GB2312" w:cs="仿宋_GB2312"/>
                <w:color w:val="000000"/>
                <w:sz w:val="24"/>
                <w:lang w:eastAsia="zh-CN"/>
              </w:rPr>
              <w:t>垃圾分类试点</w:t>
            </w:r>
            <w:r>
              <w:rPr>
                <w:rFonts w:hint="eastAsia" w:ascii="仿宋_GB2312" w:hAnsi="仿宋_GB2312" w:eastAsia="仿宋_GB2312" w:cs="仿宋_GB2312"/>
                <w:b w:val="0"/>
                <w:bCs/>
                <w:color w:val="000000"/>
                <w:sz w:val="24"/>
                <w:lang w:val="en-US" w:eastAsia="zh-CN"/>
              </w:rPr>
              <w:t>5个小区；3、187家食堂和酒店的厨余垃圾收处。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精细</w:t>
            </w:r>
            <w:r>
              <w:rPr>
                <w:rFonts w:hint="eastAsia" w:ascii="仿宋_GB2312" w:hAnsi="仿宋_GB2312" w:eastAsia="仿宋_GB2312" w:cs="仿宋_GB2312"/>
                <w:color w:val="000000"/>
                <w:sz w:val="24"/>
              </w:rPr>
              <w:t>美化亮化</w:t>
            </w:r>
          </w:p>
        </w:tc>
        <w:tc>
          <w:tcPr>
            <w:tcW w:w="2684" w:type="dxa"/>
            <w:gridSpan w:val="6"/>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color w:val="000000"/>
                <w:sz w:val="24"/>
                <w:lang w:eastAsia="zh-CN"/>
              </w:rPr>
              <w:t>建成</w:t>
            </w:r>
            <w:r>
              <w:rPr>
                <w:rFonts w:hint="eastAsia" w:ascii="仿宋_GB2312" w:hAnsi="仿宋_GB2312" w:eastAsia="仿宋_GB2312" w:cs="仿宋_GB2312"/>
                <w:color w:val="000000"/>
                <w:sz w:val="24"/>
              </w:rPr>
              <w:t>洞庭大道、求索路、沿湖</w:t>
            </w:r>
            <w:r>
              <w:rPr>
                <w:rFonts w:hint="eastAsia" w:ascii="仿宋_GB2312" w:hAnsi="仿宋_GB2312" w:eastAsia="仿宋_GB2312" w:cs="仿宋_GB2312"/>
                <w:color w:val="000000"/>
                <w:sz w:val="24"/>
                <w:lang w:eastAsia="zh-CN"/>
              </w:rPr>
              <w:t>大道</w:t>
            </w:r>
            <w:r>
              <w:rPr>
                <w:rFonts w:hint="eastAsia" w:ascii="仿宋_GB2312" w:hAnsi="仿宋_GB2312" w:eastAsia="仿宋_GB2312" w:cs="仿宋_GB2312"/>
                <w:color w:val="000000"/>
                <w:sz w:val="24"/>
              </w:rPr>
              <w:t>、巴陵东路4条</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园林绿化管养示范路</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；春节摆花、国庆主题花展受到市委市政府的高度肯定。拆除擅自设置的户外广告650余块（条）</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市政维护优质</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color w:val="000000"/>
                <w:sz w:val="24"/>
              </w:rPr>
              <w:t>提质改造主干道9条、隧道2座、桥梁2座；更换、调整人行道板17.3万平方米，修补破损、下沉路面15.5万平方米，更换、修复雨水井盖960套、雨水篦子1330套；清淤疏浚管网约9.5万米；整治路面积水点9处。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深入</w:t>
            </w:r>
            <w:r>
              <w:rPr>
                <w:rFonts w:hint="eastAsia" w:ascii="仿宋_GB2312" w:hAnsi="仿宋_GB2312" w:eastAsia="仿宋_GB2312" w:cs="仿宋_GB2312"/>
                <w:color w:val="000000"/>
                <w:sz w:val="24"/>
              </w:rPr>
              <w:t>禁炮管理</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联合“六区”及公安、应急管理等部门开展炮源清缴行动300余次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新建公厕垃圾站</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4座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主城区渍水点整治</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12处渍水点整治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巴陵大桥市场拆除和安全隐患整治工作</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3次拆除了</w:t>
            </w:r>
            <w:r>
              <w:rPr>
                <w:rFonts w:hint="eastAsia" w:ascii="仿宋_GB2312" w:hAnsi="仿宋_GB2312" w:eastAsia="仿宋_GB2312" w:cs="仿宋_GB2312"/>
                <w:color w:val="000000"/>
                <w:sz w:val="24"/>
              </w:rPr>
              <w:t>各类建（构）物73处、2200平方米。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燃气管理工作</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color w:val="000000"/>
                <w:sz w:val="24"/>
              </w:rPr>
              <w:t>组织燃气安全培训3次，开展安全隐患大检查2次，指导各县市区开展燃气执法300多次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重大接待保障任务</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 w:hAnsi="仿宋" w:eastAsia="仿宋" w:cs="仿宋"/>
                <w:b/>
                <w:bCs/>
                <w:i w:val="0"/>
                <w:caps w:val="0"/>
                <w:color w:val="000000"/>
                <w:spacing w:val="0"/>
                <w:sz w:val="24"/>
                <w:szCs w:val="24"/>
                <w:shd w:val="clear" w:color="auto" w:fill="FFFFFF"/>
              </w:rPr>
            </w:pPr>
            <w:r>
              <w:rPr>
                <w:rFonts w:hint="eastAsia" w:ascii="仿宋" w:hAnsi="仿宋" w:eastAsia="仿宋" w:cs="仿宋"/>
                <w:b w:val="0"/>
                <w:bCs w:val="0"/>
                <w:i w:val="0"/>
                <w:caps w:val="0"/>
                <w:color w:val="000000"/>
                <w:spacing w:val="0"/>
                <w:sz w:val="24"/>
                <w:szCs w:val="24"/>
                <w:shd w:val="clear" w:color="auto" w:fill="FFFFFF"/>
                <w:lang w:val="en-US" w:eastAsia="zh-CN"/>
              </w:rPr>
              <w:t>40次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restart"/>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计划任务</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已按计划完成任务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突击任务</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高效优质完成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vMerge w:val="continue"/>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sz w:val="24"/>
              </w:rPr>
            </w:pP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应急事项</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快速完成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9"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控制在预算内。</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超出预算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restart"/>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努力把岳阳建成最干净、最卫生、最整洁、最宜居、最有品质的城市，使其成为岳阳文明形象的一张靓丽名片和招商引资金字招牌。</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群众满意度高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无直接经济效益，但管理到位，节约财政资金，产生间接经济效益。</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0"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美化城市环境，优化生态环境。</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生态环境良好。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sz w:val="24"/>
              </w:rPr>
            </w:pPr>
          </w:p>
        </w:tc>
        <w:tc>
          <w:tcPr>
            <w:tcW w:w="1549" w:type="dxa"/>
            <w:gridSpan w:val="3"/>
            <w:vMerge w:val="continue"/>
            <w:noWrap w:val="0"/>
            <w:vAlign w:val="center"/>
          </w:tcPr>
          <w:p>
            <w:pPr>
              <w:keepNext w:val="0"/>
              <w:keepLines w:val="0"/>
              <w:suppressLineNumbers w:val="0"/>
              <w:autoSpaceDN w:val="0"/>
              <w:spacing w:before="0" w:beforeAutospacing="0" w:after="0" w:afterAutospacing="0" w:line="320" w:lineRule="exact"/>
              <w:ind w:left="0" w:right="0"/>
              <w:rPr>
                <w:rFonts w:hint="eastAsia" w:ascii="仿宋_GB2312" w:hAnsi="仿宋_GB2312" w:eastAsia="仿宋_GB2312" w:cs="仿宋_GB2312"/>
                <w:sz w:val="24"/>
              </w:rPr>
            </w:pPr>
          </w:p>
        </w:tc>
        <w:tc>
          <w:tcPr>
            <w:tcW w:w="1417"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市民满意度</w:t>
            </w:r>
          </w:p>
        </w:tc>
        <w:tc>
          <w:tcPr>
            <w:tcW w:w="2684" w:type="dxa"/>
            <w:gridSpan w:val="6"/>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273" w:type="dxa"/>
            <w:gridSpan w:val="3"/>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312"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4"/>
              </w:rPr>
            </w:pPr>
            <w:r>
              <w:rPr>
                <w:rFonts w:hint="eastAsia" w:ascii="仿宋_GB2312" w:eastAsia="仿宋_GB2312"/>
                <w:sz w:val="24"/>
                <w:lang w:val="en-US" w:eastAsia="zh-CN"/>
              </w:rPr>
              <w:t xml:space="preserve">     </w:t>
            </w:r>
            <w:r>
              <w:rPr>
                <w:rFonts w:hint="eastAsia" w:ascii="仿宋_GB2312" w:eastAsia="仿宋_GB2312"/>
                <w:sz w:val="24"/>
                <w:lang w:eastAsia="zh-CN"/>
              </w:rPr>
              <w:t>袁本德</w:t>
            </w:r>
          </w:p>
        </w:tc>
        <w:tc>
          <w:tcPr>
            <w:tcW w:w="3561" w:type="dxa"/>
            <w:gridSpan w:val="5"/>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4"/>
              </w:rPr>
            </w:pPr>
            <w:r>
              <w:rPr>
                <w:rFonts w:hint="eastAsia" w:ascii="仿宋_GB2312" w:eastAsia="仿宋_GB2312"/>
                <w:sz w:val="24"/>
                <w:lang w:eastAsia="zh-CN"/>
              </w:rPr>
              <w:t>党组成员、总会计师</w:t>
            </w:r>
          </w:p>
        </w:tc>
        <w:tc>
          <w:tcPr>
            <w:tcW w:w="2273" w:type="dxa"/>
            <w:gridSpan w:val="3"/>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4"/>
              </w:rPr>
            </w:pPr>
            <w:r>
              <w:rPr>
                <w:rFonts w:hint="eastAsia" w:ascii="仿宋_GB2312" w:eastAsia="仿宋_GB2312"/>
                <w:sz w:val="24"/>
              </w:rPr>
              <w:t>岳阳市城市管理和</w:t>
            </w:r>
            <w:r>
              <w:rPr>
                <w:rFonts w:hint="eastAsia" w:ascii="仿宋_GB2312" w:eastAsia="仿宋_GB2312"/>
                <w:sz w:val="24"/>
                <w:lang w:eastAsia="zh-CN"/>
              </w:rPr>
              <w:t>综合</w:t>
            </w:r>
            <w:r>
              <w:rPr>
                <w:rFonts w:hint="eastAsia" w:ascii="仿宋_GB2312" w:eastAsia="仿宋_GB2312"/>
                <w:sz w:val="24"/>
              </w:rPr>
              <w:t>执法局</w:t>
            </w:r>
          </w:p>
        </w:tc>
        <w:tc>
          <w:tcPr>
            <w:tcW w:w="2312"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4"/>
              </w:rPr>
            </w:pPr>
            <w:r>
              <w:rPr>
                <w:rFonts w:hint="eastAsia" w:ascii="仿宋_GB2312" w:eastAsia="仿宋_GB2312"/>
                <w:sz w:val="24"/>
                <w:lang w:val="en-US" w:eastAsia="zh-CN"/>
              </w:rPr>
              <w:t xml:space="preserve">     </w:t>
            </w:r>
            <w:r>
              <w:rPr>
                <w:rFonts w:hint="eastAsia" w:ascii="仿宋_GB2312" w:eastAsia="仿宋_GB2312"/>
                <w:sz w:val="24"/>
                <w:lang w:eastAsia="zh-CN"/>
              </w:rPr>
              <w:t>廖芸琳</w:t>
            </w:r>
          </w:p>
        </w:tc>
        <w:tc>
          <w:tcPr>
            <w:tcW w:w="3561" w:type="dxa"/>
            <w:gridSpan w:val="5"/>
            <w:noWrap w:val="0"/>
            <w:vAlign w:val="center"/>
          </w:tcPr>
          <w:p>
            <w:pPr>
              <w:keepNext w:val="0"/>
              <w:keepLines w:val="0"/>
              <w:suppressLineNumbers w:val="0"/>
              <w:spacing w:before="0" w:beforeAutospacing="0" w:after="0" w:afterAutospacing="0"/>
              <w:ind w:left="0" w:right="0" w:firstLine="480" w:firstLineChars="200"/>
              <w:rPr>
                <w:rFonts w:hint="eastAsia" w:ascii="仿宋_GB2312" w:hAnsi="仿宋_GB2312" w:eastAsia="仿宋_GB2312" w:cs="仿宋_GB2312"/>
                <w:color w:val="000000"/>
                <w:sz w:val="24"/>
              </w:rPr>
            </w:pPr>
            <w:r>
              <w:rPr>
                <w:rFonts w:hint="eastAsia" w:ascii="仿宋_GB2312" w:eastAsia="仿宋_GB2312"/>
                <w:sz w:val="24"/>
              </w:rPr>
              <w:t>计财科科长</w:t>
            </w:r>
          </w:p>
        </w:tc>
        <w:tc>
          <w:tcPr>
            <w:tcW w:w="2273" w:type="dxa"/>
            <w:gridSpan w:val="3"/>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4"/>
              </w:rPr>
            </w:pPr>
            <w:r>
              <w:rPr>
                <w:rFonts w:hint="eastAsia" w:ascii="仿宋_GB2312" w:eastAsia="仿宋_GB2312"/>
                <w:sz w:val="24"/>
              </w:rPr>
              <w:t>岳阳市城市管理和</w:t>
            </w:r>
            <w:r>
              <w:rPr>
                <w:rFonts w:hint="eastAsia" w:ascii="仿宋_GB2312" w:eastAsia="仿宋_GB2312"/>
                <w:sz w:val="24"/>
                <w:lang w:eastAsia="zh-CN"/>
              </w:rPr>
              <w:t>综合</w:t>
            </w:r>
            <w:r>
              <w:rPr>
                <w:rFonts w:hint="eastAsia" w:ascii="仿宋_GB2312" w:eastAsia="仿宋_GB2312"/>
                <w:sz w:val="24"/>
              </w:rPr>
              <w:t>执法局</w:t>
            </w:r>
          </w:p>
        </w:tc>
        <w:tc>
          <w:tcPr>
            <w:tcW w:w="2312"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4"/>
              </w:rPr>
            </w:pPr>
            <w:r>
              <w:rPr>
                <w:rFonts w:hint="eastAsia" w:ascii="仿宋_GB2312" w:eastAsia="仿宋_GB2312"/>
                <w:sz w:val="24"/>
                <w:lang w:val="en-US" w:eastAsia="zh-CN"/>
              </w:rPr>
              <w:t xml:space="preserve">     李  瑛</w:t>
            </w:r>
          </w:p>
        </w:tc>
        <w:tc>
          <w:tcPr>
            <w:tcW w:w="3561" w:type="dxa"/>
            <w:gridSpan w:val="5"/>
            <w:noWrap w:val="0"/>
            <w:vAlign w:val="center"/>
          </w:tcPr>
          <w:p>
            <w:pPr>
              <w:keepNext w:val="0"/>
              <w:keepLines w:val="0"/>
              <w:suppressLineNumbers w:val="0"/>
              <w:spacing w:before="0" w:beforeAutospacing="0" w:after="0" w:afterAutospacing="0"/>
              <w:ind w:left="0" w:right="0" w:firstLine="120" w:firstLineChars="50"/>
              <w:rPr>
                <w:rFonts w:hint="eastAsia" w:ascii="仿宋_GB2312" w:hAnsi="仿宋_GB2312" w:eastAsia="仿宋_GB2312" w:cs="仿宋_GB2312"/>
                <w:color w:val="000000"/>
                <w:sz w:val="24"/>
              </w:rPr>
            </w:pPr>
            <w:r>
              <w:rPr>
                <w:rFonts w:hint="eastAsia" w:ascii="仿宋_GB2312" w:eastAsia="仿宋_GB2312"/>
                <w:sz w:val="24"/>
                <w:lang w:val="en-US" w:eastAsia="zh-CN"/>
              </w:rPr>
              <w:t xml:space="preserve">    </w:t>
            </w:r>
            <w:r>
              <w:rPr>
                <w:rFonts w:hint="eastAsia" w:ascii="仿宋_GB2312" w:eastAsia="仿宋_GB2312"/>
                <w:sz w:val="24"/>
              </w:rPr>
              <w:t>计财科</w:t>
            </w:r>
          </w:p>
        </w:tc>
        <w:tc>
          <w:tcPr>
            <w:tcW w:w="2273" w:type="dxa"/>
            <w:gridSpan w:val="3"/>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sz w:val="24"/>
              </w:rPr>
            </w:pPr>
            <w:r>
              <w:rPr>
                <w:rFonts w:hint="eastAsia" w:ascii="仿宋_GB2312" w:eastAsia="仿宋_GB2312"/>
                <w:sz w:val="24"/>
              </w:rPr>
              <w:t>岳阳市城市管理和</w:t>
            </w:r>
            <w:r>
              <w:rPr>
                <w:rFonts w:hint="eastAsia" w:ascii="仿宋_GB2312" w:eastAsia="仿宋_GB2312"/>
                <w:sz w:val="24"/>
                <w:lang w:eastAsia="zh-CN"/>
              </w:rPr>
              <w:t>综合</w:t>
            </w:r>
            <w:r>
              <w:rPr>
                <w:rFonts w:hint="eastAsia" w:ascii="仿宋_GB2312" w:eastAsia="仿宋_GB2312"/>
                <w:sz w:val="24"/>
              </w:rPr>
              <w:t>执法局</w:t>
            </w:r>
          </w:p>
        </w:tc>
        <w:tc>
          <w:tcPr>
            <w:tcW w:w="2312"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3561"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273" w:type="dxa"/>
            <w:gridSpan w:val="3"/>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312" w:type="dxa"/>
            <w:gridSpan w:val="5"/>
            <w:noWrap w:val="0"/>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02" w:hRule="atLeast"/>
          <w:jc w:val="center"/>
        </w:trPr>
        <w:tc>
          <w:tcPr>
            <w:tcW w:w="9800" w:type="dxa"/>
            <w:gridSpan w:val="15"/>
            <w:noWrap w:val="0"/>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noWrap w:val="0"/>
            <w:vAlign w:val="center"/>
          </w:tcPr>
          <w:p>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jc w:val="left"/>
              <w:textAlignment w:val="center"/>
              <w:rPr>
                <w:rFonts w:hint="eastAsia" w:ascii="仿宋_GB2312" w:hAnsi="仿宋_GB2312" w:eastAsia="仿宋_GB2312" w:cs="仿宋_GB2312"/>
                <w:color w:val="000000"/>
                <w:sz w:val="24"/>
              </w:rPr>
            </w:pPr>
          </w:p>
          <w:p>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jc w:val="left"/>
              <w:textAlignment w:val="center"/>
              <w:rPr>
                <w:rFonts w:hint="eastAsia" w:ascii="仿宋_GB2312" w:hAnsi="仿宋_GB2312" w:eastAsia="仿宋_GB2312" w:cs="仿宋_GB2312"/>
                <w:color w:val="000000"/>
                <w:sz w:val="24"/>
              </w:rPr>
            </w:pPr>
          </w:p>
          <w:p>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jc w:val="left"/>
              <w:textAlignment w:val="center"/>
              <w:rPr>
                <w:rFonts w:hint="eastAsia" w:ascii="仿宋_GB2312" w:hAnsi="仿宋_GB2312" w:eastAsia="仿宋_GB2312" w:cs="仿宋_GB2312"/>
                <w:color w:val="000000"/>
                <w:sz w:val="24"/>
              </w:rPr>
            </w:pPr>
          </w:p>
          <w:p>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9800" w:type="dxa"/>
            <w:gridSpan w:val="15"/>
            <w:noWrap w:val="0"/>
            <w:vAlign w:val="center"/>
          </w:tcPr>
          <w:p>
            <w:pPr>
              <w:keepNext w:val="0"/>
              <w:keepLines w:val="0"/>
              <w:pageBreakBefore w:val="0"/>
              <w:suppressLineNumbers w:val="0"/>
              <w:kinsoku/>
              <w:wordWrap/>
              <w:overflowPunct/>
              <w:topLinePunct w:val="0"/>
              <w:autoSpaceDE/>
              <w:bidi w:val="0"/>
              <w:adjustRightInd/>
              <w:snapToGrid/>
              <w:spacing w:before="0" w:beforeAutospacing="0" w:after="0" w:afterAutospacing="0" w:line="240" w:lineRule="auto"/>
              <w:ind w:left="0" w:leftChars="0" w:right="0"/>
              <w:rPr>
                <w:rFonts w:hint="eastAsia" w:eastAsia="仿宋_GB2312"/>
                <w:sz w:val="24"/>
              </w:rPr>
            </w:pPr>
            <w:r>
              <w:rPr>
                <w:rFonts w:hint="eastAsia" w:eastAsia="仿宋_GB2312"/>
                <w:sz w:val="24"/>
              </w:rPr>
              <w:t>财政部门归口业务科室意见：</w:t>
            </w:r>
          </w:p>
          <w:p>
            <w:pPr>
              <w:keepNext w:val="0"/>
              <w:keepLines w:val="0"/>
              <w:pageBreakBefore w:val="0"/>
              <w:suppressLineNumbers w:val="0"/>
              <w:kinsoku/>
              <w:wordWrap/>
              <w:overflowPunct/>
              <w:topLinePunct w:val="0"/>
              <w:autoSpaceDE/>
              <w:bidi w:val="0"/>
              <w:adjustRightInd/>
              <w:snapToGrid/>
              <w:spacing w:before="0" w:beforeAutospacing="0" w:after="0" w:afterAutospacing="0" w:line="240" w:lineRule="auto"/>
              <w:ind w:left="0" w:leftChars="0" w:right="0"/>
              <w:rPr>
                <w:rFonts w:hint="eastAsia" w:eastAsia="仿宋_GB2312"/>
                <w:sz w:val="24"/>
              </w:rPr>
            </w:pPr>
          </w:p>
          <w:p>
            <w:pPr>
              <w:keepNext w:val="0"/>
              <w:keepLines w:val="0"/>
              <w:pageBreakBefore w:val="0"/>
              <w:suppressLineNumbers w:val="0"/>
              <w:kinsoku/>
              <w:wordWrap/>
              <w:overflowPunct/>
              <w:topLinePunct w:val="0"/>
              <w:autoSpaceDE/>
              <w:bidi w:val="0"/>
              <w:adjustRightInd/>
              <w:snapToGrid/>
              <w:spacing w:before="0" w:beforeAutospacing="0" w:after="0" w:afterAutospacing="0" w:line="240" w:lineRule="auto"/>
              <w:ind w:left="0" w:leftChars="0" w:right="0"/>
              <w:rPr>
                <w:rFonts w:hint="eastAsia" w:eastAsia="仿宋_GB2312"/>
                <w:sz w:val="24"/>
              </w:rPr>
            </w:pPr>
          </w:p>
          <w:p>
            <w:pPr>
              <w:keepNext w:val="0"/>
              <w:keepLines w:val="0"/>
              <w:pageBreakBefore w:val="0"/>
              <w:suppressLineNumbers w:val="0"/>
              <w:kinsoku/>
              <w:wordWrap/>
              <w:overflowPunct/>
              <w:topLinePunct w:val="0"/>
              <w:autoSpaceDE/>
              <w:bidi w:val="0"/>
              <w:adjustRightInd/>
              <w:snapToGrid/>
              <w:spacing w:before="0" w:beforeAutospacing="0" w:after="0" w:afterAutospacing="0" w:line="240" w:lineRule="auto"/>
              <w:ind w:left="0" w:leftChars="0" w:right="0"/>
              <w:rPr>
                <w:rFonts w:hint="eastAsia" w:eastAsia="仿宋_GB2312"/>
                <w:sz w:val="24"/>
              </w:rPr>
            </w:pPr>
          </w:p>
          <w:p>
            <w:pPr>
              <w:keepNext w:val="0"/>
              <w:keepLines w:val="0"/>
              <w:pageBreakBefore w:val="0"/>
              <w:suppressLineNumbers w:val="0"/>
              <w:kinsoku/>
              <w:wordWrap/>
              <w:overflowPunct/>
              <w:topLinePunct w:val="0"/>
              <w:autoSpaceDE/>
              <w:bidi w:val="0"/>
              <w:adjustRightInd/>
              <w:snapToGrid/>
              <w:spacing w:before="0" w:beforeAutospacing="0" w:after="0" w:afterAutospacing="0" w:line="240" w:lineRule="auto"/>
              <w:ind w:left="0" w:leftChars="0" w:right="0"/>
              <w:rPr>
                <w:rFonts w:hint="eastAsia" w:eastAsia="仿宋_GB2312"/>
                <w:sz w:val="24"/>
              </w:rPr>
            </w:pPr>
          </w:p>
          <w:p>
            <w:pPr>
              <w:keepNext w:val="0"/>
              <w:keepLines w:val="0"/>
              <w:pageBreakBefore w:val="0"/>
              <w:suppressLineNumbers w:val="0"/>
              <w:kinsoku/>
              <w:wordWrap/>
              <w:overflowPunct/>
              <w:topLinePunct w:val="0"/>
              <w:autoSpaceDE/>
              <w:bidi w:val="0"/>
              <w:adjustRightInd/>
              <w:snapToGrid/>
              <w:spacing w:before="0" w:beforeAutospacing="0" w:after="0" w:afterAutospacing="0" w:line="240" w:lineRule="auto"/>
              <w:ind w:left="0" w:leftChars="0" w:right="0"/>
              <w:rPr>
                <w:rFonts w:hint="eastAsia" w:eastAsia="仿宋_GB2312"/>
                <w:sz w:val="24"/>
              </w:rPr>
            </w:pPr>
            <w:r>
              <w:rPr>
                <w:rFonts w:hint="eastAsia" w:eastAsia="仿宋_GB2312"/>
                <w:sz w:val="24"/>
              </w:rPr>
              <w:t xml:space="preserve">                                  财政部门归口业务科室负责人（签章）：</w:t>
            </w:r>
          </w:p>
          <w:p>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keepNext w:val="0"/>
        <w:keepLines w:val="0"/>
        <w:pageBreakBefore w:val="0"/>
        <w:kinsoku/>
        <w:wordWrap/>
        <w:overflowPunct/>
        <w:topLinePunct w:val="0"/>
        <w:autoSpaceDE/>
        <w:bidi w:val="0"/>
        <w:adjustRightInd/>
        <w:snapToGrid/>
        <w:spacing w:line="240" w:lineRule="auto"/>
        <w:ind w:leftChars="0"/>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8" w:hRule="atLeast"/>
          <w:jc w:val="center"/>
        </w:trPr>
        <w:tc>
          <w:tcPr>
            <w:tcW w:w="9558" w:type="dxa"/>
            <w:noWrap w:val="0"/>
            <w:vAlign w:val="top"/>
          </w:tcPr>
          <w:p>
            <w:pPr>
              <w:keepNext w:val="0"/>
              <w:keepLines w:val="0"/>
              <w:pageBreakBefore w:val="0"/>
              <w:suppressLineNumbers w:val="0"/>
              <w:kinsoku/>
              <w:wordWrap/>
              <w:overflowPunct/>
              <w:topLinePunct w:val="0"/>
              <w:autoSpaceDE/>
              <w:bidi w:val="0"/>
              <w:adjustRightInd/>
              <w:snapToGrid/>
              <w:spacing w:before="0" w:beforeAutospacing="0" w:after="0" w:afterAutospacing="0" w:line="240" w:lineRule="auto"/>
              <w:ind w:left="0" w:leftChars="0" w:right="0"/>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黑体" w:hAnsi="黑体" w:eastAsia="黑体" w:cs="黑体"/>
                <w:bCs/>
                <w:sz w:val="24"/>
                <w:szCs w:val="32"/>
              </w:rPr>
            </w:pPr>
            <w:r>
              <w:rPr>
                <w:rFonts w:hint="eastAsia" w:ascii="黑体" w:hAnsi="黑体" w:eastAsia="黑体" w:cs="黑体"/>
                <w:bCs/>
                <w:sz w:val="24"/>
                <w:szCs w:val="32"/>
              </w:rPr>
              <w:t>一、部门（单位）概况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rPr>
            </w:pPr>
            <w:r>
              <w:rPr>
                <w:rFonts w:hint="eastAsia" w:ascii="仿宋" w:hAnsi="仿宋" w:eastAsia="仿宋" w:cs="仿宋"/>
                <w:b/>
                <w:bCs w:val="0"/>
                <w:sz w:val="24"/>
                <w:szCs w:val="32"/>
              </w:rPr>
              <w:t>（一）部门（单位）基本情况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i w:val="0"/>
                <w:caps w:val="0"/>
                <w:color w:val="000000"/>
                <w:spacing w:val="0"/>
                <w:sz w:val="24"/>
                <w:szCs w:val="32"/>
                <w:shd w:val="clear" w:color="auto" w:fill="FFFFFF"/>
                <w:lang w:eastAsia="zh-CN"/>
              </w:rPr>
            </w:pPr>
            <w:r>
              <w:rPr>
                <w:rFonts w:hint="eastAsia" w:ascii="仿宋" w:hAnsi="仿宋" w:eastAsia="仿宋" w:cs="仿宋"/>
                <w:i w:val="0"/>
                <w:caps w:val="0"/>
                <w:color w:val="000000"/>
                <w:spacing w:val="0"/>
                <w:sz w:val="24"/>
                <w:szCs w:val="32"/>
                <w:shd w:val="clear" w:color="auto" w:fill="FFFFFF"/>
              </w:rPr>
              <w:t>岳阳市城管局成立于2004年12月，由原市公用事业局与市政府城管办合并组建，2007年加挂市城市管理行政执法局的牌子，2019年1月更名为市城市管理和综合执法局。</w:t>
            </w:r>
            <w:r>
              <w:rPr>
                <w:rFonts w:hint="eastAsia" w:ascii="仿宋" w:hAnsi="仿宋" w:eastAsia="仿宋" w:cs="仿宋"/>
                <w:i w:val="0"/>
                <w:caps w:val="0"/>
                <w:color w:val="000000"/>
                <w:spacing w:val="0"/>
                <w:sz w:val="24"/>
                <w:szCs w:val="32"/>
                <w:shd w:val="clear" w:color="auto" w:fill="FFFFFF"/>
                <w:lang w:eastAsia="zh-CN"/>
              </w:rPr>
              <w:t>现有在职人员</w:t>
            </w:r>
            <w:r>
              <w:rPr>
                <w:rFonts w:hint="eastAsia" w:ascii="仿宋" w:hAnsi="仿宋" w:eastAsia="仿宋" w:cs="仿宋"/>
                <w:i w:val="0"/>
                <w:caps w:val="0"/>
                <w:color w:val="000000"/>
                <w:spacing w:val="0"/>
                <w:sz w:val="24"/>
                <w:szCs w:val="32"/>
                <w:shd w:val="clear" w:color="auto" w:fill="FFFFFF"/>
                <w:lang w:val="en-US" w:eastAsia="zh-CN"/>
              </w:rPr>
              <w:t>47人，内设</w:t>
            </w:r>
            <w:r>
              <w:rPr>
                <w:rFonts w:hint="eastAsia" w:ascii="仿宋" w:hAnsi="仿宋" w:eastAsia="仿宋" w:cs="仿宋"/>
                <w:i w:val="0"/>
                <w:caps w:val="0"/>
                <w:color w:val="000000"/>
                <w:spacing w:val="0"/>
                <w:sz w:val="24"/>
                <w:szCs w:val="32"/>
                <w:shd w:val="clear" w:color="auto" w:fill="FFFFFF"/>
              </w:rPr>
              <w:t>办公室、计划财务科、审计科、基础设施建设管理科、人事科、城市管理考评</w:t>
            </w:r>
            <w:r>
              <w:rPr>
                <w:rFonts w:hint="eastAsia" w:ascii="仿宋" w:hAnsi="仿宋" w:eastAsia="仿宋" w:cs="仿宋"/>
                <w:i w:val="0"/>
                <w:caps w:val="0"/>
                <w:color w:val="000000"/>
                <w:spacing w:val="0"/>
                <w:sz w:val="24"/>
                <w:szCs w:val="32"/>
                <w:shd w:val="clear" w:color="auto" w:fill="FFFFFF"/>
                <w:lang w:eastAsia="zh-CN"/>
              </w:rPr>
              <w:t>科</w:t>
            </w:r>
            <w:r>
              <w:rPr>
                <w:rFonts w:hint="eastAsia" w:ascii="仿宋" w:hAnsi="仿宋" w:eastAsia="仿宋" w:cs="仿宋"/>
                <w:i w:val="0"/>
                <w:caps w:val="0"/>
                <w:color w:val="000000"/>
                <w:spacing w:val="0"/>
                <w:sz w:val="24"/>
                <w:szCs w:val="32"/>
                <w:shd w:val="clear" w:color="auto" w:fill="FFFFFF"/>
              </w:rPr>
              <w:t>、市容环境卫生管理科、燃气管理</w:t>
            </w:r>
            <w:r>
              <w:rPr>
                <w:rFonts w:hint="eastAsia" w:ascii="仿宋" w:hAnsi="仿宋" w:eastAsia="仿宋" w:cs="仿宋"/>
                <w:i w:val="0"/>
                <w:caps w:val="0"/>
                <w:color w:val="000000"/>
                <w:spacing w:val="0"/>
                <w:sz w:val="24"/>
                <w:szCs w:val="32"/>
                <w:shd w:val="clear" w:color="auto" w:fill="FFFFFF"/>
                <w:lang w:eastAsia="zh-CN"/>
              </w:rPr>
              <w:t>科</w:t>
            </w:r>
            <w:r>
              <w:rPr>
                <w:rFonts w:hint="eastAsia" w:ascii="仿宋" w:hAnsi="仿宋" w:eastAsia="仿宋" w:cs="仿宋"/>
                <w:i w:val="0"/>
                <w:caps w:val="0"/>
                <w:color w:val="000000"/>
                <w:spacing w:val="0"/>
                <w:sz w:val="24"/>
                <w:szCs w:val="32"/>
                <w:shd w:val="clear" w:color="auto" w:fill="FFFFFF"/>
              </w:rPr>
              <w:t>（安全科）、政策法规科</w:t>
            </w:r>
            <w:r>
              <w:rPr>
                <w:rFonts w:hint="eastAsia" w:ascii="仿宋" w:hAnsi="仿宋" w:eastAsia="仿宋" w:cs="仿宋"/>
                <w:i w:val="0"/>
                <w:caps w:val="0"/>
                <w:color w:val="000000"/>
                <w:spacing w:val="0"/>
                <w:sz w:val="24"/>
                <w:szCs w:val="32"/>
                <w:shd w:val="clear" w:color="auto" w:fill="FFFFFF"/>
                <w:lang w:eastAsia="zh-CN"/>
              </w:rPr>
              <w:t>、</w:t>
            </w:r>
            <w:r>
              <w:rPr>
                <w:rFonts w:hint="eastAsia" w:ascii="仿宋" w:hAnsi="仿宋" w:eastAsia="仿宋" w:cs="仿宋"/>
                <w:i w:val="0"/>
                <w:caps w:val="0"/>
                <w:color w:val="000000"/>
                <w:spacing w:val="0"/>
                <w:sz w:val="24"/>
                <w:szCs w:val="32"/>
                <w:shd w:val="clear" w:color="auto" w:fill="FFFFFF"/>
              </w:rPr>
              <w:t>行政审批</w:t>
            </w:r>
            <w:r>
              <w:rPr>
                <w:rFonts w:hint="eastAsia" w:ascii="仿宋" w:hAnsi="仿宋" w:eastAsia="仿宋" w:cs="仿宋"/>
                <w:i w:val="0"/>
                <w:caps w:val="0"/>
                <w:color w:val="000000"/>
                <w:spacing w:val="0"/>
                <w:sz w:val="24"/>
                <w:szCs w:val="32"/>
                <w:shd w:val="clear" w:color="auto" w:fill="FFFFFF"/>
                <w:lang w:eastAsia="zh-CN"/>
              </w:rPr>
              <w:t>科</w:t>
            </w:r>
            <w:r>
              <w:rPr>
                <w:rFonts w:hint="eastAsia" w:ascii="仿宋" w:hAnsi="仿宋" w:eastAsia="仿宋" w:cs="仿宋"/>
                <w:i w:val="0"/>
                <w:caps w:val="0"/>
                <w:color w:val="000000"/>
                <w:spacing w:val="0"/>
                <w:sz w:val="24"/>
                <w:szCs w:val="32"/>
                <w:shd w:val="clear" w:color="auto" w:fill="FFFFFF"/>
              </w:rPr>
              <w:t>、离退休人员管理服务科、</w:t>
            </w:r>
            <w:r>
              <w:rPr>
                <w:rFonts w:hint="eastAsia" w:ascii="仿宋" w:hAnsi="仿宋" w:eastAsia="仿宋" w:cs="仿宋"/>
                <w:i w:val="0"/>
                <w:caps w:val="0"/>
                <w:color w:val="000000"/>
                <w:spacing w:val="0"/>
                <w:sz w:val="24"/>
                <w:szCs w:val="32"/>
                <w:shd w:val="clear" w:color="auto" w:fill="FFFFFF"/>
                <w:lang w:eastAsia="zh-CN"/>
              </w:rPr>
              <w:t>户外广告管理科、城市绿线管理科、园林绿化管理科</w:t>
            </w:r>
            <w:r>
              <w:rPr>
                <w:rFonts w:hint="eastAsia" w:ascii="仿宋" w:hAnsi="仿宋" w:eastAsia="仿宋" w:cs="仿宋"/>
                <w:i w:val="0"/>
                <w:caps w:val="0"/>
                <w:color w:val="000000"/>
                <w:spacing w:val="0"/>
                <w:sz w:val="24"/>
                <w:szCs w:val="32"/>
                <w:shd w:val="clear" w:color="auto" w:fill="FFFFFF"/>
              </w:rPr>
              <w:t>、机关党委</w:t>
            </w:r>
            <w:r>
              <w:rPr>
                <w:rFonts w:hint="eastAsia" w:ascii="仿宋" w:hAnsi="仿宋" w:eastAsia="仿宋" w:cs="仿宋"/>
                <w:i w:val="0"/>
                <w:caps w:val="0"/>
                <w:color w:val="000000"/>
                <w:spacing w:val="0"/>
                <w:sz w:val="24"/>
                <w:szCs w:val="32"/>
                <w:shd w:val="clear" w:color="auto" w:fill="FFFFFF"/>
                <w:lang w:eastAsia="zh-CN"/>
              </w:rPr>
              <w:t>、信访维稳科</w:t>
            </w:r>
            <w:r>
              <w:rPr>
                <w:rFonts w:hint="eastAsia" w:ascii="仿宋" w:hAnsi="仿宋" w:eastAsia="仿宋" w:cs="仿宋"/>
                <w:i w:val="0"/>
                <w:caps w:val="0"/>
                <w:color w:val="000000"/>
                <w:spacing w:val="0"/>
                <w:sz w:val="24"/>
                <w:szCs w:val="32"/>
                <w:shd w:val="clear" w:color="auto" w:fill="FFFFFF"/>
              </w:rPr>
              <w:t>1</w:t>
            </w:r>
            <w:r>
              <w:rPr>
                <w:rFonts w:hint="eastAsia" w:ascii="仿宋" w:hAnsi="仿宋" w:eastAsia="仿宋" w:cs="仿宋"/>
                <w:i w:val="0"/>
                <w:caps w:val="0"/>
                <w:color w:val="000000"/>
                <w:spacing w:val="0"/>
                <w:sz w:val="24"/>
                <w:szCs w:val="32"/>
                <w:shd w:val="clear" w:color="auto" w:fill="FFFFFF"/>
                <w:lang w:val="en-US" w:eastAsia="zh-CN"/>
              </w:rPr>
              <w:t>6</w:t>
            </w:r>
            <w:r>
              <w:rPr>
                <w:rFonts w:hint="eastAsia" w:ascii="仿宋" w:hAnsi="仿宋" w:eastAsia="仿宋" w:cs="仿宋"/>
                <w:i w:val="0"/>
                <w:caps w:val="0"/>
                <w:color w:val="000000"/>
                <w:spacing w:val="0"/>
                <w:sz w:val="24"/>
                <w:szCs w:val="32"/>
                <w:shd w:val="clear" w:color="auto" w:fill="FFFFFF"/>
              </w:rPr>
              <w:t>个业务科室</w:t>
            </w:r>
            <w:r>
              <w:rPr>
                <w:rFonts w:hint="eastAsia" w:ascii="仿宋" w:hAnsi="仿宋" w:eastAsia="仿宋" w:cs="仿宋"/>
                <w:i w:val="0"/>
                <w:caps w:val="0"/>
                <w:color w:val="000000"/>
                <w:spacing w:val="0"/>
                <w:sz w:val="24"/>
                <w:szCs w:val="32"/>
                <w:shd w:val="clear" w:color="auto" w:fill="FFFFFF"/>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rPr>
            </w:pPr>
            <w:r>
              <w:rPr>
                <w:rFonts w:hint="eastAsia" w:ascii="仿宋" w:hAnsi="仿宋" w:eastAsia="仿宋" w:cs="仿宋"/>
                <w:i w:val="0"/>
                <w:caps w:val="0"/>
                <w:color w:val="000000"/>
                <w:spacing w:val="0"/>
                <w:sz w:val="24"/>
                <w:szCs w:val="32"/>
                <w:shd w:val="clear" w:color="auto" w:fill="FFFFFF"/>
                <w:lang w:eastAsia="zh-CN"/>
              </w:rPr>
              <w:t>主要职能：</w:t>
            </w:r>
            <w:r>
              <w:rPr>
                <w:rFonts w:hint="eastAsia" w:ascii="仿宋" w:hAnsi="仿宋" w:eastAsia="仿宋" w:cs="仿宋"/>
                <w:bCs/>
                <w:sz w:val="24"/>
                <w:szCs w:val="32"/>
              </w:rPr>
              <w:t>贯彻执行国家和地方关于城市管理和城市管理行政执法的法律法规和政策，负责城市基础设施的“黄线”控制及路政管理；负责城市道路及基础设施的管理、经营、改造和维护，负责指导、协调城市园林绿化的管理工作；负责组织城市市政公用设施、城市路灯照明、市容和环境卫生管理工作；负责审批道路破占、桥梁占用、停车场与洗车场的设置和基建土石方调配。负责中心城区城市规划范围内户外广告管理；负责“12319”城市管理热线管理与服务。负责城市管理的综合整治和行政执法，研究拟订有关管理制度和规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 w:hAnsi="仿宋" w:eastAsia="仿宋" w:cs="仿宋"/>
                <w:bCs/>
                <w:sz w:val="24"/>
                <w:szCs w:val="32"/>
              </w:rPr>
            </w:pPr>
            <w:r>
              <w:rPr>
                <w:rFonts w:hint="eastAsia" w:ascii="仿宋" w:hAnsi="仿宋" w:eastAsia="仿宋" w:cs="仿宋"/>
                <w:b/>
                <w:bCs w:val="0"/>
                <w:sz w:val="24"/>
                <w:szCs w:val="32"/>
                <w:lang w:eastAsia="zh-CN"/>
              </w:rPr>
              <w:t>（二）</w:t>
            </w:r>
            <w:r>
              <w:rPr>
                <w:rFonts w:hint="eastAsia" w:ascii="仿宋" w:hAnsi="仿宋" w:eastAsia="仿宋" w:cs="仿宋"/>
                <w:b/>
                <w:bCs w:val="0"/>
                <w:sz w:val="24"/>
                <w:szCs w:val="32"/>
              </w:rPr>
              <w:t>部门（单位）整体支出规模、使用方向和主要内容、涉及范围等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lang w:val="en-US" w:eastAsia="zh-CN"/>
              </w:rPr>
            </w:pPr>
            <w:r>
              <w:rPr>
                <w:rFonts w:hint="eastAsia" w:ascii="仿宋" w:hAnsi="仿宋" w:eastAsia="仿宋" w:cs="仿宋"/>
                <w:bCs/>
                <w:sz w:val="24"/>
                <w:szCs w:val="32"/>
                <w:lang w:val="en-US" w:eastAsia="zh-CN"/>
              </w:rPr>
              <w:t>2019年度实际支出9741.29万元（其中基本支出1017.16万元，项目支出8684.13万元，其他支出40万元）。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rPr>
            </w:pPr>
            <w:r>
              <w:rPr>
                <w:rFonts w:hint="eastAsia" w:ascii="仿宋" w:hAnsi="仿宋" w:eastAsia="仿宋" w:cs="仿宋"/>
                <w:bCs/>
                <w:sz w:val="24"/>
                <w:szCs w:val="32"/>
                <w:lang w:val="en-US" w:eastAsia="zh-CN"/>
              </w:rPr>
              <w:t>基本支出主要列支人员支出（包括工资福利支出及对个人和家庭的补助）和公用支出（商品和服务支出及资本性支出）。项目支出主要列支大型垃圾中转站建设经费、城市应急机动经费、重大节日摆花经费、亮化提质改造经费、春节氛围营造经费、垃圾站建设经费、扶贫经费、洞庭湖矮网围清理整治经费、王家河桥梁病害整治经费、船泊垃圾收集经费、静脉产业园经费、金鹗公园山体绿化护坡经费、理工和郭镇泵站提质改造经费、市政维护设备经费、环卫工人休息室建设经费、局系统制服标志标识采购经费、烈士陵园园林景观工程经费、岳阳东站应急通道建设经费、黑臭水体整治经费、绿道系统规划编制设计经费、市政抗冰除雪经费、南湖大道提质经费、园林绿化遥感测试项目服务经费、城区望岳路老垄坡拆迁排水改造经费、城市管理考评经费、古树名木管理经费、燃气市场管理经费、城市综合管理及安全生产工作经费、垃圾发电工作经费、城市综合管理宣传经费、户外广告整治工作经费、城区主要路段综合升级管理经费、公安城管执法大队工作经费、垃圾无害化处理设施建设工作经费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黑体" w:hAnsi="黑体" w:eastAsia="黑体" w:cs="黑体"/>
                <w:bCs/>
                <w:sz w:val="24"/>
                <w:szCs w:val="32"/>
              </w:rPr>
            </w:pPr>
            <w:r>
              <w:rPr>
                <w:rFonts w:hint="eastAsia" w:ascii="黑体" w:hAnsi="黑体" w:eastAsia="黑体" w:cs="黑体"/>
                <w:bCs/>
                <w:sz w:val="24"/>
                <w:szCs w:val="32"/>
              </w:rPr>
              <w:t>二、部门（单位）整体支出管理及使用情况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rPr>
            </w:pPr>
            <w:r>
              <w:rPr>
                <w:rFonts w:hint="eastAsia" w:ascii="仿宋" w:hAnsi="仿宋" w:eastAsia="仿宋" w:cs="仿宋"/>
                <w:b/>
                <w:bCs w:val="0"/>
                <w:sz w:val="24"/>
                <w:szCs w:val="32"/>
              </w:rPr>
              <w:t>（一）基本支出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lang w:val="en-US"/>
              </w:rPr>
            </w:pPr>
            <w:r>
              <w:rPr>
                <w:rFonts w:hint="eastAsia" w:ascii="仿宋" w:hAnsi="仿宋" w:eastAsia="仿宋" w:cs="仿宋"/>
                <w:bCs/>
                <w:sz w:val="24"/>
                <w:szCs w:val="32"/>
                <w:lang w:val="en-US" w:eastAsia="zh-CN"/>
              </w:rPr>
              <w:t>2019年度</w:t>
            </w:r>
            <w:r>
              <w:rPr>
                <w:rFonts w:hint="eastAsia" w:ascii="仿宋" w:hAnsi="仿宋" w:eastAsia="仿宋" w:cs="仿宋"/>
                <w:bCs/>
                <w:sz w:val="24"/>
                <w:szCs w:val="32"/>
              </w:rPr>
              <w:t>基本支出</w:t>
            </w:r>
            <w:r>
              <w:rPr>
                <w:rFonts w:hint="eastAsia" w:ascii="仿宋" w:hAnsi="仿宋" w:eastAsia="仿宋" w:cs="仿宋"/>
                <w:bCs/>
                <w:sz w:val="24"/>
                <w:szCs w:val="32"/>
                <w:lang w:val="en-US" w:eastAsia="zh-CN"/>
              </w:rPr>
              <w:t>1017.16</w:t>
            </w:r>
            <w:r>
              <w:rPr>
                <w:rFonts w:hint="eastAsia" w:ascii="仿宋" w:hAnsi="仿宋" w:eastAsia="仿宋" w:cs="仿宋"/>
                <w:bCs/>
                <w:sz w:val="24"/>
                <w:szCs w:val="32"/>
              </w:rPr>
              <w:t>万元，</w:t>
            </w:r>
            <w:r>
              <w:rPr>
                <w:rFonts w:hint="eastAsia" w:ascii="仿宋" w:hAnsi="仿宋" w:eastAsia="仿宋" w:cs="仿宋"/>
                <w:bCs/>
                <w:sz w:val="24"/>
                <w:szCs w:val="32"/>
                <w:lang w:val="en-US" w:eastAsia="zh-CN"/>
              </w:rPr>
              <w:t>其中</w:t>
            </w:r>
            <w:r>
              <w:rPr>
                <w:rFonts w:hint="eastAsia" w:ascii="仿宋" w:hAnsi="仿宋" w:eastAsia="仿宋" w:cs="仿宋"/>
                <w:bCs/>
                <w:sz w:val="24"/>
                <w:szCs w:val="32"/>
              </w:rPr>
              <w:t>人员支出</w:t>
            </w:r>
            <w:r>
              <w:rPr>
                <w:rFonts w:hint="eastAsia" w:ascii="仿宋" w:hAnsi="仿宋" w:eastAsia="仿宋" w:cs="仿宋"/>
                <w:bCs/>
                <w:sz w:val="24"/>
                <w:szCs w:val="32"/>
                <w:lang w:val="en-US" w:eastAsia="zh-CN"/>
              </w:rPr>
              <w:t>803.69</w:t>
            </w:r>
            <w:r>
              <w:rPr>
                <w:rFonts w:hint="eastAsia" w:ascii="仿宋" w:hAnsi="仿宋" w:eastAsia="仿宋" w:cs="仿宋"/>
                <w:bCs/>
                <w:sz w:val="24"/>
                <w:szCs w:val="32"/>
              </w:rPr>
              <w:t>万元，公用支出</w:t>
            </w:r>
            <w:r>
              <w:rPr>
                <w:rFonts w:hint="eastAsia" w:ascii="仿宋" w:hAnsi="仿宋" w:eastAsia="仿宋" w:cs="仿宋"/>
                <w:bCs/>
                <w:sz w:val="24"/>
                <w:szCs w:val="32"/>
                <w:lang w:val="en-US" w:eastAsia="zh-CN"/>
              </w:rPr>
              <w:t>213.47</w:t>
            </w:r>
            <w:r>
              <w:rPr>
                <w:rFonts w:hint="eastAsia" w:ascii="仿宋" w:hAnsi="仿宋" w:eastAsia="仿宋" w:cs="仿宋"/>
                <w:bCs/>
                <w:sz w:val="24"/>
                <w:szCs w:val="32"/>
              </w:rPr>
              <w:t>万元。</w:t>
            </w:r>
            <w:r>
              <w:rPr>
                <w:rFonts w:hint="eastAsia" w:ascii="仿宋" w:hAnsi="仿宋" w:eastAsia="仿宋" w:cs="仿宋"/>
                <w:bCs/>
                <w:sz w:val="24"/>
                <w:szCs w:val="32"/>
                <w:lang w:eastAsia="zh-CN"/>
              </w:rPr>
              <w:t>其中，</w:t>
            </w:r>
            <w:r>
              <w:rPr>
                <w:rFonts w:hint="eastAsia" w:ascii="仿宋" w:hAnsi="仿宋" w:eastAsia="仿宋" w:cs="仿宋"/>
                <w:bCs/>
                <w:sz w:val="24"/>
                <w:szCs w:val="32"/>
                <w:lang w:val="en-US" w:eastAsia="zh-CN"/>
              </w:rPr>
              <w:t>本年度公务接待费支出1.02万元,公务用车运行维护费支出12.46万元,因公出国费支出6.51万元。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rPr>
            </w:pPr>
            <w:r>
              <w:rPr>
                <w:rFonts w:hint="eastAsia" w:ascii="仿宋" w:hAnsi="仿宋" w:eastAsia="仿宋" w:cs="仿宋"/>
                <w:b/>
                <w:bCs w:val="0"/>
                <w:sz w:val="24"/>
                <w:szCs w:val="32"/>
              </w:rPr>
              <w:t>（二）专项支出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rPr>
            </w:pPr>
            <w:r>
              <w:rPr>
                <w:rFonts w:hint="eastAsia" w:ascii="仿宋" w:hAnsi="仿宋" w:eastAsia="仿宋" w:cs="仿宋"/>
                <w:bCs/>
                <w:sz w:val="24"/>
                <w:szCs w:val="32"/>
              </w:rPr>
              <w:t>1</w:t>
            </w:r>
            <w:r>
              <w:rPr>
                <w:rFonts w:hint="eastAsia" w:ascii="仿宋" w:hAnsi="仿宋" w:eastAsia="仿宋" w:cs="仿宋"/>
                <w:bCs/>
                <w:sz w:val="24"/>
                <w:szCs w:val="32"/>
                <w:lang w:eastAsia="zh-CN"/>
              </w:rPr>
              <w:t>.</w:t>
            </w:r>
            <w:r>
              <w:rPr>
                <w:rFonts w:hint="eastAsia" w:ascii="仿宋" w:hAnsi="仿宋" w:eastAsia="仿宋" w:cs="仿宋"/>
                <w:bCs/>
                <w:sz w:val="24"/>
                <w:szCs w:val="32"/>
              </w:rPr>
              <w:t>专项资金安排落实、总投入等情况分析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lang w:val="en-US" w:eastAsia="zh-CN"/>
              </w:rPr>
            </w:pPr>
            <w:r>
              <w:rPr>
                <w:rFonts w:hint="eastAsia" w:ascii="仿宋" w:hAnsi="仿宋" w:eastAsia="仿宋" w:cs="仿宋"/>
                <w:bCs/>
                <w:sz w:val="24"/>
                <w:szCs w:val="32"/>
                <w:lang w:val="en-US" w:eastAsia="zh-CN"/>
              </w:rPr>
              <w:t>2019年项目资金年初预算1075万元。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bCs/>
                <w:sz w:val="24"/>
                <w:szCs w:val="32"/>
              </w:rPr>
            </w:pPr>
            <w:r>
              <w:rPr>
                <w:rFonts w:hint="eastAsia" w:ascii="仿宋" w:hAnsi="仿宋" w:eastAsia="仿宋" w:cs="仿宋"/>
                <w:bCs/>
                <w:sz w:val="24"/>
                <w:szCs w:val="32"/>
                <w:lang w:val="en-US" w:eastAsia="zh-CN"/>
              </w:rPr>
              <w:t>2.</w:t>
            </w:r>
            <w:r>
              <w:rPr>
                <w:rFonts w:hint="eastAsia" w:ascii="仿宋" w:hAnsi="仿宋" w:eastAsia="仿宋" w:cs="仿宋"/>
                <w:bCs/>
                <w:sz w:val="24"/>
                <w:szCs w:val="32"/>
              </w:rPr>
              <w:t>专项资金实际使用情况分析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bCs/>
                <w:sz w:val="24"/>
                <w:szCs w:val="32"/>
                <w:lang w:val="en-US" w:eastAsia="zh-CN"/>
              </w:rPr>
            </w:pPr>
            <w:r>
              <w:rPr>
                <w:rFonts w:hint="eastAsia" w:ascii="仿宋" w:hAnsi="仿宋" w:eastAsia="仿宋" w:cs="仿宋"/>
                <w:bCs/>
                <w:sz w:val="24"/>
                <w:szCs w:val="32"/>
                <w:lang w:val="en-US" w:eastAsia="zh-CN"/>
              </w:rPr>
              <w:t>2019年项目支出共9741.29万元，主要用于大型垃圾中转站建设经费2822.43万元，城市应急机动经费281.97万元、重大节日摆花经费253.88万元、春节氛围营造经费292万元，垃圾站建设经费443万元，扶贫经费163.78万元，洞庭湖矮网围清理整治经费116.23万元、王家河桥梁病害整治经费177.43万元、船泊垃圾收集经费224万元、静脉产业园建设经费1570.05万元、金鹗公园山体绿化护坡经费157.5万元、理工和郭镇泵站提质改造经费201万元、市政维护设备经费171.3万元、环卫工人休息室建设经费180.65万元、局系统制服标志标识采购经费172万元、烈士陵园园林景观工程经费153万元、岳阳东站应急通道建设经费99万元、黑臭水体整治经费77万元、绿道系统规划编制设计经费44万元、市政抗冰除雪经费70万元、南湖大道提质经费60.44万元、园林绿化遥感测试项目服务经费53.26万元、城区望岳路老垄坡拆迁排水改造经费52.9万元，其他项目（包括城市管理考评经费、古树名木管理经费、燃气市场管理经费、城市综合管理及安全生产工作经费、垃圾发电工作经费、城市综合管理宣传经费、户外广告整治工作经费、城区主要路段综合升级管理经费、公安城管执法大队工作经费、垃圾无害化处理设施建设工作经费等）1904.47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560"/>
              <w:textAlignment w:val="auto"/>
              <w:rPr>
                <w:rFonts w:hint="eastAsia" w:ascii="仿宋" w:hAnsi="仿宋" w:eastAsia="仿宋" w:cs="仿宋"/>
                <w:bCs/>
                <w:sz w:val="24"/>
                <w:szCs w:val="32"/>
              </w:rPr>
            </w:pPr>
            <w:r>
              <w:rPr>
                <w:rFonts w:hint="eastAsia" w:ascii="仿宋" w:hAnsi="仿宋" w:eastAsia="仿宋" w:cs="仿宋"/>
                <w:bCs/>
                <w:sz w:val="24"/>
                <w:szCs w:val="32"/>
                <w:lang w:val="en-US" w:eastAsia="zh-CN"/>
              </w:rPr>
              <w:t>3.</w:t>
            </w:r>
            <w:r>
              <w:rPr>
                <w:rFonts w:hint="eastAsia" w:ascii="仿宋" w:hAnsi="仿宋" w:eastAsia="仿宋" w:cs="仿宋"/>
                <w:bCs/>
                <w:sz w:val="24"/>
                <w:szCs w:val="32"/>
              </w:rPr>
              <w:t>专项资金管理情况分析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default" w:ascii="仿宋_GB2312" w:hAnsi="仿宋_GB2312" w:eastAsia="仿宋_GB2312" w:cs="仿宋_GB2312"/>
                <w:bCs/>
                <w:sz w:val="24"/>
                <w:szCs w:val="32"/>
                <w:lang w:val="en-US" w:eastAsia="zh-CN"/>
              </w:rPr>
            </w:pPr>
            <w:r>
              <w:rPr>
                <w:rFonts w:hint="eastAsia" w:ascii="仿宋" w:hAnsi="仿宋" w:eastAsia="仿宋" w:cs="仿宋"/>
                <w:bCs/>
                <w:sz w:val="24"/>
                <w:szCs w:val="32"/>
                <w:lang w:val="en-US" w:eastAsia="zh-CN"/>
              </w:rPr>
              <w:t>依照《预算业务管理制度》，从预算管理职责、预算编制、预算审批与分解下达流程、预算的执行、控制与调整、决算与绩效评价等方面对专项资金进行管理，做到专项资金预算编</w:t>
            </w:r>
            <w:r>
              <w:rPr>
                <w:rFonts w:hint="eastAsia" w:ascii="仿宋_GB2312" w:hAnsi="仿宋_GB2312" w:eastAsia="仿宋_GB2312" w:cs="仿宋_GB2312"/>
                <w:bCs/>
                <w:sz w:val="24"/>
                <w:szCs w:val="32"/>
                <w:lang w:val="en-US" w:eastAsia="zh-CN"/>
              </w:rPr>
              <w:t>制有目标、预算执行有监控、预算完成有评价、评价结果有反馈、反馈结果有应用。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黑体" w:hAnsi="黑体" w:eastAsia="黑体" w:cs="黑体"/>
                <w:bCs/>
                <w:sz w:val="24"/>
                <w:szCs w:val="32"/>
              </w:rPr>
            </w:pPr>
            <w:r>
              <w:rPr>
                <w:rFonts w:hint="eastAsia" w:ascii="黑体" w:hAnsi="黑体" w:eastAsia="黑体" w:cs="黑体"/>
                <w:bCs/>
                <w:sz w:val="24"/>
                <w:szCs w:val="32"/>
              </w:rPr>
              <w:t>三、部门（单位）专项组织实施情况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rPr>
            </w:pPr>
            <w:r>
              <w:rPr>
                <w:rFonts w:hint="eastAsia" w:ascii="仿宋" w:hAnsi="仿宋" w:eastAsia="仿宋" w:cs="仿宋"/>
                <w:b/>
                <w:bCs w:val="0"/>
                <w:sz w:val="24"/>
                <w:szCs w:val="32"/>
              </w:rPr>
              <w:t>（一）专项组织情况分析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工程建设项目主要是大型垃圾中转站建设项目、金鹗公园山体绿化护坡项目、理工及郭镇泵站提质改造项目，这几个项目都已履行政府采购和招投标手续。重大节日摆花、船舶垃圾收集、绿道系统规划编制等专项也都履行了公开招投标手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rPr>
            </w:pPr>
            <w:r>
              <w:rPr>
                <w:rFonts w:hint="eastAsia" w:ascii="仿宋" w:hAnsi="仿宋" w:eastAsia="仿宋" w:cs="仿宋"/>
                <w:b/>
                <w:bCs w:val="0"/>
                <w:sz w:val="24"/>
                <w:szCs w:val="32"/>
                <w:lang w:eastAsia="zh-CN"/>
              </w:rPr>
              <w:t>（二）</w:t>
            </w:r>
            <w:r>
              <w:rPr>
                <w:rFonts w:hint="eastAsia" w:ascii="仿宋" w:hAnsi="仿宋" w:eastAsia="仿宋" w:cs="仿宋"/>
                <w:b/>
                <w:bCs w:val="0"/>
                <w:sz w:val="24"/>
                <w:szCs w:val="32"/>
              </w:rPr>
              <w:t>专项管理情况分析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rPr>
            </w:pPr>
            <w:r>
              <w:rPr>
                <w:rFonts w:hint="eastAsia" w:ascii="仿宋" w:hAnsi="仿宋" w:eastAsia="仿宋" w:cs="仿宋"/>
                <w:sz w:val="24"/>
                <w:szCs w:val="32"/>
              </w:rPr>
              <w:t>实行项目事前申报、事中监督、事后审计的管理模式。符合规定范围的项目，事前必须由实施单位向市城管局分管</w:t>
            </w:r>
            <w:r>
              <w:rPr>
                <w:rFonts w:hint="eastAsia" w:ascii="仿宋" w:hAnsi="仿宋" w:eastAsia="仿宋" w:cs="仿宋"/>
                <w:sz w:val="24"/>
                <w:szCs w:val="32"/>
                <w:lang w:eastAsia="zh-CN"/>
              </w:rPr>
              <w:t>领导</w:t>
            </w:r>
            <w:r>
              <w:rPr>
                <w:rFonts w:hint="eastAsia" w:ascii="仿宋" w:hAnsi="仿宋" w:eastAsia="仿宋" w:cs="仿宋"/>
                <w:sz w:val="24"/>
                <w:szCs w:val="32"/>
              </w:rPr>
              <w:t>报告后方可实施</w:t>
            </w:r>
            <w:r>
              <w:rPr>
                <w:rFonts w:hint="eastAsia" w:ascii="仿宋" w:hAnsi="仿宋" w:eastAsia="仿宋" w:cs="仿宋"/>
                <w:sz w:val="24"/>
                <w:szCs w:val="32"/>
                <w:lang w:eastAsia="zh-CN"/>
              </w:rPr>
              <w:t>；</w:t>
            </w:r>
            <w:r>
              <w:rPr>
                <w:rFonts w:hint="eastAsia" w:ascii="仿宋" w:hAnsi="仿宋" w:eastAsia="仿宋" w:cs="仿宋"/>
                <w:sz w:val="24"/>
                <w:szCs w:val="32"/>
              </w:rPr>
              <w:t>在实施过程中，根据相关规定，由市城管局相关业务科室和审计科进行跟进监管</w:t>
            </w:r>
            <w:r>
              <w:rPr>
                <w:rFonts w:hint="eastAsia" w:ascii="仿宋" w:hAnsi="仿宋" w:eastAsia="仿宋" w:cs="仿宋"/>
                <w:sz w:val="24"/>
                <w:szCs w:val="32"/>
                <w:lang w:eastAsia="zh-CN"/>
              </w:rPr>
              <w:t>；</w:t>
            </w:r>
            <w:r>
              <w:rPr>
                <w:rFonts w:hint="eastAsia" w:ascii="仿宋" w:hAnsi="仿宋" w:eastAsia="仿宋" w:cs="仿宋"/>
                <w:sz w:val="24"/>
                <w:szCs w:val="32"/>
              </w:rPr>
              <w:t>项目完成后，由实施单位向市城管局提交经费使用申请书面报告和项目决算，书面报告内容包括申报理由</w:t>
            </w:r>
            <w:r>
              <w:rPr>
                <w:rFonts w:hint="eastAsia" w:ascii="仿宋" w:hAnsi="仿宋" w:eastAsia="仿宋" w:cs="仿宋"/>
                <w:sz w:val="24"/>
                <w:szCs w:val="32"/>
                <w:lang w:eastAsia="zh-CN"/>
              </w:rPr>
              <w:t>、</w:t>
            </w:r>
            <w:r>
              <w:rPr>
                <w:rFonts w:hint="eastAsia" w:ascii="仿宋" w:hAnsi="仿宋" w:eastAsia="仿宋" w:cs="仿宋"/>
                <w:sz w:val="24"/>
                <w:szCs w:val="32"/>
              </w:rPr>
              <w:t>依据、项目实施效果等</w:t>
            </w:r>
            <w:r>
              <w:rPr>
                <w:rFonts w:hint="eastAsia" w:ascii="仿宋" w:hAnsi="仿宋" w:eastAsia="仿宋" w:cs="仿宋"/>
                <w:sz w:val="24"/>
                <w:szCs w:val="32"/>
                <w:lang w:eastAsia="zh-CN"/>
              </w:rPr>
              <w:t>，</w:t>
            </w:r>
            <w:r>
              <w:rPr>
                <w:rFonts w:hint="eastAsia" w:ascii="仿宋" w:hAnsi="仿宋" w:eastAsia="仿宋" w:cs="仿宋"/>
                <w:sz w:val="24"/>
                <w:szCs w:val="32"/>
              </w:rPr>
              <w:t>经市城管局分管</w:t>
            </w:r>
            <w:r>
              <w:rPr>
                <w:rFonts w:hint="eastAsia" w:ascii="仿宋" w:hAnsi="仿宋" w:eastAsia="仿宋" w:cs="仿宋"/>
                <w:sz w:val="24"/>
                <w:szCs w:val="32"/>
                <w:lang w:eastAsia="zh-CN"/>
              </w:rPr>
              <w:t>财务领导</w:t>
            </w:r>
            <w:r>
              <w:rPr>
                <w:rFonts w:hint="eastAsia" w:ascii="仿宋" w:hAnsi="仿宋" w:eastAsia="仿宋" w:cs="仿宋"/>
                <w:sz w:val="24"/>
                <w:szCs w:val="32"/>
              </w:rPr>
              <w:t>审核签署意见后，报市城管局</w:t>
            </w:r>
            <w:r>
              <w:rPr>
                <w:rFonts w:hint="eastAsia" w:ascii="仿宋" w:hAnsi="仿宋" w:eastAsia="仿宋" w:cs="仿宋"/>
                <w:sz w:val="24"/>
                <w:szCs w:val="32"/>
                <w:lang w:eastAsia="zh-CN"/>
              </w:rPr>
              <w:t>主要领导</w:t>
            </w:r>
            <w:r>
              <w:rPr>
                <w:rFonts w:hint="eastAsia" w:ascii="仿宋" w:hAnsi="仿宋" w:eastAsia="仿宋" w:cs="仿宋"/>
                <w:sz w:val="24"/>
                <w:szCs w:val="32"/>
              </w:rPr>
              <w:t>审批。</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黑体" w:hAnsi="黑体" w:eastAsia="黑体" w:cs="黑体"/>
                <w:bCs/>
                <w:sz w:val="24"/>
                <w:szCs w:val="32"/>
              </w:rPr>
            </w:pPr>
            <w:r>
              <w:rPr>
                <w:rFonts w:hint="eastAsia" w:ascii="黑体" w:hAnsi="黑体" w:eastAsia="黑体" w:cs="黑体"/>
                <w:bCs/>
                <w:sz w:val="24"/>
                <w:szCs w:val="32"/>
              </w:rPr>
              <w:t>部门（单位）整体支出绩效情况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FF0000"/>
                <w:sz w:val="24"/>
                <w:szCs w:val="32"/>
              </w:rPr>
            </w:pPr>
            <w:r>
              <w:rPr>
                <w:rFonts w:hint="eastAsia" w:ascii="楷体_GB2312" w:hAnsi="楷体_GB2312" w:eastAsia="楷体_GB2312" w:cs="楷体_GB2312"/>
                <w:b/>
                <w:bCs/>
                <w:sz w:val="24"/>
                <w:szCs w:val="32"/>
                <w:lang w:bidi="ar"/>
              </w:rPr>
              <w:t>（一）日常管理有提升。</w:t>
            </w:r>
            <w:r>
              <w:rPr>
                <w:rFonts w:hint="eastAsia" w:ascii="仿宋_GB2312" w:hAnsi="仿宋_GB2312" w:eastAsia="仿宋_GB2312" w:cs="仿宋_GB2312"/>
                <w:b/>
                <w:bCs/>
                <w:sz w:val="24"/>
                <w:szCs w:val="32"/>
                <w:lang w:bidi="ar"/>
              </w:rPr>
              <w:t>一是环境卫生更加整洁。</w:t>
            </w:r>
            <w:r>
              <w:rPr>
                <w:rFonts w:hint="eastAsia" w:ascii="仿宋_GB2312" w:hAnsi="仿宋_GB2312" w:eastAsia="仿宋_GB2312" w:cs="仿宋_GB2312"/>
                <w:sz w:val="24"/>
                <w:szCs w:val="32"/>
              </w:rPr>
              <w:t>对1088万平方米保洁区域采取“深度清洗+快速保洁+吸尘抑尘”的立体作业模式；受理市民“车窗抛物”举报5.9万余起；在市委、市人大、市政府、市政协、市城管局5个机关小区开展生活垃圾分类试点，垃圾分类投放总量187吨；</w:t>
            </w:r>
            <w:r>
              <w:rPr>
                <w:rFonts w:hint="eastAsia" w:ascii="仿宋_GB2312" w:eastAsia="仿宋_GB2312"/>
                <w:sz w:val="24"/>
                <w:szCs w:val="32"/>
              </w:rPr>
              <w:t>对187</w:t>
            </w:r>
            <w:r>
              <w:rPr>
                <w:rFonts w:hint="eastAsia" w:ascii="仿宋_GB2312" w:hAnsi="仿宋" w:eastAsia="仿宋_GB2312"/>
                <w:sz w:val="24"/>
                <w:szCs w:val="32"/>
              </w:rPr>
              <w:t>家机关、学校食堂和大型餐饮酒店的厨余垃圾定时定点收</w:t>
            </w:r>
            <w:r>
              <w:rPr>
                <w:rFonts w:hint="eastAsia" w:ascii="仿宋_GB2312" w:eastAsia="仿宋_GB2312"/>
                <w:sz w:val="24"/>
                <w:szCs w:val="32"/>
              </w:rPr>
              <w:t>处</w:t>
            </w:r>
            <w:r>
              <w:rPr>
                <w:rStyle w:val="27"/>
                <w:rFonts w:hint="eastAsia" w:ascii="仿宋_GB2312" w:hAnsi="仿宋_GB2312" w:eastAsia="仿宋_GB2312" w:cs="仿宋_GB2312"/>
                <w:sz w:val="24"/>
                <w:szCs w:val="32"/>
              </w:rPr>
              <w:t>。</w:t>
            </w:r>
            <w:r>
              <w:rPr>
                <w:rFonts w:hint="eastAsia" w:ascii="仿宋_GB2312" w:hAnsi="仿宋_GB2312" w:eastAsia="仿宋_GB2312" w:cs="仿宋_GB2312"/>
                <w:sz w:val="24"/>
                <w:szCs w:val="32"/>
              </w:rPr>
              <w:t>环境卫生工作</w:t>
            </w:r>
            <w:r>
              <w:rPr>
                <w:rFonts w:hint="eastAsia" w:ascii="仿宋_GB2312" w:hAnsi="仿宋_GB2312" w:eastAsia="仿宋_GB2312" w:cs="仿宋_GB2312"/>
                <w:color w:val="000000"/>
                <w:sz w:val="24"/>
                <w:szCs w:val="32"/>
              </w:rPr>
              <w:t>获市人大常委会充分肯定；“洞庭清波”行动获市政府、市纪委监委好评。</w:t>
            </w:r>
            <w:r>
              <w:rPr>
                <w:rFonts w:hint="eastAsia" w:ascii="仿宋_GB2312" w:hAnsi="仿宋_GB2312" w:eastAsia="仿宋_GB2312" w:cs="仿宋_GB2312"/>
                <w:b/>
                <w:bCs/>
                <w:sz w:val="24"/>
                <w:szCs w:val="32"/>
                <w:lang w:bidi="ar"/>
              </w:rPr>
              <w:t>二是市容秩序更加优良。</w:t>
            </w:r>
            <w:r>
              <w:rPr>
                <w:rFonts w:hint="eastAsia" w:ascii="仿宋_GB2312" w:hAnsi="仿宋_GB2312" w:eastAsia="仿宋_GB2312" w:cs="仿宋_GB2312"/>
                <w:sz w:val="24"/>
                <w:szCs w:val="32"/>
              </w:rPr>
              <w:t>开展出店经营、乱摆摊点、占道作业</w:t>
            </w:r>
            <w:r>
              <w:rPr>
                <w:rFonts w:hint="eastAsia" w:ascii="仿宋_GB2312" w:hAnsi="仿宋_GB2312" w:eastAsia="仿宋_GB2312" w:cs="仿宋_GB2312"/>
                <w:sz w:val="24"/>
                <w:szCs w:val="32"/>
                <w:lang w:eastAsia="zh-CN"/>
              </w:rPr>
              <w:t>等</w:t>
            </w:r>
            <w:r>
              <w:rPr>
                <w:rFonts w:hint="eastAsia" w:ascii="仿宋_GB2312" w:hAnsi="仿宋_GB2312" w:eastAsia="仿宋_GB2312" w:cs="仿宋_GB2312"/>
                <w:sz w:val="24"/>
                <w:szCs w:val="32"/>
              </w:rPr>
              <w:t>集中整治380次，宣传教育5000余人次，督促1500余家门店进店经营，清理转移流动摊贩1000余人次，行政处罚151.28万元；</w:t>
            </w:r>
            <w:r>
              <w:rPr>
                <w:rFonts w:hint="eastAsia" w:ascii="仿宋_GB2312" w:eastAsia="仿宋_GB2312"/>
                <w:sz w:val="24"/>
                <w:szCs w:val="32"/>
                <w:lang w:eastAsia="zh-CN"/>
              </w:rPr>
              <w:t>规范</w:t>
            </w:r>
            <w:r>
              <w:rPr>
                <w:rFonts w:hint="eastAsia" w:ascii="仿宋_GB2312" w:eastAsia="仿宋_GB2312"/>
                <w:sz w:val="24"/>
                <w:szCs w:val="32"/>
              </w:rPr>
              <w:t>152家夜市门店</w:t>
            </w:r>
            <w:r>
              <w:rPr>
                <w:rFonts w:hint="eastAsia" w:ascii="仿宋_GB2312" w:eastAsia="仿宋_GB2312"/>
                <w:sz w:val="24"/>
                <w:szCs w:val="32"/>
                <w:lang w:eastAsia="zh-CN"/>
              </w:rPr>
              <w:t>经营行为</w:t>
            </w:r>
            <w:r>
              <w:rPr>
                <w:rFonts w:hint="eastAsia" w:ascii="仿宋_GB2312" w:hAnsi="仿宋_GB2312" w:eastAsia="仿宋_GB2312" w:cs="仿宋_GB2312"/>
                <w:sz w:val="24"/>
                <w:szCs w:val="32"/>
              </w:rPr>
              <w:t>，</w:t>
            </w:r>
            <w:r>
              <w:rPr>
                <w:rFonts w:hint="eastAsia" w:ascii="仿宋_GB2312" w:hAnsi="仿宋_GB2312" w:eastAsia="仿宋_GB2312" w:cs="仿宋_GB2312"/>
                <w:sz w:val="24"/>
                <w:szCs w:val="32"/>
                <w:lang w:eastAsia="zh-CN"/>
              </w:rPr>
              <w:t>并</w:t>
            </w:r>
            <w:r>
              <w:rPr>
                <w:rFonts w:hint="eastAsia" w:ascii="仿宋_GB2312" w:hAnsi="仿宋_GB2312" w:eastAsia="仿宋_GB2312" w:cs="仿宋_GB2312"/>
                <w:sz w:val="24"/>
                <w:szCs w:val="32"/>
              </w:rPr>
              <w:t>促成所有店外烤炉更换为环保烤箱</w:t>
            </w:r>
            <w:r>
              <w:rPr>
                <w:rFonts w:hint="eastAsia" w:ascii="仿宋_GB2312" w:hAnsi="仿宋_GB2312" w:eastAsia="仿宋_GB2312" w:cs="仿宋_GB2312"/>
                <w:sz w:val="24"/>
                <w:szCs w:val="32"/>
                <w:lang w:eastAsia="zh-CN"/>
              </w:rPr>
              <w:t>，</w:t>
            </w:r>
            <w:r>
              <w:rPr>
                <w:rFonts w:hint="eastAsia" w:ascii="仿宋_GB2312" w:eastAsia="仿宋_GB2312"/>
                <w:sz w:val="24"/>
                <w:szCs w:val="32"/>
              </w:rPr>
              <w:t>夜市</w:t>
            </w:r>
            <w:r>
              <w:rPr>
                <w:rFonts w:hint="eastAsia" w:ascii="仿宋_GB2312" w:eastAsia="仿宋_GB2312"/>
                <w:sz w:val="24"/>
                <w:szCs w:val="32"/>
                <w:lang w:eastAsia="zh-CN"/>
              </w:rPr>
              <w:t>经营</w:t>
            </w:r>
            <w:r>
              <w:rPr>
                <w:rFonts w:hint="eastAsia" w:ascii="仿宋_GB2312" w:eastAsia="仿宋_GB2312"/>
                <w:sz w:val="24"/>
                <w:szCs w:val="32"/>
              </w:rPr>
              <w:t>秩序井然</w:t>
            </w:r>
            <w:r>
              <w:rPr>
                <w:rFonts w:hint="eastAsia" w:ascii="仿宋_GB2312" w:hAnsi="仿宋_GB2312" w:eastAsia="仿宋_GB2312" w:cs="仿宋_GB2312"/>
                <w:sz w:val="24"/>
                <w:szCs w:val="32"/>
              </w:rPr>
              <w:t>；对临街砂石销售场所和废品回收店开展专项整治，取缔29家，转移20家，规范18家；</w:t>
            </w:r>
            <w:r>
              <w:rPr>
                <w:rFonts w:hint="eastAsia" w:ascii="仿宋_GB2312" w:eastAsia="仿宋_GB2312" w:cs="仿宋_GB2312"/>
                <w:sz w:val="24"/>
                <w:szCs w:val="32"/>
              </w:rPr>
              <w:t>开展</w:t>
            </w:r>
            <w:r>
              <w:rPr>
                <w:rFonts w:hint="eastAsia" w:ascii="仿宋_GB2312" w:hAnsi="仿宋" w:eastAsia="仿宋_GB2312"/>
                <w:sz w:val="24"/>
                <w:szCs w:val="32"/>
              </w:rPr>
              <w:t>污染源</w:t>
            </w:r>
            <w:r>
              <w:rPr>
                <w:rFonts w:hint="eastAsia" w:ascii="仿宋_GB2312" w:eastAsia="仿宋_GB2312" w:cs="仿宋_GB2312"/>
                <w:sz w:val="24"/>
                <w:szCs w:val="32"/>
              </w:rPr>
              <w:t>专项整治</w:t>
            </w:r>
            <w:r>
              <w:rPr>
                <w:rFonts w:hint="eastAsia" w:ascii="仿宋_GB2312" w:eastAsia="仿宋_GB2312" w:cs="仿宋_GB2312"/>
                <w:sz w:val="24"/>
                <w:szCs w:val="32"/>
                <w:lang w:eastAsia="zh-CN"/>
              </w:rPr>
              <w:t>行动</w:t>
            </w:r>
            <w:r>
              <w:rPr>
                <w:rFonts w:hint="default" w:ascii="仿宋_GB2312" w:eastAsia="仿宋_GB2312" w:cs="仿宋_GB2312"/>
                <w:sz w:val="24"/>
                <w:szCs w:val="32"/>
              </w:rPr>
              <w:t>1000</w:t>
            </w:r>
            <w:r>
              <w:rPr>
                <w:rFonts w:hint="eastAsia" w:ascii="仿宋_GB2312" w:eastAsia="仿宋_GB2312" w:cs="仿宋_GB2312"/>
                <w:sz w:val="24"/>
                <w:szCs w:val="32"/>
              </w:rPr>
              <w:t>余次，</w:t>
            </w:r>
            <w:r>
              <w:rPr>
                <w:rFonts w:hint="eastAsia" w:ascii="仿宋_GB2312" w:eastAsia="仿宋_GB2312" w:cs="仿宋_GB2312"/>
                <w:sz w:val="24"/>
                <w:szCs w:val="32"/>
                <w:lang w:eastAsia="zh-CN"/>
              </w:rPr>
              <w:t>受理群众</w:t>
            </w:r>
            <w:r>
              <w:rPr>
                <w:rFonts w:hint="eastAsia" w:ascii="仿宋_GB2312" w:eastAsia="仿宋_GB2312" w:cs="仿宋_GB2312"/>
                <w:sz w:val="24"/>
                <w:szCs w:val="32"/>
              </w:rPr>
              <w:t>扬尘污染举报75起</w:t>
            </w:r>
            <w:r>
              <w:rPr>
                <w:rFonts w:hint="eastAsia" w:ascii="仿宋_GB2312" w:eastAsia="仿宋_GB2312" w:cs="仿宋_GB2312"/>
                <w:sz w:val="24"/>
                <w:szCs w:val="32"/>
                <w:lang w:eastAsia="zh-CN"/>
              </w:rPr>
              <w:t>，</w:t>
            </w:r>
            <w:r>
              <w:rPr>
                <w:rFonts w:hint="eastAsia" w:ascii="仿宋_GB2312" w:eastAsia="仿宋_GB2312" w:cs="仿宋_GB2312"/>
                <w:sz w:val="24"/>
                <w:szCs w:val="32"/>
              </w:rPr>
              <w:t>查处各类涉污案件656起，</w:t>
            </w:r>
            <w:r>
              <w:rPr>
                <w:rFonts w:hint="eastAsia" w:ascii="仿宋_GB2312" w:hAnsi="仿宋_GB2312" w:eastAsia="仿宋_GB2312" w:cs="仿宋_GB2312"/>
                <w:sz w:val="24"/>
                <w:szCs w:val="32"/>
              </w:rPr>
              <w:t>行政处罚</w:t>
            </w:r>
            <w:r>
              <w:rPr>
                <w:rFonts w:hint="eastAsia" w:ascii="仿宋_GB2312" w:eastAsia="仿宋_GB2312" w:cs="仿宋_GB2312"/>
                <w:sz w:val="24"/>
                <w:szCs w:val="32"/>
              </w:rPr>
              <w:t>106.3</w:t>
            </w:r>
            <w:r>
              <w:rPr>
                <w:rFonts w:hint="default" w:ascii="仿宋_GB2312" w:eastAsia="仿宋_GB2312" w:cs="仿宋_GB2312"/>
                <w:sz w:val="24"/>
                <w:szCs w:val="32"/>
              </w:rPr>
              <w:t>6</w:t>
            </w:r>
            <w:r>
              <w:rPr>
                <w:rFonts w:hint="eastAsia" w:ascii="仿宋_GB2312" w:eastAsia="仿宋_GB2312" w:cs="仿宋_GB2312"/>
                <w:sz w:val="24"/>
                <w:szCs w:val="32"/>
              </w:rPr>
              <w:t>万元</w:t>
            </w:r>
            <w:r>
              <w:rPr>
                <w:rFonts w:hint="eastAsia" w:ascii="仿宋_GB2312" w:eastAsia="仿宋_GB2312" w:cs="仿宋_GB2312"/>
                <w:sz w:val="24"/>
                <w:szCs w:val="32"/>
                <w:lang w:eastAsia="zh-CN"/>
              </w:rPr>
              <w:t>；</w:t>
            </w:r>
            <w:r>
              <w:rPr>
                <w:rFonts w:hint="eastAsia" w:ascii="仿宋_GB2312" w:hAnsi="仿宋_GB2312" w:eastAsia="仿宋_GB2312" w:cs="仿宋_GB2312"/>
                <w:sz w:val="24"/>
                <w:szCs w:val="32"/>
              </w:rPr>
              <w:t>在</w:t>
            </w:r>
            <w:r>
              <w:rPr>
                <w:rFonts w:hint="eastAsia" w:ascii="仿宋_GB2312" w:hAnsi="仿宋_GB2312" w:eastAsia="仿宋_GB2312" w:cs="仿宋_GB2312"/>
                <w:sz w:val="24"/>
                <w:szCs w:val="32"/>
                <w:shd w:val="clear" w:color="auto" w:fill="FFFFFF"/>
              </w:rPr>
              <w:t>岳阳火车东站建立</w:t>
            </w:r>
            <w:r>
              <w:rPr>
                <w:rFonts w:hint="eastAsia" w:ascii="仿宋_GB2312" w:hAnsi="仿宋_GB2312" w:eastAsia="仿宋_GB2312" w:cs="仿宋_GB2312"/>
                <w:sz w:val="24"/>
                <w:szCs w:val="32"/>
              </w:rPr>
              <w:t>综合执法信息指挥中心，通过运用人脸识别、车辆智能扫描等高科技手段，对喊客拉客、的士拼客、非法营运、乱停乱靠精准打击；巴陵广场、南湖广场、金鹗公园、南湖公园等窗口单位保持了秩序良好、安全运营。</w:t>
            </w:r>
            <w:r>
              <w:rPr>
                <w:rFonts w:hint="eastAsia" w:ascii="仿宋_GB2312" w:hAnsi="仿宋_GB2312" w:eastAsia="仿宋_GB2312" w:cs="仿宋_GB2312"/>
                <w:b/>
                <w:bCs/>
                <w:sz w:val="24"/>
                <w:szCs w:val="32"/>
                <w:lang w:bidi="ar"/>
              </w:rPr>
              <w:t>三是美化亮化更加精细。</w:t>
            </w:r>
            <w:r>
              <w:rPr>
                <w:rFonts w:hint="eastAsia" w:ascii="仿宋_GB2312" w:hAnsi="仿宋_GB2312" w:eastAsia="仿宋_GB2312" w:cs="仿宋_GB2312"/>
                <w:sz w:val="24"/>
                <w:szCs w:val="32"/>
                <w:lang w:eastAsia="zh-CN"/>
              </w:rPr>
              <w:t>建成</w:t>
            </w:r>
            <w:r>
              <w:rPr>
                <w:rFonts w:hint="eastAsia" w:ascii="仿宋_GB2312" w:hAnsi="仿宋_GB2312" w:eastAsia="仿宋_GB2312" w:cs="仿宋_GB2312"/>
                <w:sz w:val="24"/>
                <w:szCs w:val="32"/>
              </w:rPr>
              <w:t>洞庭大道、求索路、沿湖</w:t>
            </w:r>
            <w:r>
              <w:rPr>
                <w:rFonts w:hint="eastAsia" w:ascii="仿宋_GB2312" w:hAnsi="仿宋_GB2312" w:eastAsia="仿宋_GB2312" w:cs="仿宋_GB2312"/>
                <w:sz w:val="24"/>
                <w:szCs w:val="32"/>
                <w:lang w:eastAsia="zh-CN"/>
              </w:rPr>
              <w:t>大道</w:t>
            </w:r>
            <w:r>
              <w:rPr>
                <w:rFonts w:hint="eastAsia" w:ascii="仿宋_GB2312" w:hAnsi="仿宋_GB2312" w:eastAsia="仿宋_GB2312" w:cs="仿宋_GB2312"/>
                <w:sz w:val="24"/>
                <w:szCs w:val="32"/>
              </w:rPr>
              <w:t>、巴陵东路4条</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lang w:val="en-US" w:eastAsia="zh-CN"/>
              </w:rPr>
              <w:t>园林绿化管养示范路</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lang w:val="en-US" w:eastAsia="zh-CN"/>
              </w:rPr>
              <w:t>，形成了“一路一景、各具特色”的城市园林景观</w:t>
            </w:r>
            <w:r>
              <w:rPr>
                <w:rFonts w:hint="eastAsia" w:ascii="仿宋_GB2312" w:hAnsi="仿宋_GB2312" w:eastAsia="仿宋_GB2312" w:cs="仿宋_GB2312"/>
                <w:sz w:val="24"/>
                <w:szCs w:val="32"/>
              </w:rPr>
              <w:t>；春节摆花、国庆主题花展受到市委市政府的高度肯定。完成</w:t>
            </w:r>
            <w:r>
              <w:rPr>
                <w:rFonts w:hint="eastAsia" w:ascii="仿宋_GB2312" w:hAnsi="仿宋_GB2312" w:eastAsia="仿宋_GB2312" w:cs="仿宋_GB2312"/>
                <w:sz w:val="24"/>
                <w:szCs w:val="32"/>
                <w:lang w:eastAsia="zh-CN"/>
              </w:rPr>
              <w:t>主</w:t>
            </w:r>
            <w:r>
              <w:rPr>
                <w:rFonts w:hint="eastAsia" w:ascii="仿宋_GB2312" w:hAnsi="仿宋_GB2312" w:eastAsia="仿宋_GB2312" w:cs="仿宋_GB2312"/>
                <w:sz w:val="24"/>
                <w:szCs w:val="32"/>
              </w:rPr>
              <w:t>城区路灯照明监控系统提质改造，进入“智能路灯”时代。按照“适量提质”思路，拆除擅自设置的户外广告650余块（条）。按照“整洁、整齐，颜色、规格、新旧一致”的要求，督促权属单位维护和更换破损施工围挡860余块，集中撤除不达标围挡200余块。</w:t>
            </w:r>
            <w:r>
              <w:rPr>
                <w:rFonts w:hint="eastAsia" w:ascii="仿宋_GB2312" w:hAnsi="仿宋_GB2312" w:eastAsia="仿宋_GB2312" w:cs="仿宋_GB2312"/>
                <w:b/>
                <w:bCs/>
                <w:sz w:val="24"/>
                <w:szCs w:val="32"/>
                <w:lang w:bidi="ar"/>
              </w:rPr>
              <w:t>四是市政维护更加优质。</w:t>
            </w:r>
            <w:r>
              <w:rPr>
                <w:rFonts w:hint="eastAsia" w:ascii="仿宋_GB2312" w:hAnsi="仿宋_GB2312" w:eastAsia="仿宋_GB2312" w:cs="仿宋_GB2312"/>
                <w:sz w:val="24"/>
                <w:szCs w:val="32"/>
              </w:rPr>
              <w:t>提质改造主干道9条、隧道2座、桥梁2座；更换、调整人行道板17.3万平方米，修补破损、下沉路面15.5万平方米，更换、修复雨水井盖960套、雨水篦子1330套；清淤疏浚管网约9.5万米；整治路面积水点9处。</w:t>
            </w:r>
            <w:r>
              <w:rPr>
                <w:rFonts w:hint="eastAsia" w:ascii="仿宋_GB2312" w:hAnsi="仿宋_GB2312" w:eastAsia="仿宋_GB2312" w:cs="仿宋_GB2312"/>
                <w:b/>
                <w:bCs/>
                <w:sz w:val="24"/>
                <w:szCs w:val="32"/>
                <w:lang w:bidi="ar"/>
              </w:rPr>
              <w:t>五是禁炮管理更加深入。</w:t>
            </w:r>
            <w:r>
              <w:rPr>
                <w:rFonts w:hint="eastAsia" w:ascii="仿宋_GB2312" w:hAnsi="仿宋_GB2312" w:eastAsia="仿宋_GB2312" w:cs="仿宋_GB2312"/>
                <w:sz w:val="24"/>
                <w:szCs w:val="32"/>
              </w:rPr>
              <w:t>联合“六区”及公安、应急管理等部门开展炮源清缴行动300余次，收缴销毁价值85万元的烟花爆竹，捍卫了“岳阳蓝”。</w:t>
            </w:r>
            <w:r>
              <w:rPr>
                <w:rFonts w:hint="eastAsia" w:ascii="仿宋_GB2312" w:hAnsi="仿宋_GB2312" w:eastAsia="仿宋_GB2312" w:cs="仿宋_GB2312"/>
                <w:b/>
                <w:sz w:val="24"/>
                <w:szCs w:val="32"/>
              </w:rPr>
              <w:t>六是执法支撑更加有力。</w:t>
            </w:r>
            <w:r>
              <w:rPr>
                <w:rFonts w:hint="eastAsia" w:ascii="仿宋_GB2312" w:hAnsi="仿宋_GB2312" w:eastAsia="仿宋_GB2312" w:cs="仿宋_GB2312"/>
                <w:sz w:val="24"/>
                <w:szCs w:val="32"/>
              </w:rPr>
              <w:t>公安城管大队依法行政拘留21人、调解纠纷378起、接处警580人次，为城市管理和综合执法工作提供了强力保障。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snapToGrid w:val="0"/>
                <w:color w:val="0000FF"/>
                <w:kern w:val="0"/>
                <w:sz w:val="24"/>
                <w:szCs w:val="32"/>
              </w:rPr>
            </w:pPr>
            <w:r>
              <w:rPr>
                <w:rFonts w:hint="eastAsia" w:ascii="楷体_GB2312" w:hAnsi="楷体_GB2312" w:eastAsia="楷体_GB2312" w:cs="楷体_GB2312"/>
                <w:b/>
                <w:bCs/>
                <w:sz w:val="24"/>
                <w:szCs w:val="32"/>
              </w:rPr>
              <w:t>（二）项目建设有成效。</w:t>
            </w:r>
            <w:r>
              <w:rPr>
                <w:rFonts w:hint="eastAsia" w:ascii="仿宋_GB2312" w:hAnsi="仿宋_GB2312" w:eastAsia="仿宋_GB2312" w:cs="仿宋_GB2312"/>
                <w:b/>
                <w:bCs/>
                <w:sz w:val="24"/>
                <w:szCs w:val="32"/>
              </w:rPr>
              <w:t>一是切实开展停车场建设。</w:t>
            </w:r>
            <w:r>
              <w:rPr>
                <w:rFonts w:hint="eastAsia" w:ascii="仿宋_GB2312" w:hAnsi="仿宋_GB2312" w:eastAsia="仿宋_GB2312" w:cs="仿宋_GB2312"/>
                <w:sz w:val="24"/>
                <w:szCs w:val="32"/>
              </w:rPr>
              <w:t>协调提质改造2个停车场、新建9个停车场，新增停车泊位1907个；王家河桥东、东方红小学、朝阳小学等停车场项目开工建设。</w:t>
            </w:r>
            <w:r>
              <w:rPr>
                <w:rFonts w:hint="eastAsia" w:ascii="仿宋_GB2312" w:hAnsi="仿宋_GB2312" w:eastAsia="仿宋_GB2312" w:cs="仿宋_GB2312"/>
                <w:b/>
                <w:bCs/>
                <w:sz w:val="24"/>
                <w:szCs w:val="32"/>
                <w:lang w:bidi="ar"/>
              </w:rPr>
              <w:t>二是超常推进生活垃圾焚烧发电项目建设。</w:t>
            </w:r>
            <w:r>
              <w:rPr>
                <w:rFonts w:hint="eastAsia" w:ascii="仿宋_GB2312" w:hAnsi="仿宋_GB2312" w:eastAsia="仿宋_GB2312" w:cs="仿宋_GB2312"/>
                <w:sz w:val="24"/>
                <w:szCs w:val="32"/>
              </w:rPr>
              <w:t>投资5.92亿元的</w:t>
            </w:r>
            <w:r>
              <w:rPr>
                <w:rFonts w:hint="eastAsia" w:ascii="仿宋_GB2312" w:hAnsi="仿宋_GB2312" w:eastAsia="仿宋_GB2312" w:cs="仿宋_GB2312"/>
                <w:sz w:val="24"/>
                <w:szCs w:val="32"/>
                <w:lang w:eastAsia="zh-CN"/>
              </w:rPr>
              <w:t>市城市</w:t>
            </w:r>
            <w:r>
              <w:rPr>
                <w:rFonts w:hint="eastAsia" w:ascii="仿宋_GB2312" w:hAnsi="仿宋_GB2312" w:eastAsia="仿宋_GB2312" w:cs="仿宋_GB2312"/>
                <w:sz w:val="24"/>
                <w:szCs w:val="32"/>
              </w:rPr>
              <w:t>生活垃圾焚烧发电厂点火运行，投资1.86亿元的配套项目大型垃圾中转站同步建成投用，中心城区彻底结束生活垃圾填埋历史。</w:t>
            </w:r>
            <w:r>
              <w:rPr>
                <w:rFonts w:hint="eastAsia" w:ascii="仿宋_GB2312" w:hAnsi="仿宋_GB2312" w:eastAsia="仿宋_GB2312" w:cs="仿宋_GB2312"/>
                <w:b/>
                <w:bCs/>
                <w:sz w:val="24"/>
                <w:szCs w:val="32"/>
                <w:lang w:bidi="ar"/>
              </w:rPr>
              <w:t>三是收购改造罗家坳垃圾填埋场。</w:t>
            </w:r>
            <w:r>
              <w:rPr>
                <w:rFonts w:hint="eastAsia" w:ascii="仿宋_GB2312" w:hAnsi="仿宋_GB2312" w:eastAsia="仿宋_GB2312" w:cs="仿宋_GB2312"/>
                <w:color w:val="000000"/>
                <w:sz w:val="24"/>
                <w:szCs w:val="32"/>
              </w:rPr>
              <w:t>投入</w:t>
            </w:r>
            <w:r>
              <w:rPr>
                <w:rFonts w:hint="eastAsia" w:ascii="仿宋_GB2312" w:hAnsi="仿宋_GB2312" w:eastAsia="仿宋_GB2312" w:cs="仿宋_GB2312"/>
                <w:sz w:val="24"/>
                <w:szCs w:val="32"/>
              </w:rPr>
              <w:t>8735.36万元</w:t>
            </w:r>
            <w:r>
              <w:rPr>
                <w:rFonts w:hint="eastAsia" w:ascii="仿宋_GB2312" w:hAnsi="仿宋_GB2312" w:eastAsia="仿宋_GB2312" w:cs="仿宋_GB2312"/>
                <w:color w:val="000000"/>
                <w:sz w:val="24"/>
                <w:szCs w:val="32"/>
              </w:rPr>
              <w:t>收购云溪区罗家坳垃圾填埋场，并将其</w:t>
            </w:r>
            <w:r>
              <w:rPr>
                <w:rFonts w:hint="eastAsia" w:ascii="仿宋_GB2312" w:hAnsi="仿宋_GB2312" w:eastAsia="仿宋_GB2312" w:cs="仿宋_GB2312"/>
                <w:sz w:val="24"/>
                <w:szCs w:val="32"/>
              </w:rPr>
              <w:t>升级改造成</w:t>
            </w:r>
            <w:r>
              <w:rPr>
                <w:rFonts w:hint="eastAsia" w:ascii="仿宋_GB2312" w:hAnsi="仿宋_GB2312" w:eastAsia="仿宋_GB2312" w:cs="仿宋_GB2312"/>
                <w:sz w:val="24"/>
                <w:szCs w:val="32"/>
                <w:lang w:eastAsia="zh-CN"/>
              </w:rPr>
              <w:t>市城市</w:t>
            </w:r>
            <w:r>
              <w:rPr>
                <w:rFonts w:hint="eastAsia" w:ascii="仿宋_GB2312" w:hAnsi="仿宋_GB2312" w:eastAsia="仿宋_GB2312" w:cs="仿宋_GB2312"/>
                <w:sz w:val="24"/>
                <w:szCs w:val="32"/>
              </w:rPr>
              <w:t>生活垃圾焚烧发电厂的飞灰专用填埋场。</w:t>
            </w:r>
            <w:r>
              <w:rPr>
                <w:rFonts w:hint="eastAsia" w:ascii="仿宋_GB2312" w:hAnsi="仿宋_GB2312" w:eastAsia="仿宋_GB2312" w:cs="仿宋_GB2312"/>
                <w:b/>
                <w:bCs/>
                <w:sz w:val="24"/>
                <w:szCs w:val="32"/>
                <w:lang w:bidi="ar"/>
              </w:rPr>
              <w:t>四是高标准治理黑臭水体。</w:t>
            </w:r>
            <w:r>
              <w:rPr>
                <w:rFonts w:hint="eastAsia" w:ascii="仿宋_GB2312" w:hAnsi="仿宋_GB2312" w:eastAsia="仿宋_GB2312" w:cs="仿宋_GB2312"/>
                <w:sz w:val="24"/>
                <w:szCs w:val="32"/>
              </w:rPr>
              <w:t>投资1.9亿元的蛇皮套和“三大湖”黑臭水体治理工程通过竣工验收，接待了生态环境部、全国人大法工委及长江水利委领导视察指导，成为我市海绵城市建设试点样板工程</w:t>
            </w:r>
            <w:r>
              <w:rPr>
                <w:rFonts w:hint="eastAsia" w:ascii="仿宋_GB2312" w:hAnsi="仿宋_GB2312" w:eastAsia="仿宋_GB2312" w:cs="仿宋_GB2312"/>
                <w:color w:val="000000"/>
                <w:sz w:val="24"/>
                <w:szCs w:val="32"/>
              </w:rPr>
              <w:t>。</w:t>
            </w:r>
            <w:r>
              <w:rPr>
                <w:rFonts w:hint="eastAsia" w:ascii="仿宋_GB2312" w:hAnsi="仿宋_GB2312" w:eastAsia="仿宋_GB2312" w:cs="仿宋_GB2312"/>
                <w:b/>
                <w:bCs/>
                <w:sz w:val="24"/>
                <w:szCs w:val="32"/>
                <w:lang w:bidi="ar"/>
              </w:rPr>
              <w:t>五是用情实施民生项目。</w:t>
            </w:r>
            <w:r>
              <w:rPr>
                <w:rFonts w:hint="eastAsia" w:ascii="仿宋_GB2312" w:hAnsi="仿宋_GB2312" w:eastAsia="仿宋_GB2312" w:cs="仿宋_GB2312"/>
                <w:sz w:val="24"/>
                <w:szCs w:val="32"/>
              </w:rPr>
              <w:t>五里牌、土桥、火车站、国安局及蘑菇亭等公厕垃圾站建成投用；</w:t>
            </w:r>
            <w:r>
              <w:rPr>
                <w:rFonts w:hint="eastAsia" w:ascii="仿宋_GB2312" w:hAnsi="仿宋_GB2312" w:eastAsia="仿宋_GB2312" w:cs="仿宋_GB2312"/>
                <w:sz w:val="24"/>
                <w:szCs w:val="32"/>
                <w:lang w:eastAsia="zh-CN"/>
              </w:rPr>
              <w:t>主</w:t>
            </w:r>
            <w:r>
              <w:rPr>
                <w:rFonts w:hint="eastAsia" w:ascii="仿宋_GB2312" w:hAnsi="仿宋_GB2312" w:eastAsia="仿宋_GB2312" w:cs="仿宋_GB2312"/>
                <w:sz w:val="24"/>
                <w:szCs w:val="32"/>
              </w:rPr>
              <w:t>城区12处渍水点完成整治，</w:t>
            </w:r>
            <w:r>
              <w:rPr>
                <w:rFonts w:hint="eastAsia" w:ascii="仿宋_GB2312" w:eastAsia="仿宋_GB2312" w:cs="仿宋_GB2312"/>
                <w:color w:val="000000"/>
                <w:kern w:val="0"/>
                <w:sz w:val="24"/>
                <w:szCs w:val="32"/>
              </w:rPr>
              <w:t>解决了周边居民多年来的渍水之苦。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sz w:val="24"/>
                <w:szCs w:val="32"/>
              </w:rPr>
            </w:pPr>
            <w:r>
              <w:rPr>
                <w:rFonts w:hint="eastAsia" w:ascii="楷体_GB2312" w:hAnsi="楷体_GB2312" w:eastAsia="楷体_GB2312" w:cs="楷体_GB2312"/>
                <w:b/>
                <w:bCs/>
                <w:sz w:val="24"/>
                <w:szCs w:val="32"/>
              </w:rPr>
              <w:t>（三）工作创新有亮点。</w:t>
            </w:r>
            <w:r>
              <w:rPr>
                <w:rFonts w:hint="eastAsia" w:ascii="仿宋_GB2312" w:hAnsi="仿宋_GB2312" w:eastAsia="仿宋_GB2312" w:cs="仿宋_GB2312"/>
                <w:b/>
                <w:bCs/>
                <w:sz w:val="24"/>
                <w:szCs w:val="32"/>
                <w:lang w:bidi="ar"/>
              </w:rPr>
              <w:t>一是健全办法规划。</w:t>
            </w:r>
            <w:r>
              <w:rPr>
                <w:rFonts w:hint="eastAsia" w:ascii="仿宋_GB2312" w:hAnsi="仿宋_GB2312" w:eastAsia="仿宋_GB2312" w:cs="仿宋_GB2312"/>
                <w:sz w:val="24"/>
                <w:szCs w:val="32"/>
              </w:rPr>
              <w:t>对《岳阳市中心城区户外广告管理办法》《岳阳市中心城区市政公用设施移交管理办法》《岳阳市城市道路人行道管理办法》3个市政府规范性文件进行了修订；报请市政府印发《岳阳市人民政府关于加强市城区餐厨剩余物监管的通告》，加强了餐厨剩余物监管；</w:t>
            </w:r>
            <w:r>
              <w:rPr>
                <w:rFonts w:hint="eastAsia" w:ascii="仿宋_GB2312" w:hAnsi="仿宋_GB2312" w:eastAsia="仿宋_GB2312" w:cs="仿宋_GB2312"/>
                <w:kern w:val="0"/>
                <w:sz w:val="24"/>
                <w:szCs w:val="32"/>
              </w:rPr>
              <w:t>编制并实施</w:t>
            </w:r>
            <w:r>
              <w:rPr>
                <w:rFonts w:hint="eastAsia" w:ascii="仿宋_GB2312" w:hAnsi="仿宋_GB2312" w:eastAsia="仿宋_GB2312" w:cs="仿宋_GB2312"/>
                <w:sz w:val="24"/>
                <w:szCs w:val="32"/>
              </w:rPr>
              <w:t>《岳阳市主城区户外广告设置专项规划》《岳阳市城市规划区绿道系统规划》；市政府规章《岳阳市城市绿线管理办法》《岳阳市燃气管理办法》经市政府第36次常务会议审定后实施。</w:t>
            </w:r>
            <w:r>
              <w:rPr>
                <w:rFonts w:hint="eastAsia" w:ascii="仿宋_GB2312" w:hAnsi="仿宋_GB2312" w:eastAsia="仿宋_GB2312" w:cs="仿宋_GB2312"/>
                <w:b/>
                <w:bCs/>
                <w:kern w:val="0"/>
                <w:sz w:val="24"/>
                <w:szCs w:val="32"/>
              </w:rPr>
              <w:t>二是实施道路停车收费。</w:t>
            </w:r>
            <w:r>
              <w:rPr>
                <w:rFonts w:hint="eastAsia" w:ascii="仿宋_GB2312" w:hAnsi="仿宋_GB2312" w:eastAsia="仿宋_GB2312" w:cs="仿宋_GB2312"/>
                <w:bCs/>
                <w:kern w:val="0"/>
                <w:sz w:val="24"/>
                <w:szCs w:val="32"/>
              </w:rPr>
              <w:t>市</w:t>
            </w:r>
            <w:r>
              <w:rPr>
                <w:rFonts w:hint="eastAsia" w:ascii="仿宋_GB2312" w:hAnsi="仿宋_GB2312" w:eastAsia="仿宋_GB2312" w:cs="仿宋_GB2312"/>
                <w:sz w:val="24"/>
                <w:szCs w:val="32"/>
              </w:rPr>
              <w:t>智慧停车系统建成投运，主城区选定28条收费路段施划更新临时停车泊位7081个、安装地磁4100个，其中首批5条道路共1057个临时停车泊位全面收费，进一步缓解了“停车难”问题。</w:t>
            </w:r>
            <w:r>
              <w:rPr>
                <w:rFonts w:hint="eastAsia" w:ascii="仿宋_GB2312" w:hAnsi="仿宋_GB2312" w:eastAsia="仿宋_GB2312" w:cs="仿宋_GB2312"/>
                <w:b/>
                <w:bCs/>
                <w:kern w:val="0"/>
                <w:sz w:val="24"/>
                <w:szCs w:val="32"/>
              </w:rPr>
              <w:t>三是完善管理体制。</w:t>
            </w:r>
            <w:r>
              <w:rPr>
                <w:rFonts w:hint="eastAsia" w:ascii="仿宋_GB2312" w:hAnsi="仿宋_GB2312" w:eastAsia="仿宋_GB2312" w:cs="仿宋_GB2312"/>
                <w:sz w:val="24"/>
                <w:szCs w:val="32"/>
              </w:rPr>
              <w:t>成立市静脉产业园管理中心、市餐厨垃圾综合处理所、市智慧环卫信息中心，强化了专项工作；市城管局城陵矶新港区分局正式运作，新港区城市管理逐步走上正轨。</w:t>
            </w:r>
            <w:r>
              <w:rPr>
                <w:rFonts w:hint="eastAsia" w:ascii="仿宋_GB2312" w:hAnsi="仿宋_GB2312" w:eastAsia="仿宋_GB2312" w:cs="仿宋_GB2312"/>
                <w:b/>
                <w:bCs/>
                <w:kern w:val="0"/>
                <w:sz w:val="24"/>
                <w:szCs w:val="32"/>
              </w:rPr>
              <w:t>四是将数字城管转换成智慧城管。</w:t>
            </w:r>
            <w:r>
              <w:rPr>
                <w:rFonts w:hint="eastAsia" w:ascii="仿宋_GB2312" w:hAnsi="仿宋_GB2312" w:eastAsia="仿宋_GB2312" w:cs="仿宋_GB2312"/>
                <w:sz w:val="24"/>
                <w:szCs w:val="32"/>
              </w:rPr>
              <w:t>在功能拓展、管理升级、覆盖扩面、资源共享、公众参与5个板块升级发力，高效处置城市管理案件29.86万件。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楷体_GB2312" w:hAnsi="楷体_GB2312" w:eastAsia="楷体_GB2312" w:cs="楷体_GB2312"/>
                <w:b/>
                <w:bCs/>
                <w:kern w:val="0"/>
                <w:sz w:val="24"/>
                <w:szCs w:val="32"/>
              </w:rPr>
            </w:pPr>
            <w:r>
              <w:rPr>
                <w:rFonts w:hint="eastAsia" w:ascii="楷体_GB2312" w:hAnsi="楷体_GB2312" w:eastAsia="楷体_GB2312" w:cs="楷体_GB2312"/>
                <w:b/>
                <w:bCs/>
                <w:kern w:val="0"/>
                <w:sz w:val="24"/>
                <w:szCs w:val="32"/>
              </w:rPr>
              <w:t>（四）重点保障有形象。</w:t>
            </w:r>
            <w:r>
              <w:rPr>
                <w:rFonts w:hint="eastAsia" w:ascii="仿宋_GB2312" w:hAnsi="仿宋_GB2312" w:eastAsia="仿宋_GB2312" w:cs="仿宋_GB2312"/>
                <w:b/>
                <w:bCs/>
                <w:color w:val="000000"/>
                <w:kern w:val="0"/>
                <w:sz w:val="24"/>
                <w:szCs w:val="32"/>
              </w:rPr>
              <w:t>一是筑牢安全稳定底线。</w:t>
            </w:r>
            <w:r>
              <w:rPr>
                <w:rFonts w:hint="eastAsia" w:ascii="仿宋_GB2312" w:hAnsi="仿宋_GB2312" w:eastAsia="仿宋_GB2312"/>
                <w:color w:val="000000"/>
                <w:sz w:val="24"/>
                <w:szCs w:val="32"/>
              </w:rPr>
              <w:t>受领市政府巴陵大桥市场拆除和安全隐患整治任务，按照“以拆促签、积小胜为大胜、逐步推进”的工作方法，分3次拆除各类建（构）物73处、2200平方米，在保持社会稳定的同时，取得阶段性成效。</w:t>
            </w:r>
            <w:r>
              <w:rPr>
                <w:rFonts w:hint="eastAsia" w:ascii="仿宋_GB2312" w:hAnsi="仿宋_GB2312" w:eastAsia="仿宋_GB2312" w:cs="仿宋_GB2312"/>
                <w:color w:val="000000"/>
                <w:kern w:val="0"/>
                <w:sz w:val="24"/>
                <w:szCs w:val="32"/>
              </w:rPr>
              <w:t>深入开展“强执法</w:t>
            </w:r>
            <w:r>
              <w:rPr>
                <w:rFonts w:hint="eastAsia" w:ascii="仿宋_GB2312" w:hAnsi="仿宋_GB2312" w:eastAsia="仿宋_GB2312" w:cs="仿宋_GB2312"/>
                <w:kern w:val="0"/>
                <w:sz w:val="24"/>
                <w:szCs w:val="32"/>
              </w:rPr>
              <w:t>防事故”和“安全生产月”等活动，组织燃气安全培训3次，开展安全隐患大检查2次，指导各县市区开展燃气执法300多次；抓好信访维稳工作，办结信访件53件，办结市长信箱来信和网络舆情回复152件，一批信访积案得到化解；深入开展城管系统扫黑除恶专项斗争，确保了大局和谐稳定。</w:t>
            </w:r>
            <w:r>
              <w:rPr>
                <w:rFonts w:hint="eastAsia" w:ascii="仿宋_GB2312" w:hAnsi="仿宋_GB2312" w:eastAsia="仿宋_GB2312" w:cs="仿宋_GB2312"/>
                <w:b/>
                <w:bCs/>
                <w:kern w:val="0"/>
                <w:sz w:val="24"/>
                <w:szCs w:val="32"/>
              </w:rPr>
              <w:t>二是抓实“两大攻坚”。</w:t>
            </w:r>
            <w:r>
              <w:rPr>
                <w:rFonts w:hint="eastAsia" w:ascii="仿宋_GB2312" w:hAnsi="仿宋_GB2312" w:eastAsia="仿宋_GB2312" w:cs="仿宋_GB2312"/>
                <w:kern w:val="0"/>
                <w:sz w:val="24"/>
                <w:szCs w:val="32"/>
              </w:rPr>
              <w:t>平江县杨柳村脱贫巩固提升工作作为典型在全省会议上作典型发言，临湘市长塘镇长塘社区人居环境攻坚工作获评全市A类。</w:t>
            </w:r>
            <w:r>
              <w:rPr>
                <w:rFonts w:hint="eastAsia" w:ascii="仿宋_GB2312" w:hAnsi="仿宋_GB2312" w:eastAsia="仿宋_GB2312" w:cs="仿宋_GB2312"/>
                <w:b/>
                <w:bCs/>
                <w:kern w:val="0"/>
                <w:sz w:val="24"/>
                <w:szCs w:val="32"/>
              </w:rPr>
              <w:t>三是深化全国文明城市</w:t>
            </w:r>
            <w:r>
              <w:rPr>
                <w:rFonts w:hint="eastAsia" w:ascii="仿宋_GB2312" w:hAnsi="仿宋_GB2312" w:eastAsia="仿宋_GB2312" w:cs="仿宋_GB2312"/>
                <w:b/>
                <w:bCs/>
                <w:kern w:val="0"/>
                <w:sz w:val="24"/>
                <w:szCs w:val="32"/>
                <w:lang w:eastAsia="zh-CN"/>
              </w:rPr>
              <w:t>、</w:t>
            </w:r>
            <w:r>
              <w:rPr>
                <w:rFonts w:hint="eastAsia" w:ascii="仿宋_GB2312" w:hAnsi="仿宋_GB2312" w:eastAsia="仿宋_GB2312" w:cs="仿宋_GB2312"/>
                <w:b/>
                <w:bCs/>
                <w:kern w:val="0"/>
                <w:sz w:val="24"/>
                <w:szCs w:val="32"/>
              </w:rPr>
              <w:t>国家卫生城市</w:t>
            </w:r>
            <w:r>
              <w:rPr>
                <w:rFonts w:hint="eastAsia" w:ascii="仿宋_GB2312" w:hAnsi="仿宋_GB2312" w:eastAsia="仿宋_GB2312" w:cs="仿宋_GB2312"/>
                <w:b/>
                <w:bCs/>
                <w:kern w:val="0"/>
                <w:sz w:val="24"/>
                <w:szCs w:val="32"/>
                <w:lang w:eastAsia="zh-CN"/>
              </w:rPr>
              <w:t>、国家园林城市建设</w:t>
            </w:r>
            <w:r>
              <w:rPr>
                <w:rFonts w:hint="eastAsia" w:ascii="仿宋_GB2312" w:hAnsi="仿宋_GB2312" w:eastAsia="仿宋_GB2312" w:cs="仿宋_GB2312"/>
                <w:b/>
                <w:bCs/>
                <w:kern w:val="0"/>
                <w:sz w:val="24"/>
                <w:szCs w:val="32"/>
              </w:rPr>
              <w:t>。</w:t>
            </w:r>
            <w:r>
              <w:rPr>
                <w:rFonts w:hint="eastAsia" w:ascii="仿宋_GB2312" w:hAnsi="仿宋_GB2312" w:eastAsia="仿宋_GB2312" w:cs="仿宋_GB2312"/>
                <w:sz w:val="24"/>
                <w:szCs w:val="32"/>
              </w:rPr>
              <w:t>完</w:t>
            </w:r>
            <w:r>
              <w:rPr>
                <w:rFonts w:hint="eastAsia" w:ascii="仿宋_GB2312" w:hAnsi="仿宋_GB2312" w:eastAsia="仿宋_GB2312" w:cs="仿宋_GB2312"/>
                <w:kern w:val="0"/>
                <w:sz w:val="24"/>
                <w:szCs w:val="32"/>
              </w:rPr>
              <w:t>善长效</w:t>
            </w:r>
            <w:r>
              <w:rPr>
                <w:rFonts w:hint="eastAsia" w:ascii="仿宋_GB2312" w:hAnsi="仿宋_GB2312" w:eastAsia="仿宋_GB2312" w:cs="仿宋_GB2312"/>
                <w:kern w:val="0"/>
                <w:sz w:val="24"/>
                <w:szCs w:val="32"/>
                <w:lang w:eastAsia="zh-CN"/>
              </w:rPr>
              <w:t>管理</w:t>
            </w:r>
            <w:r>
              <w:rPr>
                <w:rFonts w:hint="eastAsia" w:ascii="仿宋_GB2312" w:hAnsi="仿宋_GB2312" w:eastAsia="仿宋_GB2312" w:cs="仿宋_GB2312"/>
                <w:kern w:val="0"/>
                <w:sz w:val="24"/>
                <w:szCs w:val="32"/>
              </w:rPr>
              <w:t>机制，统筹城管、社会、市民三大主体，使</w:t>
            </w:r>
            <w:r>
              <w:rPr>
                <w:rFonts w:hint="eastAsia" w:ascii="仿宋_GB2312" w:hAnsi="仿宋_GB2312" w:eastAsia="仿宋_GB2312" w:cs="仿宋_GB2312"/>
                <w:sz w:val="24"/>
                <w:szCs w:val="32"/>
              </w:rPr>
              <w:t>城管有形之手、市场无形之手、市民勤劳之手同向发力，确保了</w:t>
            </w:r>
            <w:r>
              <w:rPr>
                <w:rFonts w:hint="eastAsia" w:ascii="仿宋_GB2312" w:hAnsi="仿宋_GB2312" w:eastAsia="仿宋_GB2312" w:cs="仿宋_GB2312"/>
                <w:sz w:val="24"/>
                <w:szCs w:val="32"/>
                <w:lang w:eastAsia="zh-CN"/>
              </w:rPr>
              <w:t>复审或普查</w:t>
            </w:r>
            <w:r>
              <w:rPr>
                <w:rFonts w:hint="eastAsia" w:ascii="仿宋_GB2312" w:hAnsi="仿宋_GB2312" w:eastAsia="仿宋_GB2312" w:cs="仿宋_GB2312"/>
                <w:sz w:val="24"/>
                <w:szCs w:val="32"/>
              </w:rPr>
              <w:t>未丢分、得高分。</w:t>
            </w:r>
            <w:r>
              <w:rPr>
                <w:rFonts w:hint="eastAsia" w:ascii="仿宋_GB2312" w:hAnsi="仿宋_GB2312" w:eastAsia="仿宋_GB2312" w:cs="仿宋_GB2312"/>
                <w:b/>
                <w:bCs/>
                <w:kern w:val="0"/>
                <w:sz w:val="24"/>
                <w:szCs w:val="32"/>
              </w:rPr>
              <w:t>四是做精服务保障。</w:t>
            </w:r>
            <w:r>
              <w:rPr>
                <w:rFonts w:hint="eastAsia" w:ascii="仿宋_GB2312" w:hAnsi="仿宋_GB2312" w:eastAsia="仿宋_GB2312" w:cs="仿宋_GB2312"/>
                <w:kern w:val="0"/>
                <w:sz w:val="24"/>
                <w:szCs w:val="32"/>
              </w:rPr>
              <w:t>成功应对1月上旬雨雪冰冻天气，深化市城管领域“跑改”，顺利完成40余次重大接待保障任务，尤其是全省产业项目建设推进现场观摩会、全省落实“水十条”住建领域任务暨生活污染问题推进会服务保障工作分别获市委、市政府督查室通报表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i w:val="0"/>
                <w:caps w:val="0"/>
                <w:color w:val="000000"/>
                <w:spacing w:val="0"/>
                <w:sz w:val="24"/>
                <w:szCs w:val="32"/>
              </w:rPr>
            </w:pPr>
            <w:r>
              <w:rPr>
                <w:rFonts w:hint="eastAsia" w:ascii="楷体_GB2312" w:hAnsi="楷体_GB2312" w:eastAsia="楷体_GB2312" w:cs="楷体_GB2312"/>
                <w:b/>
                <w:bCs/>
                <w:kern w:val="0"/>
                <w:sz w:val="24"/>
                <w:szCs w:val="32"/>
              </w:rPr>
              <w:t>（</w:t>
            </w:r>
            <w:r>
              <w:rPr>
                <w:rFonts w:hint="eastAsia" w:ascii="楷体_GB2312" w:hAnsi="楷体_GB2312" w:eastAsia="楷体_GB2312" w:cs="楷体_GB2312"/>
                <w:b/>
                <w:bCs/>
                <w:kern w:val="0"/>
                <w:sz w:val="24"/>
                <w:szCs w:val="32"/>
                <w:lang w:eastAsia="zh-CN"/>
              </w:rPr>
              <w:t>五</w:t>
            </w:r>
            <w:r>
              <w:rPr>
                <w:rFonts w:hint="eastAsia" w:ascii="楷体_GB2312" w:hAnsi="楷体_GB2312" w:eastAsia="楷体_GB2312" w:cs="楷体_GB2312"/>
                <w:b/>
                <w:bCs/>
                <w:kern w:val="0"/>
                <w:sz w:val="24"/>
                <w:szCs w:val="32"/>
              </w:rPr>
              <w:t>）队伍建设有活力。</w:t>
            </w:r>
            <w:r>
              <w:rPr>
                <w:rFonts w:hint="eastAsia" w:ascii="仿宋_GB2312" w:hAnsi="仿宋_GB2312" w:eastAsia="仿宋_GB2312" w:cs="仿宋_GB2312"/>
                <w:b/>
                <w:bCs/>
                <w:kern w:val="0"/>
                <w:sz w:val="24"/>
                <w:szCs w:val="32"/>
              </w:rPr>
              <w:t>一是狠抓学习培训。</w:t>
            </w:r>
            <w:r>
              <w:rPr>
                <w:rFonts w:hint="eastAsia" w:ascii="仿宋_GB2312" w:hAnsi="仿宋_GB2312" w:eastAsia="仿宋_GB2312" w:cs="仿宋_GB2312"/>
                <w:kern w:val="0"/>
                <w:sz w:val="24"/>
                <w:szCs w:val="32"/>
              </w:rPr>
              <w:t>结合“不忘初心、牢记使命”主题教育，举办1期局系统党务干部培训班、2期教授专题辅导、54期主题教育读书班和127场党员领导干部专题党课，发放学习资料2600多本，组织观看专题教育影片54场，1218名党员参与学习。组织180名</w:t>
            </w:r>
            <w:r>
              <w:rPr>
                <w:rFonts w:hint="eastAsia" w:ascii="仿宋_GB2312" w:hAnsi="仿宋" w:eastAsia="仿宋_GB2312"/>
                <w:sz w:val="24"/>
                <w:szCs w:val="32"/>
              </w:rPr>
              <w:t>党员干部</w:t>
            </w:r>
            <w:r>
              <w:rPr>
                <w:rFonts w:hint="eastAsia" w:ascii="仿宋_GB2312" w:hAnsi="仿宋_GB2312" w:eastAsia="仿宋_GB2312" w:cs="仿宋_GB2312"/>
                <w:kern w:val="0"/>
                <w:sz w:val="24"/>
                <w:szCs w:val="32"/>
              </w:rPr>
              <w:t>到市反腐倡廉警示教育基地实地参观，接受警示教育。</w:t>
            </w:r>
            <w:r>
              <w:rPr>
                <w:rFonts w:hint="eastAsia" w:ascii="仿宋_GB2312" w:hAnsi="仿宋_GB2312" w:eastAsia="仿宋_GB2312" w:cs="仿宋_GB2312"/>
                <w:b/>
                <w:bCs/>
                <w:kern w:val="0"/>
                <w:sz w:val="24"/>
                <w:szCs w:val="32"/>
              </w:rPr>
              <w:t>二是择优选拔干部。</w:t>
            </w:r>
            <w:r>
              <w:rPr>
                <w:rFonts w:hint="eastAsia" w:ascii="仿宋_GB2312" w:hAnsi="仿宋_GB2312" w:eastAsia="仿宋_GB2312" w:cs="仿宋_GB2312"/>
                <w:kern w:val="0"/>
                <w:sz w:val="24"/>
                <w:szCs w:val="32"/>
              </w:rPr>
              <w:t>严格按照干部选拔任用程序，调整重用、交流正科级干部8名、副科级干部12名；提拔任用正科级干部11名、副科级干部42名、主任科员2名、副主任科员3名，让一批</w:t>
            </w:r>
            <w:r>
              <w:rPr>
                <w:rFonts w:hint="eastAsia" w:ascii="仿宋_GB2312" w:hAnsi="仿宋_GB2312" w:eastAsia="仿宋_GB2312" w:cs="仿宋_GB2312"/>
                <w:kern w:val="0"/>
                <w:sz w:val="24"/>
                <w:szCs w:val="32"/>
                <w:lang w:eastAsia="zh-CN"/>
              </w:rPr>
              <w:t>勤政务实、敢于担当</w:t>
            </w:r>
            <w:r>
              <w:rPr>
                <w:rFonts w:hint="eastAsia" w:ascii="仿宋_GB2312" w:hAnsi="仿宋_GB2312" w:eastAsia="仿宋_GB2312" w:cs="仿宋_GB2312"/>
                <w:kern w:val="0"/>
                <w:sz w:val="24"/>
                <w:szCs w:val="32"/>
              </w:rPr>
              <w:t>的基层干部走上科级干部岗位。</w:t>
            </w:r>
            <w:r>
              <w:rPr>
                <w:rFonts w:hint="eastAsia" w:ascii="仿宋_GB2312" w:hAnsi="仿宋_GB2312" w:eastAsia="仿宋_GB2312" w:cs="仿宋_GB2312"/>
                <w:b/>
                <w:bCs/>
                <w:color w:val="00000A"/>
                <w:kern w:val="0"/>
                <w:sz w:val="24"/>
                <w:szCs w:val="32"/>
              </w:rPr>
              <w:t>三是深化作风建设。</w:t>
            </w:r>
            <w:r>
              <w:rPr>
                <w:rFonts w:hint="eastAsia" w:ascii="仿宋_GB2312" w:hAnsi="仿宋_GB2312" w:eastAsia="仿宋_GB2312" w:cs="仿宋_GB2312"/>
                <w:color w:val="00000A"/>
                <w:kern w:val="0"/>
                <w:sz w:val="24"/>
                <w:szCs w:val="32"/>
              </w:rPr>
              <w:t>严格落实中央“八项规定”和实施细则精神，将反对官僚主义、形式主义摆在更加突出的位置；</w:t>
            </w:r>
            <w:r>
              <w:rPr>
                <w:rFonts w:hint="eastAsia" w:ascii="仿宋_GB2312" w:hAnsi="仿宋" w:eastAsia="仿宋_GB2312"/>
                <w:sz w:val="24"/>
                <w:szCs w:val="32"/>
              </w:rPr>
              <w:t>提醒谈话98人次，</w:t>
            </w:r>
            <w:r>
              <w:rPr>
                <w:rFonts w:hint="eastAsia" w:ascii="仿宋_GB2312" w:hAnsi="仿宋_GB2312" w:eastAsia="仿宋_GB2312" w:cs="仿宋_GB2312"/>
                <w:color w:val="00000A"/>
                <w:kern w:val="0"/>
                <w:sz w:val="24"/>
                <w:szCs w:val="32"/>
              </w:rPr>
              <w:t>保持正风肃纪的强大震慑；各级负责干部深入基层调研，真抓实干真督办，抓一件成一件。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bCs/>
                <w:sz w:val="24"/>
                <w:szCs w:val="32"/>
                <w:lang w:val="en-US" w:eastAsia="zh-CN"/>
              </w:rPr>
            </w:pPr>
            <w:r>
              <w:rPr>
                <w:rFonts w:hint="eastAsia" w:ascii="黑体" w:hAnsi="黑体" w:eastAsia="黑体" w:cs="黑体"/>
                <w:bCs/>
                <w:sz w:val="24"/>
                <w:szCs w:val="32"/>
                <w:lang w:eastAsia="zh-CN"/>
              </w:rPr>
              <w:t>五、</w:t>
            </w:r>
            <w:r>
              <w:rPr>
                <w:rFonts w:hint="eastAsia" w:ascii="黑体" w:hAnsi="黑体" w:eastAsia="黑体" w:cs="黑体"/>
                <w:bCs/>
                <w:sz w:val="24"/>
                <w:szCs w:val="32"/>
              </w:rPr>
              <w:t>存在的主要</w:t>
            </w:r>
            <w:r>
              <w:rPr>
                <w:rFonts w:hint="eastAsia" w:ascii="黑体" w:hAnsi="黑体" w:eastAsia="黑体" w:cs="黑体"/>
                <w:bCs/>
                <w:sz w:val="24"/>
                <w:szCs w:val="32"/>
                <w:lang w:val="en-US" w:eastAsia="zh-CN"/>
              </w:rPr>
              <w:t>问题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bCs/>
                <w:sz w:val="24"/>
                <w:szCs w:val="32"/>
                <w:lang w:val="en-US" w:eastAsia="zh-CN"/>
              </w:rPr>
            </w:pPr>
            <w:r>
              <w:rPr>
                <w:rFonts w:hint="eastAsia" w:ascii="楷体" w:hAnsi="楷体" w:eastAsia="楷体" w:cs="楷体"/>
                <w:b/>
                <w:bCs/>
                <w:sz w:val="24"/>
                <w:szCs w:val="32"/>
                <w:lang w:val="en-US" w:eastAsia="zh-CN"/>
              </w:rPr>
              <w:t>（一）项目与实际支出有差异。</w:t>
            </w:r>
            <w:r>
              <w:rPr>
                <w:rFonts w:hint="eastAsia" w:ascii="仿宋" w:hAnsi="仿宋" w:eastAsia="仿宋" w:cs="仿宋"/>
                <w:bCs/>
                <w:sz w:val="24"/>
                <w:szCs w:val="32"/>
                <w:lang w:val="en-US" w:eastAsia="zh-CN"/>
              </w:rPr>
              <w:t>一是大型垃圾中转站、静脉产业园、站北箱涵黑臭水体整治等项目均属城建项目，不在年初预算范围内。二是2019年度支付扶贫款163.78万元，这个项目财政没有安排预算，但又是必须支出的。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仿宋" w:hAnsi="仿宋" w:eastAsia="仿宋" w:cs="仿宋"/>
                <w:bCs/>
                <w:sz w:val="24"/>
                <w:szCs w:val="32"/>
                <w:lang w:val="en-US" w:eastAsia="zh-CN"/>
              </w:rPr>
            </w:pPr>
            <w:r>
              <w:rPr>
                <w:rFonts w:hint="eastAsia" w:ascii="楷体" w:hAnsi="楷体" w:eastAsia="楷体" w:cs="楷体"/>
                <w:b/>
                <w:bCs/>
                <w:sz w:val="24"/>
                <w:szCs w:val="32"/>
                <w:lang w:val="en-US" w:eastAsia="zh-CN"/>
              </w:rPr>
              <w:t>（二）预算执行度有待进一步提高。</w:t>
            </w:r>
            <w:r>
              <w:rPr>
                <w:rFonts w:hint="eastAsia" w:ascii="仿宋" w:hAnsi="仿宋" w:eastAsia="仿宋" w:cs="仿宋"/>
                <w:bCs/>
                <w:sz w:val="24"/>
                <w:szCs w:val="32"/>
                <w:lang w:val="en-US" w:eastAsia="zh-CN"/>
              </w:rPr>
              <w:t>年末财政指标结转资金较上年度增幅较大，主要原因是静脉产业园、站北箱涵黑臭水体整治等项目资金需按进度支付。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黑体" w:hAnsi="黑体" w:eastAsia="黑体" w:cs="黑体"/>
                <w:sz w:val="24"/>
                <w:szCs w:val="32"/>
              </w:rPr>
            </w:pPr>
            <w:r>
              <w:rPr>
                <w:rFonts w:hint="eastAsia" w:ascii="黑体" w:hAnsi="黑体" w:eastAsia="黑体" w:cs="黑体"/>
                <w:bCs/>
                <w:sz w:val="24"/>
                <w:szCs w:val="32"/>
              </w:rPr>
              <w:t>六、改进措施和有关建议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sz w:val="24"/>
                <w:szCs w:val="32"/>
                <w:lang w:val="en-US" w:eastAsia="zh-CN"/>
              </w:rPr>
            </w:pPr>
            <w:r>
              <w:rPr>
                <w:rFonts w:hint="eastAsia" w:ascii="楷体" w:hAnsi="楷体" w:eastAsia="楷体" w:cs="楷体"/>
                <w:b/>
                <w:bCs/>
                <w:sz w:val="24"/>
                <w:szCs w:val="32"/>
                <w:lang w:val="en-US" w:eastAsia="zh-CN"/>
              </w:rPr>
              <w:t>（一）增强预算约束力</w:t>
            </w:r>
            <w:r>
              <w:rPr>
                <w:rFonts w:hint="eastAsia" w:ascii="仿宋" w:hAnsi="仿宋" w:eastAsia="仿宋" w:cs="仿宋"/>
                <w:sz w:val="24"/>
                <w:szCs w:val="32"/>
                <w:lang w:val="en-US" w:eastAsia="zh-CN"/>
              </w:rPr>
              <w:t>。各项支出都必须严格按照预算执行，不能随意改变，也就是“无预算，不支出”。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 w:hAnsi="仿宋" w:eastAsia="仿宋" w:cs="仿宋"/>
                <w:sz w:val="24"/>
                <w:szCs w:val="32"/>
                <w:lang w:val="en-US" w:eastAsia="zh-CN"/>
              </w:rPr>
            </w:pPr>
            <w:r>
              <w:rPr>
                <w:rFonts w:hint="eastAsia" w:ascii="楷体" w:hAnsi="楷体" w:eastAsia="楷体" w:cs="楷体"/>
                <w:b/>
                <w:bCs/>
                <w:sz w:val="24"/>
                <w:szCs w:val="32"/>
                <w:lang w:val="en-US" w:eastAsia="zh-CN"/>
              </w:rPr>
              <w:t>（二）进一步加快预算执行度。</w:t>
            </w:r>
            <w:r>
              <w:rPr>
                <w:rFonts w:hint="eastAsia" w:ascii="仿宋" w:hAnsi="仿宋" w:eastAsia="仿宋" w:cs="仿宋"/>
                <w:sz w:val="24"/>
                <w:szCs w:val="32"/>
                <w:lang w:val="en-US" w:eastAsia="zh-CN"/>
              </w:rPr>
              <w:t>一是盘活存量资金，优先用存量资金解决资金需求。二是加快预算执行，督促项目实施单位加快项目实施进度，加快资金结算进度，严控项目结转结余。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（三）建议财政部门合理安排预算支出项目。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rPr>
            </w:pPr>
          </w:p>
          <w:p>
            <w:pPr>
              <w:keepNext w:val="0"/>
              <w:keepLines w:val="0"/>
              <w:pageBreakBefore w:val="0"/>
              <w:numPr>
                <w:ilvl w:val="0"/>
                <w:numId w:val="0"/>
              </w:numPr>
              <w:suppressLineNumbers w:val="0"/>
              <w:kinsoku/>
              <w:wordWrap/>
              <w:overflowPunct/>
              <w:topLinePunct w:val="0"/>
              <w:autoSpaceDE/>
              <w:bidi w:val="0"/>
              <w:adjustRightInd/>
              <w:snapToGrid/>
              <w:spacing w:before="0" w:beforeAutospacing="0" w:after="0" w:afterAutospacing="0" w:line="240" w:lineRule="auto"/>
              <w:ind w:left="0" w:leftChars="0" w:right="0" w:firstLine="560" w:firstLineChars="200"/>
              <w:rPr>
                <w:rFonts w:hint="default" w:eastAsia="楷体_GB2312"/>
                <w:bCs/>
                <w:sz w:val="28"/>
                <w:szCs w:val="28"/>
              </w:rPr>
            </w:pPr>
          </w:p>
        </w:tc>
      </w:tr>
    </w:tbl>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BF987"/>
    <w:multiLevelType w:val="singleLevel"/>
    <w:tmpl w:val="89EBF9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74360"/>
    <w:rsid w:val="00FB462F"/>
    <w:rsid w:val="00FE16FA"/>
    <w:rsid w:val="00FE328A"/>
    <w:rsid w:val="0144292E"/>
    <w:rsid w:val="01617924"/>
    <w:rsid w:val="039004E0"/>
    <w:rsid w:val="04E7343E"/>
    <w:rsid w:val="04F24B6E"/>
    <w:rsid w:val="058F3C16"/>
    <w:rsid w:val="05C0591D"/>
    <w:rsid w:val="07B32F81"/>
    <w:rsid w:val="0A816703"/>
    <w:rsid w:val="0C1A7011"/>
    <w:rsid w:val="10D9457B"/>
    <w:rsid w:val="13E13FD1"/>
    <w:rsid w:val="18EC0F3F"/>
    <w:rsid w:val="18FC2736"/>
    <w:rsid w:val="1AA501B5"/>
    <w:rsid w:val="1AA514B7"/>
    <w:rsid w:val="1C4C0C2A"/>
    <w:rsid w:val="1E151822"/>
    <w:rsid w:val="220F73AA"/>
    <w:rsid w:val="22BB3CC2"/>
    <w:rsid w:val="22FD107A"/>
    <w:rsid w:val="25691F11"/>
    <w:rsid w:val="27BE5946"/>
    <w:rsid w:val="2907705B"/>
    <w:rsid w:val="2A464481"/>
    <w:rsid w:val="2C7B640C"/>
    <w:rsid w:val="2D391E93"/>
    <w:rsid w:val="2DB72D90"/>
    <w:rsid w:val="2F410D53"/>
    <w:rsid w:val="30FC721D"/>
    <w:rsid w:val="318607A8"/>
    <w:rsid w:val="33D51E66"/>
    <w:rsid w:val="36741A43"/>
    <w:rsid w:val="380736E7"/>
    <w:rsid w:val="394910C2"/>
    <w:rsid w:val="39AB583C"/>
    <w:rsid w:val="3A0414E2"/>
    <w:rsid w:val="3BE271D8"/>
    <w:rsid w:val="3C3E7220"/>
    <w:rsid w:val="3DAD36EA"/>
    <w:rsid w:val="3E5056F2"/>
    <w:rsid w:val="3EB8238F"/>
    <w:rsid w:val="401E296D"/>
    <w:rsid w:val="41CC5252"/>
    <w:rsid w:val="439E20C3"/>
    <w:rsid w:val="43FA4A7E"/>
    <w:rsid w:val="48082A1D"/>
    <w:rsid w:val="48764F76"/>
    <w:rsid w:val="48E95F0C"/>
    <w:rsid w:val="498A73F0"/>
    <w:rsid w:val="4A6D496B"/>
    <w:rsid w:val="4B9658B5"/>
    <w:rsid w:val="55A54B4F"/>
    <w:rsid w:val="55B9188B"/>
    <w:rsid w:val="560C4858"/>
    <w:rsid w:val="560D5428"/>
    <w:rsid w:val="56A61FE0"/>
    <w:rsid w:val="56AE6D17"/>
    <w:rsid w:val="5C636F47"/>
    <w:rsid w:val="5D897A26"/>
    <w:rsid w:val="604F4652"/>
    <w:rsid w:val="60996CC3"/>
    <w:rsid w:val="60ED453F"/>
    <w:rsid w:val="61314E50"/>
    <w:rsid w:val="631C6C23"/>
    <w:rsid w:val="645A2712"/>
    <w:rsid w:val="685D23A0"/>
    <w:rsid w:val="68992872"/>
    <w:rsid w:val="69F26CD2"/>
    <w:rsid w:val="6B0A7E8C"/>
    <w:rsid w:val="6B407447"/>
    <w:rsid w:val="6B7A6818"/>
    <w:rsid w:val="6EE4312B"/>
    <w:rsid w:val="6EF14389"/>
    <w:rsid w:val="6F3B466B"/>
    <w:rsid w:val="70362D92"/>
    <w:rsid w:val="73FD09B5"/>
    <w:rsid w:val="757768D7"/>
    <w:rsid w:val="766575D4"/>
    <w:rsid w:val="76D976C0"/>
    <w:rsid w:val="7AEB5966"/>
    <w:rsid w:val="7B8F287B"/>
    <w:rsid w:val="7DB00D51"/>
    <w:rsid w:val="7F62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8"/>
      <w:szCs w:val="24"/>
      <w:lang w:val="en-US" w:eastAsia="zh-CN" w:bidi="ar-SA"/>
    </w:rPr>
  </w:style>
  <w:style w:type="paragraph" w:styleId="3">
    <w:name w:val="Balloon Text"/>
    <w:basedOn w:val="1"/>
    <w:link w:val="20"/>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qFormat/>
    <w:uiPriority w:val="0"/>
  </w:style>
  <w:style w:type="character" w:styleId="11">
    <w:name w:val="FollowedHyperlink"/>
    <w:basedOn w:val="8"/>
    <w:semiHidden/>
    <w:unhideWhenUsed/>
    <w:qFormat/>
    <w:uiPriority w:val="99"/>
    <w:rPr>
      <w:color w:val="252525"/>
      <w:u w:val="none"/>
    </w:rPr>
  </w:style>
  <w:style w:type="character" w:styleId="12">
    <w:name w:val="Emphasis"/>
    <w:basedOn w:val="8"/>
    <w:qFormat/>
    <w:uiPriority w:val="20"/>
  </w:style>
  <w:style w:type="character" w:styleId="13">
    <w:name w:val="Hyperlink"/>
    <w:basedOn w:val="8"/>
    <w:semiHidden/>
    <w:unhideWhenUsed/>
    <w:qFormat/>
    <w:uiPriority w:val="99"/>
    <w:rPr>
      <w:color w:val="252525"/>
      <w:u w:val="none"/>
    </w:rPr>
  </w:style>
  <w:style w:type="character" w:styleId="14">
    <w:name w:val="HTML Code"/>
    <w:basedOn w:val="8"/>
    <w:semiHidden/>
    <w:unhideWhenUsed/>
    <w:qFormat/>
    <w:uiPriority w:val="99"/>
    <w:rPr>
      <w:rFonts w:ascii="Courier New" w:hAnsi="Courier New"/>
      <w:sz w:val="20"/>
    </w:rPr>
  </w:style>
  <w:style w:type="character" w:styleId="15">
    <w:name w:val="HTML Cite"/>
    <w:basedOn w:val="8"/>
    <w:semiHidden/>
    <w:unhideWhenUsed/>
    <w:qFormat/>
    <w:uiPriority w:val="99"/>
  </w:style>
  <w:style w:type="character" w:customStyle="1" w:styleId="16">
    <w:name w:val="页眉 Char"/>
    <w:basedOn w:val="8"/>
    <w:link w:val="5"/>
    <w:qFormat/>
    <w:uiPriority w:val="99"/>
    <w:rPr>
      <w:sz w:val="18"/>
      <w:szCs w:val="18"/>
    </w:rPr>
  </w:style>
  <w:style w:type="character" w:customStyle="1" w:styleId="17">
    <w:name w:val="页脚 Char"/>
    <w:basedOn w:val="8"/>
    <w:link w:val="4"/>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8"/>
    <w:link w:val="3"/>
    <w:semiHidden/>
    <w:qFormat/>
    <w:uiPriority w:val="99"/>
    <w:rPr>
      <w:sz w:val="18"/>
      <w:szCs w:val="18"/>
    </w:rPr>
  </w:style>
  <w:style w:type="character" w:customStyle="1" w:styleId="21">
    <w:name w:val="bsharetext"/>
    <w:basedOn w:val="8"/>
    <w:qFormat/>
    <w:uiPriority w:val="0"/>
  </w:style>
  <w:style w:type="character" w:customStyle="1" w:styleId="22">
    <w:name w:val="wx-space"/>
    <w:basedOn w:val="8"/>
    <w:qFormat/>
    <w:uiPriority w:val="0"/>
  </w:style>
  <w:style w:type="character" w:customStyle="1" w:styleId="23">
    <w:name w:val="wx-space1"/>
    <w:basedOn w:val="8"/>
    <w:qFormat/>
    <w:uiPriority w:val="0"/>
  </w:style>
  <w:style w:type="character" w:customStyle="1" w:styleId="24">
    <w:name w:val="hover5"/>
    <w:basedOn w:val="8"/>
    <w:qFormat/>
    <w:uiPriority w:val="0"/>
    <w:rPr>
      <w:color w:val="000000"/>
      <w:shd w:val="clear" w:fill="FFFFFF"/>
    </w:rPr>
  </w:style>
  <w:style w:type="character" w:customStyle="1" w:styleId="25">
    <w:name w:val="hover"/>
    <w:basedOn w:val="8"/>
    <w:qFormat/>
    <w:uiPriority w:val="0"/>
    <w:rPr>
      <w:color w:val="000000"/>
      <w:shd w:val="clear" w:fill="FFFFFF"/>
    </w:rPr>
  </w:style>
  <w:style w:type="character" w:customStyle="1" w:styleId="26">
    <w:name w:val="hover6"/>
    <w:basedOn w:val="8"/>
    <w:qFormat/>
    <w:uiPriority w:val="0"/>
    <w:rPr>
      <w:color w:val="000000"/>
      <w:shd w:val="clear" w:fill="FFFFFF"/>
    </w:rPr>
  </w:style>
  <w:style w:type="character" w:customStyle="1" w:styleId="2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1258</Words>
  <Characters>7176</Characters>
  <Lines>59</Lines>
  <Paragraphs>16</Paragraphs>
  <TotalTime>7</TotalTime>
  <ScaleCrop>false</ScaleCrop>
  <LinksUpToDate>false</LinksUpToDate>
  <CharactersWithSpaces>8418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2020-10-15T03:24:00Z</cp:lastPrinted>
  <dcterms:modified xsi:type="dcterms:W3CDTF">2021-05-31T02:06:52Z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19FA30147EC644B19DAFCEB5D794284E</vt:lpwstr>
  </property>
</Properties>
</file>