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E2" w:rsidRDefault="009C3AE2" w:rsidP="00AC168A">
      <w:pPr>
        <w:spacing w:after="0" w:line="600" w:lineRule="exact"/>
        <w:rPr>
          <w:rFonts w:ascii="黑体" w:eastAsia="黑体" w:hAnsi="方正小标宋简体" w:cs="方正小标宋简体"/>
          <w:bCs/>
          <w:sz w:val="32"/>
          <w:szCs w:val="32"/>
        </w:rPr>
      </w:pPr>
      <w:r>
        <w:rPr>
          <w:rFonts w:ascii="黑体" w:eastAsia="黑体" w:hAnsi="方正小标宋简体" w:cs="方正小标宋简体" w:hint="eastAsia"/>
          <w:bCs/>
          <w:sz w:val="32"/>
          <w:szCs w:val="32"/>
        </w:rPr>
        <w:t>附件</w:t>
      </w:r>
    </w:p>
    <w:p w:rsidR="009C3AE2" w:rsidRDefault="009C3AE2" w:rsidP="00AC168A">
      <w:pPr>
        <w:widowControl w:val="0"/>
        <w:adjustRightInd/>
        <w:snapToGrid/>
        <w:spacing w:after="0" w:line="600" w:lineRule="exact"/>
        <w:ind w:firstLineChars="50" w:firstLine="22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岳阳市地方海事局</w:t>
      </w:r>
    </w:p>
    <w:p w:rsidR="009C3AE2" w:rsidRDefault="009C3AE2" w:rsidP="00AC168A">
      <w:pPr>
        <w:widowControl w:val="0"/>
        <w:adjustRightInd/>
        <w:snapToGrid/>
        <w:spacing w:after="0" w:line="600" w:lineRule="exact"/>
        <w:ind w:firstLineChars="50" w:firstLine="22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内河船涉海运输整治专项行动实施方案</w:t>
      </w:r>
    </w:p>
    <w:p w:rsidR="009C3AE2" w:rsidRDefault="009C3AE2" w:rsidP="00AC168A">
      <w:pPr>
        <w:widowControl w:val="0"/>
        <w:adjustRightInd/>
        <w:snapToGrid/>
        <w:spacing w:after="0" w:line="600" w:lineRule="exact"/>
        <w:jc w:val="center"/>
        <w:rPr>
          <w:rFonts w:ascii="宋体" w:hAnsi="宋体"/>
          <w:b/>
          <w:sz w:val="44"/>
          <w:szCs w:val="44"/>
        </w:rPr>
      </w:pP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深入推进内河船涉海运输整治专项行动，切实维护航运市场秩序及运输船舶营运安全管理，依据《湖南省水运管理局内河船涉海运输整治专项行动实施方案》（湘水运函〔2019〕4号）文件精神，结合我市工作实际，特制定本实施方案。</w:t>
      </w:r>
    </w:p>
    <w:p w:rsidR="009C3AE2" w:rsidRDefault="009C3AE2" w:rsidP="00AC168A">
      <w:pPr>
        <w:pStyle w:val="a4"/>
        <w:numPr>
          <w:ilvl w:val="0"/>
          <w:numId w:val="1"/>
        </w:numPr>
        <w:spacing w:line="600" w:lineRule="exact"/>
        <w:ind w:firstLineChars="0"/>
        <w:rPr>
          <w:rFonts w:ascii="黑体" w:eastAsia="黑体" w:hAnsi="宋体"/>
          <w:bCs/>
          <w:sz w:val="32"/>
          <w:szCs w:val="32"/>
        </w:rPr>
      </w:pPr>
      <w:r>
        <w:rPr>
          <w:rFonts w:ascii="黑体" w:eastAsia="黑体" w:hAnsi="宋体" w:hint="eastAsia"/>
          <w:bCs/>
          <w:sz w:val="32"/>
          <w:szCs w:val="32"/>
        </w:rPr>
        <w:t>工作目标</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开展内河船涉海运输集中整治专项行动，强化内河运输企业安全管理，落实企业安全生产主体责任，严厉打击内河船非法从事海上运输行为，切实增强从业人员法制意识和安全意识，防止事故发生，确保水上交通安全形势稳定。</w:t>
      </w:r>
    </w:p>
    <w:p w:rsidR="009C3AE2" w:rsidRDefault="009C3AE2" w:rsidP="00AC168A">
      <w:pPr>
        <w:widowControl w:val="0"/>
        <w:adjustRightInd/>
        <w:snapToGrid/>
        <w:spacing w:after="0" w:line="600" w:lineRule="exact"/>
        <w:ind w:firstLineChars="200" w:firstLine="640"/>
        <w:rPr>
          <w:rFonts w:ascii="黑体" w:eastAsia="黑体" w:hAnsi="宋体"/>
          <w:sz w:val="32"/>
          <w:szCs w:val="32"/>
        </w:rPr>
      </w:pPr>
      <w:r>
        <w:rPr>
          <w:rFonts w:ascii="黑体" w:eastAsia="黑体" w:hAnsi="宋体" w:hint="eastAsia"/>
          <w:sz w:val="32"/>
          <w:szCs w:val="32"/>
        </w:rPr>
        <w:t>二、组织保障</w:t>
      </w:r>
    </w:p>
    <w:p w:rsidR="009C3AE2" w:rsidRDefault="009C3AE2" w:rsidP="00AC168A">
      <w:pPr>
        <w:widowControl w:val="0"/>
        <w:adjustRightInd/>
        <w:snapToGrid/>
        <w:spacing w:after="0" w:line="600" w:lineRule="exact"/>
        <w:ind w:firstLine="645"/>
        <w:rPr>
          <w:rFonts w:ascii="仿宋_GB2312" w:eastAsia="仿宋_GB2312" w:hAnsi="宋体"/>
          <w:sz w:val="32"/>
          <w:szCs w:val="32"/>
        </w:rPr>
      </w:pPr>
      <w:r>
        <w:rPr>
          <w:rFonts w:ascii="仿宋_GB2312" w:eastAsia="仿宋_GB2312" w:hAnsi="宋体" w:hint="eastAsia"/>
          <w:sz w:val="32"/>
          <w:szCs w:val="32"/>
        </w:rPr>
        <w:t>成立岳阳市地方海事局内河船涉海运输整治专项行动领导小组，统一组织领导全市的整治专项行动工作。</w:t>
      </w:r>
    </w:p>
    <w:p w:rsidR="009C3AE2" w:rsidRDefault="009C3AE2" w:rsidP="00AC168A">
      <w:pPr>
        <w:widowControl w:val="0"/>
        <w:adjustRightInd/>
        <w:snapToGrid/>
        <w:spacing w:after="0" w:line="600" w:lineRule="exact"/>
        <w:ind w:firstLine="645"/>
        <w:rPr>
          <w:rFonts w:ascii="仿宋_GB2312" w:eastAsia="仿宋_GB2312" w:hAnsi="宋体"/>
          <w:sz w:val="32"/>
          <w:szCs w:val="32"/>
        </w:rPr>
      </w:pPr>
      <w:r>
        <w:rPr>
          <w:rFonts w:ascii="仿宋_GB2312" w:eastAsia="仿宋_GB2312" w:hAnsi="宋体" w:hint="eastAsia"/>
          <w:sz w:val="32"/>
          <w:szCs w:val="32"/>
        </w:rPr>
        <w:t>组  长：张长庚</w:t>
      </w:r>
    </w:p>
    <w:p w:rsidR="009C3AE2" w:rsidRDefault="009C3AE2" w:rsidP="00AC168A">
      <w:pPr>
        <w:widowControl w:val="0"/>
        <w:adjustRightInd/>
        <w:snapToGrid/>
        <w:spacing w:after="0" w:line="600" w:lineRule="exact"/>
        <w:ind w:firstLine="645"/>
        <w:rPr>
          <w:rFonts w:ascii="仿宋_GB2312" w:eastAsia="仿宋_GB2312" w:hAnsi="宋体"/>
          <w:sz w:val="32"/>
          <w:szCs w:val="32"/>
        </w:rPr>
      </w:pPr>
      <w:r>
        <w:rPr>
          <w:rFonts w:ascii="仿宋_GB2312" w:eastAsia="仿宋_GB2312" w:hAnsi="宋体" w:hint="eastAsia"/>
          <w:sz w:val="32"/>
          <w:szCs w:val="32"/>
        </w:rPr>
        <w:t>副组长：李中汉、戴武会、李志勋</w:t>
      </w:r>
    </w:p>
    <w:p w:rsidR="009C3AE2" w:rsidRDefault="009C3AE2" w:rsidP="00AC168A">
      <w:pPr>
        <w:widowControl w:val="0"/>
        <w:adjustRightInd/>
        <w:snapToGrid/>
        <w:spacing w:after="0" w:line="600" w:lineRule="exact"/>
        <w:ind w:firstLine="645"/>
        <w:rPr>
          <w:rFonts w:ascii="仿宋_GB2312" w:eastAsia="仿宋_GB2312" w:hAnsi="宋体"/>
          <w:sz w:val="32"/>
          <w:szCs w:val="32"/>
        </w:rPr>
      </w:pPr>
      <w:r>
        <w:rPr>
          <w:rFonts w:ascii="仿宋_GB2312" w:eastAsia="仿宋_GB2312" w:hAnsi="宋体" w:hint="eastAsia"/>
          <w:sz w:val="32"/>
          <w:szCs w:val="32"/>
        </w:rPr>
        <w:t>成  员：周国新、钟永辉、湛细满、曾勇、许德新、肖木生、黄荣及各港航所、海事处负责人。</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领导小组办公室设局港口运输管理科，周国新兼领导小组</w:t>
      </w:r>
      <w:r>
        <w:rPr>
          <w:rFonts w:ascii="仿宋_GB2312" w:eastAsia="仿宋_GB2312" w:hAnsi="宋体" w:hint="eastAsia"/>
          <w:sz w:val="32"/>
          <w:szCs w:val="32"/>
        </w:rPr>
        <w:lastRenderedPageBreak/>
        <w:t>办公室主任，负责整治专项行动日常工作。</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船舶检验科业务咨询联络人：曾勇，电话：0730-8399613</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船舶船员科业务咨询联络人：曾繁安，电话：0730-8399635</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联络人：邓申文，电话：0730-8399696，</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邮箱：</w:t>
      </w:r>
      <w:hyperlink r:id="rId5" w:history="1">
        <w:r>
          <w:rPr>
            <w:rStyle w:val="a3"/>
            <w:rFonts w:ascii="仿宋_GB2312" w:eastAsia="仿宋_GB2312" w:hAnsi="宋体" w:hint="eastAsia"/>
            <w:sz w:val="32"/>
            <w:szCs w:val="32"/>
          </w:rPr>
          <w:t>306507176@qq.com</w:t>
        </w:r>
      </w:hyperlink>
      <w:r>
        <w:rPr>
          <w:rFonts w:ascii="仿宋_GB2312" w:eastAsia="仿宋_GB2312" w:hAnsi="宋体" w:hint="eastAsia"/>
          <w:sz w:val="32"/>
          <w:szCs w:val="32"/>
        </w:rPr>
        <w:t xml:space="preserve"> </w:t>
      </w:r>
    </w:p>
    <w:p w:rsidR="009C3AE2" w:rsidRDefault="009C3AE2" w:rsidP="00AC168A">
      <w:pPr>
        <w:pStyle w:val="a4"/>
        <w:numPr>
          <w:ilvl w:val="0"/>
          <w:numId w:val="2"/>
        </w:numPr>
        <w:spacing w:line="600" w:lineRule="exact"/>
        <w:ind w:firstLineChars="0"/>
        <w:rPr>
          <w:rFonts w:ascii="黑体" w:eastAsia="黑体" w:hAnsi="宋体"/>
          <w:bCs/>
          <w:sz w:val="32"/>
          <w:szCs w:val="32"/>
        </w:rPr>
      </w:pPr>
      <w:r>
        <w:rPr>
          <w:rFonts w:ascii="黑体" w:eastAsia="黑体" w:hAnsi="宋体" w:hint="eastAsia"/>
          <w:bCs/>
          <w:sz w:val="32"/>
          <w:szCs w:val="32"/>
        </w:rPr>
        <w:t>实施步骤</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整治专项行动自2019年3月15日开始，到2019年11月30日结束，分三个阶段实施。</w:t>
      </w:r>
    </w:p>
    <w:p w:rsidR="009C3AE2" w:rsidRDefault="009C3AE2" w:rsidP="00AC168A">
      <w:pPr>
        <w:widowControl w:val="0"/>
        <w:adjustRightInd/>
        <w:snapToGrid/>
        <w:spacing w:after="0" w:line="600" w:lineRule="exact"/>
        <w:ind w:firstLineChars="200" w:firstLine="643"/>
        <w:rPr>
          <w:rFonts w:ascii="楷体_GB2312" w:eastAsia="楷体_GB2312" w:hAnsi="楷体" w:cs="楷体"/>
          <w:b/>
          <w:sz w:val="32"/>
          <w:szCs w:val="32"/>
        </w:rPr>
      </w:pPr>
      <w:r>
        <w:rPr>
          <w:rFonts w:ascii="楷体_GB2312" w:eastAsia="楷体_GB2312" w:hAnsi="楷体" w:cs="楷体" w:hint="eastAsia"/>
          <w:b/>
          <w:sz w:val="32"/>
          <w:szCs w:val="32"/>
        </w:rPr>
        <w:t>（一）宣传发动阶段（3月15日至5月31日）</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各单位要牢固树立“安全第一、生命至上”的理念，加强组织集中学习、集中宣传，充分利用官方网站、报纸、电视、微信等新闻媒介，大力宣传此次专项行动的目的和作用，让全社会充分认识内河船涉海运输的危害性，提高社会认知度和参与度，充分调动群众积极性，有效发动社会力量，鼓励群众举报，强化社会监督作用，形成良好的社会舆论氛围。通过采取召开座谈会、培训会、发放宣传资料、现场宣传等方式宣传相关政策和安全管理要求，确保对航运企业、船舶、船员全方位的警示宣传教育，做到不留“空白”、不留“盲点”、不留“死角”，使宣传工作深入人心、效果明显，督促企业及船户加强安全管理，落实企业安全生产主体责任。</w:t>
      </w:r>
    </w:p>
    <w:p w:rsidR="009C3AE2" w:rsidRDefault="009C3AE2" w:rsidP="00AC168A">
      <w:pPr>
        <w:widowControl w:val="0"/>
        <w:adjustRightInd/>
        <w:snapToGrid/>
        <w:spacing w:after="0" w:line="600" w:lineRule="exact"/>
        <w:ind w:firstLineChars="200" w:firstLine="643"/>
        <w:rPr>
          <w:rFonts w:ascii="楷体_GB2312" w:eastAsia="楷体_GB2312" w:hAnsi="楷体" w:cs="楷体"/>
          <w:b/>
          <w:sz w:val="32"/>
          <w:szCs w:val="32"/>
        </w:rPr>
      </w:pPr>
      <w:r>
        <w:rPr>
          <w:rFonts w:ascii="楷体_GB2312" w:eastAsia="楷体_GB2312" w:hAnsi="楷体" w:cs="楷体" w:hint="eastAsia"/>
          <w:b/>
          <w:sz w:val="32"/>
          <w:szCs w:val="32"/>
        </w:rPr>
        <w:lastRenderedPageBreak/>
        <w:t>（二）集中整治阶段（6月1日至10月31日）</w:t>
      </w:r>
    </w:p>
    <w:p w:rsidR="009C3AE2" w:rsidRDefault="009C3AE2" w:rsidP="00AC168A">
      <w:pPr>
        <w:widowControl w:val="0"/>
        <w:adjustRightInd/>
        <w:snapToGrid/>
        <w:spacing w:after="0" w:line="600" w:lineRule="exact"/>
        <w:ind w:firstLineChars="200" w:firstLine="640"/>
        <w:rPr>
          <w:rFonts w:ascii="仿宋_GB2312" w:eastAsia="仿宋_GB2312" w:hAnsi="宋体"/>
          <w:b/>
          <w:sz w:val="32"/>
          <w:szCs w:val="32"/>
        </w:rPr>
      </w:pPr>
      <w:r>
        <w:rPr>
          <w:rFonts w:ascii="仿宋_GB2312" w:eastAsia="仿宋_GB2312" w:hAnsi="宋体" w:hint="eastAsia"/>
          <w:sz w:val="32"/>
          <w:szCs w:val="32"/>
        </w:rPr>
        <w:t>市整治领导小组办公室负责对全市航运企业及其运输船舶进行摸底、排查，建立“岳阳市运输船舶总台账”。航运企业负责逐一核实“岳阳市运输船舶总台账”中记录所属船舶去向，尤其对已标记的脱检、休眠、营运证失效船舶重点核实，全面查清全市内河船舶涉海运输的基本情况。市整治领导小组办公室负责建立并定期更新“岳阳市内河船舶涉海运输船舶台账”，同时对查实涉海运输的船舶，及时通报涉事水域海事管理机构请求协查（见附件1：《内河船涉海运输协查通知书》）。各港航所负责对涉海运输行为船舶和经营人依法严厉打击，督促企业主动召回所属船舶。</w:t>
      </w:r>
    </w:p>
    <w:p w:rsidR="009C3AE2" w:rsidRDefault="009C3AE2" w:rsidP="00AC168A">
      <w:pPr>
        <w:widowControl w:val="0"/>
        <w:adjustRightInd/>
        <w:snapToGrid/>
        <w:spacing w:after="0" w:line="600" w:lineRule="exact"/>
        <w:ind w:firstLineChars="150" w:firstLine="482"/>
        <w:rPr>
          <w:rFonts w:ascii="楷体_GB2312" w:eastAsia="楷体_GB2312" w:hAnsi="楷体" w:cs="楷体"/>
          <w:b/>
          <w:sz w:val="32"/>
          <w:szCs w:val="32"/>
        </w:rPr>
      </w:pPr>
      <w:r>
        <w:rPr>
          <w:rFonts w:ascii="楷体_GB2312" w:eastAsia="楷体_GB2312" w:hAnsi="楷体" w:cs="楷体" w:hint="eastAsia"/>
          <w:b/>
          <w:sz w:val="32"/>
          <w:szCs w:val="32"/>
        </w:rPr>
        <w:t>（三）总结提高阶段（11月1日至11月30日）</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各港航所、海事处要认真做好整治工作总结，提高工作经验，加强联合检查执法，完善长效管理机制，实施常态化管理。</w:t>
      </w:r>
    </w:p>
    <w:p w:rsidR="009C3AE2" w:rsidRDefault="009C3AE2" w:rsidP="00AC168A">
      <w:pPr>
        <w:widowControl w:val="0"/>
        <w:adjustRightInd/>
        <w:snapToGrid/>
        <w:spacing w:after="0" w:line="600" w:lineRule="exact"/>
        <w:ind w:firstLineChars="200" w:firstLine="640"/>
        <w:rPr>
          <w:rFonts w:ascii="楷体" w:eastAsia="楷体" w:hAnsi="楷体" w:cs="楷体"/>
          <w:b/>
          <w:bCs/>
          <w:sz w:val="32"/>
          <w:szCs w:val="32"/>
        </w:rPr>
      </w:pPr>
      <w:r>
        <w:rPr>
          <w:rFonts w:ascii="黑体" w:eastAsia="黑体" w:hAnsi="宋体" w:hint="eastAsia"/>
          <w:sz w:val="32"/>
          <w:szCs w:val="32"/>
        </w:rPr>
        <w:t>四、主要任务</w:t>
      </w:r>
    </w:p>
    <w:p w:rsidR="009C3AE2" w:rsidRDefault="009C3AE2" w:rsidP="00AC168A">
      <w:pPr>
        <w:widowControl w:val="0"/>
        <w:adjustRightInd/>
        <w:snapToGrid/>
        <w:spacing w:after="0" w:line="600" w:lineRule="exact"/>
        <w:ind w:left="630"/>
        <w:rPr>
          <w:rFonts w:ascii="楷体_GB2312" w:eastAsia="楷体_GB2312" w:hAnsi="楷体" w:cs="楷体"/>
          <w:b/>
          <w:bCs/>
          <w:sz w:val="32"/>
          <w:szCs w:val="32"/>
        </w:rPr>
      </w:pPr>
      <w:r>
        <w:rPr>
          <w:rFonts w:ascii="楷体_GB2312" w:eastAsia="楷体_GB2312" w:hAnsi="楷体" w:cs="楷体" w:hint="eastAsia"/>
          <w:b/>
          <w:bCs/>
          <w:sz w:val="32"/>
          <w:szCs w:val="32"/>
        </w:rPr>
        <w:t>（一）落实企业主体责任（实施主体：各航运企业）</w:t>
      </w:r>
    </w:p>
    <w:p w:rsidR="009C3AE2" w:rsidRDefault="009C3AE2" w:rsidP="00AC168A">
      <w:pPr>
        <w:widowControl w:val="0"/>
        <w:adjustRightInd/>
        <w:snapToGrid/>
        <w:spacing w:after="0" w:line="600" w:lineRule="exact"/>
        <w:ind w:firstLineChars="200" w:firstLine="640"/>
        <w:rPr>
          <w:rFonts w:ascii="仿宋_GB2312" w:eastAsia="仿宋_GB2312" w:hAnsi="宋体"/>
          <w:b/>
          <w:sz w:val="32"/>
          <w:szCs w:val="32"/>
        </w:rPr>
      </w:pPr>
      <w:r>
        <w:rPr>
          <w:rFonts w:ascii="仿宋_GB2312" w:eastAsia="仿宋_GB2312" w:hAnsi="宋体" w:hint="eastAsia"/>
          <w:sz w:val="32"/>
          <w:szCs w:val="32"/>
        </w:rPr>
        <w:t>1、各航运企业要按照岳阳市水路运输行业“落实企业安全生产主体责任年”活动实施方案的要求，严格落实“一必须五到位”（企业必须依法生产经营，做到安全责任、管理、投入、培训和应急救援“五到位”）。</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2、各航运企业要全面清查本企业船舶（含光租、挂靠船舶）</w:t>
      </w:r>
      <w:r>
        <w:rPr>
          <w:rFonts w:ascii="仿宋_GB2312" w:eastAsia="仿宋_GB2312" w:hAnsi="宋体" w:hint="eastAsia"/>
          <w:sz w:val="32"/>
          <w:szCs w:val="32"/>
        </w:rPr>
        <w:lastRenderedPageBreak/>
        <w:t>基本情况，结合企业“船舶动态报告及信息传递制度”建立健全船舶动态管理台账，逐船核实船舶去向及运行区间。对本公司长期跨航区非法营运，特别是非法从事海上砂石运输的船舶（包括营运证书过期失效、光船租赁期限到期未办理解除光租手续、挂靠关系过期未解除的），负责全部召回，直至隐患消除，涉事船舶召回或处置情况及时报当地港航所、海事处。</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3、各航运企业对拒不召回或因失联等原因无法掌握去向的船舶，要及时向当地港航所报告并提交船舶名录及处置措施。（见附件三：《运输船舶动态监督管理指导意见》）</w:t>
      </w:r>
    </w:p>
    <w:p w:rsidR="009C3AE2" w:rsidRDefault="009C3AE2" w:rsidP="00AC168A">
      <w:pPr>
        <w:widowControl w:val="0"/>
        <w:adjustRightInd/>
        <w:snapToGrid/>
        <w:spacing w:after="0" w:line="600" w:lineRule="exact"/>
        <w:ind w:firstLineChars="196" w:firstLine="630"/>
        <w:rPr>
          <w:rFonts w:ascii="楷体_GB2312" w:eastAsia="楷体_GB2312" w:hAnsi="楷体" w:cs="楷体"/>
          <w:b/>
          <w:sz w:val="32"/>
          <w:szCs w:val="32"/>
        </w:rPr>
      </w:pPr>
      <w:r>
        <w:rPr>
          <w:rFonts w:ascii="楷体_GB2312" w:eastAsia="楷体_GB2312" w:hAnsi="楷体" w:cs="楷体" w:hint="eastAsia"/>
          <w:b/>
          <w:sz w:val="32"/>
          <w:szCs w:val="32"/>
        </w:rPr>
        <w:t>（二）加强和完善监督检查（实施主体：各港航所）</w:t>
      </w:r>
    </w:p>
    <w:p w:rsidR="009C3AE2" w:rsidRDefault="009C3AE2" w:rsidP="00AC168A">
      <w:pPr>
        <w:widowControl w:val="0"/>
        <w:adjustRightInd/>
        <w:snapToGrid/>
        <w:spacing w:after="0" w:line="600" w:lineRule="exact"/>
        <w:ind w:firstLineChars="200" w:firstLine="640"/>
        <w:rPr>
          <w:rFonts w:ascii="仿宋_GB2312" w:eastAsia="仿宋_GB2312" w:hAnsi="宋体"/>
          <w:b/>
          <w:sz w:val="32"/>
          <w:szCs w:val="32"/>
        </w:rPr>
      </w:pPr>
      <w:r>
        <w:rPr>
          <w:rFonts w:ascii="仿宋_GB2312" w:eastAsia="仿宋_GB2312" w:hAnsi="宋体" w:hint="eastAsia"/>
          <w:sz w:val="32"/>
          <w:szCs w:val="32"/>
        </w:rPr>
        <w:t>4、各港航所要认真组织开展辖区水路运输企业年度核查工作，依据《岳阳市地方海事局“双随机一公开”监管工作方案》（岳地海〔2018〕42号）及相关法律法规，结合本辖区实际，制定年度监督检查计划，明确抽检单位、检查时间及纪律要求，并对外公布。</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各港航所在年度核查和日常监督检查时，要严格核查公司经营资质、船舶营运资质、企业安全主体责任履职和船舶安全管理记录等情况，确保航运企业所经营的船舶营运证书必须全部合格有效才能通过年度核查,如存在证书过期、船舶失联、光船租赁期限到期未办理注销手续及挂靠关系过期未解除的船舶，年度核查一律不予通过，暂停办理其经营船舶营运证书换</w:t>
      </w:r>
      <w:r>
        <w:rPr>
          <w:rFonts w:ascii="仿宋_GB2312" w:eastAsia="仿宋_GB2312" w:hAnsi="宋体" w:hint="eastAsia"/>
          <w:sz w:val="32"/>
          <w:szCs w:val="32"/>
        </w:rPr>
        <w:lastRenderedPageBreak/>
        <w:t>证及年审业务。</w:t>
      </w:r>
    </w:p>
    <w:p w:rsidR="009C3AE2" w:rsidRDefault="009C3AE2" w:rsidP="00AC168A">
      <w:pPr>
        <w:widowControl w:val="0"/>
        <w:adjustRightInd/>
        <w:snapToGrid/>
        <w:spacing w:after="0" w:line="600" w:lineRule="exact"/>
        <w:ind w:firstLineChars="147" w:firstLine="472"/>
        <w:rPr>
          <w:rFonts w:ascii="楷体_GB2312" w:eastAsia="楷体_GB2312" w:hAnsi="楷体" w:cs="楷体"/>
          <w:b/>
          <w:sz w:val="32"/>
          <w:szCs w:val="32"/>
        </w:rPr>
      </w:pPr>
      <w:r>
        <w:rPr>
          <w:rFonts w:ascii="楷体_GB2312" w:eastAsia="楷体_GB2312" w:hAnsi="楷体" w:cs="楷体" w:hint="eastAsia"/>
          <w:b/>
          <w:sz w:val="32"/>
          <w:szCs w:val="32"/>
        </w:rPr>
        <w:t>（三）加强船舶登记和及船员管理（实施主体：船舶船员科）</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6、对于非本市注册企业或者非本市籍户口人员，一律不予办理船舶所有权登记。</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7、对非法参与海上运输的船舶，暂停办理船舶抵押、国籍证书、船舶租赁等船舶登记业务。</w:t>
      </w:r>
    </w:p>
    <w:p w:rsidR="009C3AE2" w:rsidRDefault="009C3AE2" w:rsidP="00AC168A">
      <w:pPr>
        <w:widowControl w:val="0"/>
        <w:adjustRightInd/>
        <w:snapToGrid/>
        <w:spacing w:after="0" w:line="600" w:lineRule="exact"/>
        <w:ind w:firstLineChars="200" w:firstLine="640"/>
        <w:rPr>
          <w:rFonts w:ascii="楷体" w:eastAsia="楷体" w:hAnsi="楷体" w:cs="楷体"/>
          <w:b/>
          <w:bCs/>
          <w:sz w:val="32"/>
          <w:szCs w:val="32"/>
        </w:rPr>
      </w:pPr>
      <w:r>
        <w:rPr>
          <w:rFonts w:ascii="仿宋_GB2312" w:eastAsia="仿宋_GB2312" w:hAnsi="宋体" w:hint="eastAsia"/>
          <w:sz w:val="32"/>
          <w:szCs w:val="32"/>
        </w:rPr>
        <w:t>8、对于在非法从事海上运输船舶上任职的船员，暂停办理其考试和发证等业务。</w:t>
      </w:r>
    </w:p>
    <w:p w:rsidR="009C3AE2" w:rsidRDefault="009C3AE2" w:rsidP="00AC168A">
      <w:pPr>
        <w:widowControl w:val="0"/>
        <w:adjustRightInd/>
        <w:snapToGrid/>
        <w:spacing w:after="0" w:line="600" w:lineRule="exact"/>
        <w:ind w:firstLineChars="147" w:firstLine="472"/>
        <w:rPr>
          <w:rFonts w:ascii="楷体_GB2312" w:eastAsia="楷体_GB2312" w:hAnsi="宋体"/>
          <w:sz w:val="32"/>
          <w:szCs w:val="32"/>
        </w:rPr>
      </w:pPr>
      <w:r>
        <w:rPr>
          <w:rFonts w:ascii="楷体_GB2312" w:eastAsia="楷体_GB2312" w:hAnsi="楷体" w:cs="楷体" w:hint="eastAsia"/>
          <w:b/>
          <w:sz w:val="32"/>
          <w:szCs w:val="32"/>
        </w:rPr>
        <w:t>（四）加强船舶检验管理（实施主体：船舶检验科</w:t>
      </w:r>
      <w:r>
        <w:rPr>
          <w:rFonts w:ascii="楷体_GB2312" w:eastAsia="楷体_GB2312" w:hAnsi="宋体" w:hint="eastAsia"/>
          <w:sz w:val="32"/>
          <w:szCs w:val="32"/>
        </w:rPr>
        <w:t>）</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9、严禁未经检验即予发证、跨航区检验、异地重大改建检验等违规行为。</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10、禁止到沿海和高于船舶允许的航区开展内河船舶检验，只能在与我省辖区相连通的水域内开展检验，且不能跨越船舶允许的航区。</w:t>
      </w:r>
    </w:p>
    <w:p w:rsidR="009C3AE2" w:rsidRDefault="009C3AE2" w:rsidP="00AC168A">
      <w:pPr>
        <w:widowControl w:val="0"/>
        <w:adjustRightInd/>
        <w:snapToGrid/>
        <w:spacing w:after="0" w:line="600" w:lineRule="exact"/>
        <w:ind w:firstLineChars="147" w:firstLine="472"/>
        <w:rPr>
          <w:rFonts w:ascii="楷体_GB2312" w:eastAsia="楷体_GB2312" w:hAnsi="楷体" w:cs="楷体"/>
          <w:b/>
          <w:sz w:val="32"/>
          <w:szCs w:val="32"/>
        </w:rPr>
      </w:pPr>
      <w:r>
        <w:rPr>
          <w:rFonts w:ascii="楷体_GB2312" w:eastAsia="楷体_GB2312" w:hAnsi="楷体" w:cs="楷体" w:hint="eastAsia"/>
          <w:b/>
          <w:sz w:val="32"/>
          <w:szCs w:val="32"/>
        </w:rPr>
        <w:t>（五）建立信息通报制度（实施主体：市整治领导小组办公室）</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11、行政审批办在受理船舶检验业务中，发现申请船舶检验地点在沿海水域的，除当场告知申请人不予受理外，还应及时将情况报市整治领导小组办公室。</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12、各港航所、海事处要加强信息沟通，确保及时掌握本港船舶运行状态。各港航所要将辖区内航运企业船舶清理情况</w:t>
      </w:r>
      <w:r>
        <w:rPr>
          <w:rFonts w:ascii="仿宋_GB2312" w:eastAsia="仿宋_GB2312" w:hAnsi="宋体" w:hint="eastAsia"/>
          <w:sz w:val="32"/>
          <w:szCs w:val="32"/>
        </w:rPr>
        <w:lastRenderedPageBreak/>
        <w:t>进行汇总分析，及时更新涉海运输船舶台账信息，并上报市整治领导小组。</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13、市整治领导小组办公室将于每月底前汇总全市整治情况对社会公布，同时上报省局。局办公室负责协助整治专项行动宣传、整治情况信息定期对外公布等工作。</w:t>
      </w:r>
    </w:p>
    <w:p w:rsidR="009C3AE2" w:rsidRDefault="009C3AE2" w:rsidP="00AC168A">
      <w:pPr>
        <w:widowControl w:val="0"/>
        <w:adjustRightInd/>
        <w:snapToGrid/>
        <w:spacing w:after="0" w:line="600" w:lineRule="exact"/>
        <w:ind w:firstLineChars="147" w:firstLine="472"/>
        <w:rPr>
          <w:rFonts w:ascii="楷体_GB2312" w:eastAsia="楷体_GB2312" w:hAnsi="楷体" w:cs="楷体"/>
          <w:b/>
          <w:sz w:val="32"/>
          <w:szCs w:val="32"/>
        </w:rPr>
      </w:pPr>
      <w:r>
        <w:rPr>
          <w:rFonts w:ascii="楷体_GB2312" w:eastAsia="楷体_GB2312" w:hAnsi="楷体" w:cs="楷体" w:hint="eastAsia"/>
          <w:b/>
          <w:sz w:val="32"/>
          <w:szCs w:val="32"/>
        </w:rPr>
        <w:t>（六）推进实施诚信信息管理（实施主体：市整治领导小组办公室及各港航所、海事处）</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14、各港航所、海事处要按照《水路运输市场信用信息管理办法（试行）》《海事信用信息管理办法》要求，加强对水路运输企业、船舶和人员的信用管理。对违法失信的从业单位和船舶，结合年度核查、日常监管和“双随机一公开”检查等，进行重点监管检查。</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15、市整治领导小组将定期更新“岳阳市内河船舶涉海运输船舶台账”，在市局官网向社会公布。并将涉事船舶所有人及航运企业信息同步上报省水运管理局，通报涉事水域海事管理机构、市银行征信中心、各县级采砂办。</w:t>
      </w:r>
    </w:p>
    <w:p w:rsidR="009C3AE2" w:rsidRDefault="009C3AE2" w:rsidP="00AC168A">
      <w:pPr>
        <w:widowControl w:val="0"/>
        <w:adjustRightInd/>
        <w:snapToGrid/>
        <w:spacing w:after="0" w:line="600" w:lineRule="exact"/>
        <w:ind w:firstLineChars="200" w:firstLine="640"/>
        <w:rPr>
          <w:rFonts w:ascii="黑体" w:eastAsia="黑体" w:hAnsi="宋体"/>
          <w:sz w:val="32"/>
          <w:szCs w:val="32"/>
        </w:rPr>
      </w:pPr>
      <w:r>
        <w:rPr>
          <w:rFonts w:ascii="黑体" w:eastAsia="黑体" w:hAnsi="宋体" w:hint="eastAsia"/>
          <w:sz w:val="32"/>
          <w:szCs w:val="32"/>
        </w:rPr>
        <w:t>五、工作要求</w:t>
      </w:r>
    </w:p>
    <w:p w:rsidR="009C3AE2" w:rsidRDefault="009C3AE2" w:rsidP="00AC168A">
      <w:pPr>
        <w:widowControl w:val="0"/>
        <w:adjustRightInd/>
        <w:snapToGrid/>
        <w:spacing w:after="0" w:line="600" w:lineRule="exact"/>
        <w:ind w:firstLineChars="147" w:firstLine="472"/>
        <w:rPr>
          <w:rFonts w:ascii="楷体_GB2312" w:eastAsia="楷体_GB2312" w:hAnsi="楷体" w:cs="楷体"/>
          <w:b/>
          <w:sz w:val="32"/>
          <w:szCs w:val="32"/>
        </w:rPr>
      </w:pPr>
      <w:r>
        <w:rPr>
          <w:rFonts w:ascii="楷体_GB2312" w:eastAsia="楷体_GB2312" w:hAnsi="楷体" w:cs="楷体" w:hint="eastAsia"/>
          <w:b/>
          <w:sz w:val="32"/>
          <w:szCs w:val="32"/>
        </w:rPr>
        <w:t>（一）加强组织领导</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各港航所、海事处要高度认识内河船涉海运输整治任务的重要性和艰巨性，统一思想、统一行动，要结合实际、突出重点制定工作方案、落实工作措施，要成立由单位主要负责人为</w:t>
      </w:r>
      <w:r>
        <w:rPr>
          <w:rFonts w:ascii="仿宋_GB2312" w:eastAsia="仿宋_GB2312" w:hAnsi="宋体" w:hint="eastAsia"/>
          <w:sz w:val="32"/>
          <w:szCs w:val="32"/>
        </w:rPr>
        <w:lastRenderedPageBreak/>
        <w:t>组长的工作领导小组，落实整治行动任务，保障整治工作的顺利开展。</w:t>
      </w:r>
    </w:p>
    <w:p w:rsidR="009C3AE2" w:rsidRDefault="009C3AE2" w:rsidP="00AC168A">
      <w:pPr>
        <w:widowControl w:val="0"/>
        <w:adjustRightInd/>
        <w:snapToGrid/>
        <w:spacing w:after="0" w:line="600" w:lineRule="exact"/>
        <w:ind w:firstLineChars="150" w:firstLine="482"/>
        <w:rPr>
          <w:rFonts w:ascii="楷体_GB2312" w:eastAsia="楷体_GB2312" w:hAnsi="楷体" w:cs="楷体"/>
          <w:b/>
          <w:sz w:val="32"/>
          <w:szCs w:val="32"/>
        </w:rPr>
      </w:pPr>
      <w:r>
        <w:rPr>
          <w:rFonts w:ascii="楷体_GB2312" w:eastAsia="楷体_GB2312" w:hAnsi="楷体" w:cs="楷体" w:hint="eastAsia"/>
          <w:b/>
          <w:sz w:val="32"/>
          <w:szCs w:val="32"/>
        </w:rPr>
        <w:t>（二）建立完善工作机制</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各单位要根据实际情况，分析研究整治工作的复杂性，理清工作思路，按照“摸清底子、登记造册、因船施策”的原则，采取切实可行、成效显著的工作措施开展整治。</w:t>
      </w:r>
      <w:r>
        <w:rPr>
          <w:rFonts w:ascii="仿宋_GB2312" w:eastAsia="仿宋_GB2312" w:hAnsi="宋体" w:hint="eastAsia"/>
          <w:b/>
          <w:sz w:val="32"/>
          <w:szCs w:val="32"/>
        </w:rPr>
        <w:t>一是建立源头管理机制</w:t>
      </w:r>
      <w:r>
        <w:rPr>
          <w:rFonts w:ascii="仿宋_GB2312" w:eastAsia="仿宋_GB2312" w:hAnsi="宋体" w:hint="eastAsia"/>
          <w:sz w:val="32"/>
          <w:szCs w:val="32"/>
        </w:rPr>
        <w:t>，市整治领导小组负责严把企业营运资质关、船舶检验管、船舶登记关和船员管理关，形成整体、有效的源头管理机制。</w:t>
      </w:r>
      <w:r>
        <w:rPr>
          <w:rFonts w:ascii="仿宋_GB2312" w:eastAsia="仿宋_GB2312" w:hAnsi="宋体" w:hint="eastAsia"/>
          <w:b/>
          <w:sz w:val="32"/>
          <w:szCs w:val="32"/>
        </w:rPr>
        <w:t>二是建立核查管理机制</w:t>
      </w:r>
      <w:r>
        <w:rPr>
          <w:rFonts w:ascii="仿宋_GB2312" w:eastAsia="仿宋_GB2312" w:hAnsi="宋体" w:hint="eastAsia"/>
          <w:sz w:val="32"/>
          <w:szCs w:val="32"/>
        </w:rPr>
        <w:t>，各港航所负责强化日常监督检查和年度核查，参照“运输船舶动态监督管理指导意见”，加强辖区运输船舶动态监管，实现内河船涉海运输整治工作的闭环管理。</w:t>
      </w:r>
      <w:r>
        <w:rPr>
          <w:rFonts w:ascii="仿宋_GB2312" w:eastAsia="仿宋_GB2312" w:hAnsi="宋体" w:hint="eastAsia"/>
          <w:b/>
          <w:sz w:val="32"/>
          <w:szCs w:val="32"/>
        </w:rPr>
        <w:t>三是建立通报协查机制</w:t>
      </w:r>
      <w:r>
        <w:rPr>
          <w:rFonts w:ascii="仿宋_GB2312" w:eastAsia="仿宋_GB2312" w:hAnsi="宋体" w:hint="eastAsia"/>
          <w:sz w:val="32"/>
          <w:szCs w:val="32"/>
        </w:rPr>
        <w:t>，市整治领导小组负责对查实涉嫌从事海上运输的船舶通报当地海事管理机构进行协查，各港航所负责督促航运企业及时召回涉事船舶。切实做到“发现一艘、查处一艘”，实现整治工作常态化。</w:t>
      </w:r>
    </w:p>
    <w:p w:rsidR="009C3AE2" w:rsidRDefault="009C3AE2" w:rsidP="00AC168A">
      <w:pPr>
        <w:widowControl w:val="0"/>
        <w:adjustRightInd/>
        <w:snapToGrid/>
        <w:spacing w:after="0" w:line="600" w:lineRule="exact"/>
        <w:ind w:firstLineChars="200" w:firstLine="643"/>
        <w:rPr>
          <w:rFonts w:ascii="楷体_GB2312" w:eastAsia="楷体_GB2312" w:hAnsi="楷体" w:cs="楷体"/>
          <w:b/>
          <w:sz w:val="32"/>
          <w:szCs w:val="32"/>
        </w:rPr>
      </w:pPr>
      <w:r>
        <w:rPr>
          <w:rFonts w:ascii="楷体_GB2312" w:eastAsia="楷体_GB2312" w:hAnsi="楷体" w:cs="楷体" w:hint="eastAsia"/>
          <w:b/>
          <w:sz w:val="32"/>
          <w:szCs w:val="32"/>
        </w:rPr>
        <w:t>(三)强化督查检查</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市整治领导小组将定期或不定期开展督查检查，确保各单位落实工作措施，全面推进整治工作的顺利开展。各港航所、海事处要每月25日前将内河船涉海运输整治专项行动开展情况（相关数据台账、工作措施、取得的成效、典型案例、存在的问题和困难以及工作建议等）上报市局领导小组办公室。该项</w:t>
      </w:r>
      <w:r>
        <w:rPr>
          <w:rFonts w:ascii="仿宋_GB2312" w:eastAsia="仿宋_GB2312" w:hAnsi="宋体" w:hint="eastAsia"/>
          <w:sz w:val="32"/>
          <w:szCs w:val="32"/>
        </w:rPr>
        <w:lastRenderedPageBreak/>
        <w:t>工作开展及完成情况将纳入2019年度工作目标考核。</w:t>
      </w: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p>
    <w:p w:rsidR="009C3AE2" w:rsidRDefault="009C3AE2" w:rsidP="00AC168A">
      <w:pPr>
        <w:widowControl w:val="0"/>
        <w:adjustRightInd/>
        <w:snapToGrid/>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附件：1. 内河船涉海运输协查通知书</w:t>
      </w:r>
    </w:p>
    <w:p w:rsidR="009C3AE2" w:rsidRDefault="009C3AE2" w:rsidP="00AC168A">
      <w:pPr>
        <w:widowControl w:val="0"/>
        <w:adjustRightInd/>
        <w:snapToGrid/>
        <w:spacing w:after="0" w:line="600" w:lineRule="exact"/>
        <w:ind w:leftChars="304" w:left="2269" w:hangingChars="500" w:hanging="1600"/>
        <w:rPr>
          <w:rFonts w:ascii="仿宋_GB2312" w:eastAsia="仿宋_GB2312" w:hAnsi="宋体"/>
          <w:sz w:val="32"/>
          <w:szCs w:val="32"/>
        </w:rPr>
      </w:pPr>
      <w:r>
        <w:rPr>
          <w:rFonts w:ascii="仿宋_GB2312" w:eastAsia="仿宋_GB2312" w:hAnsi="宋体" w:hint="eastAsia"/>
          <w:sz w:val="32"/>
          <w:szCs w:val="32"/>
        </w:rPr>
        <w:t xml:space="preserve">      2. 岳阳市内河船涉海运输整治专项行动任务分解表</w:t>
      </w:r>
    </w:p>
    <w:p w:rsidR="009C3AE2" w:rsidRDefault="009C3AE2" w:rsidP="00AC168A">
      <w:pPr>
        <w:widowControl w:val="0"/>
        <w:adjustRightInd/>
        <w:snapToGrid/>
        <w:spacing w:after="0" w:line="600" w:lineRule="exact"/>
        <w:ind w:firstLineChars="500" w:firstLine="1600"/>
        <w:rPr>
          <w:rFonts w:ascii="仿宋_GB2312" w:eastAsia="仿宋_GB2312" w:hAnsi="宋体"/>
          <w:sz w:val="32"/>
          <w:szCs w:val="32"/>
        </w:rPr>
      </w:pPr>
      <w:r>
        <w:rPr>
          <w:rFonts w:ascii="仿宋_GB2312" w:eastAsia="仿宋_GB2312" w:hAnsi="宋体" w:hint="eastAsia"/>
          <w:sz w:val="32"/>
          <w:szCs w:val="32"/>
        </w:rPr>
        <w:t>3.船舶动态监督管理指南</w:t>
      </w:r>
    </w:p>
    <w:p w:rsidR="009C3AE2" w:rsidRDefault="009C3AE2" w:rsidP="00AC168A">
      <w:pPr>
        <w:spacing w:after="0" w:line="600" w:lineRule="exact"/>
        <w:rPr>
          <w:rFonts w:ascii="仿宋_GB2312" w:eastAsia="仿宋_GB2312" w:hAnsi="宋体"/>
          <w:sz w:val="32"/>
          <w:szCs w:val="32"/>
        </w:rPr>
      </w:pPr>
      <w:r>
        <w:rPr>
          <w:rFonts w:ascii="仿宋_GB2312" w:eastAsia="仿宋_GB2312" w:hAnsi="宋体" w:hint="eastAsia"/>
          <w:sz w:val="32"/>
          <w:szCs w:val="32"/>
        </w:rPr>
        <w:t xml:space="preserve">   </w:t>
      </w: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r>
        <w:rPr>
          <w:rFonts w:ascii="仿宋_GB2312" w:eastAsia="仿宋_GB2312" w:hAnsi="宋体" w:hint="eastAsia"/>
          <w:sz w:val="32"/>
          <w:szCs w:val="32"/>
        </w:rPr>
        <w:t xml:space="preserve">                           </w:t>
      </w: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黑体" w:eastAsia="黑体" w:hAnsi="黑体" w:cs="黑体"/>
          <w:sz w:val="32"/>
          <w:szCs w:val="32"/>
        </w:rPr>
      </w:pPr>
    </w:p>
    <w:p w:rsidR="009C3AE2" w:rsidRDefault="009C3AE2" w:rsidP="00AC168A">
      <w:pPr>
        <w:spacing w:after="0" w:line="600" w:lineRule="exact"/>
        <w:rPr>
          <w:rFonts w:ascii="黑体" w:eastAsia="黑体" w:hAnsi="黑体" w:cs="黑体"/>
          <w:sz w:val="32"/>
          <w:szCs w:val="32"/>
        </w:rPr>
      </w:pPr>
      <w:r>
        <w:rPr>
          <w:rFonts w:ascii="黑体" w:eastAsia="黑体" w:hAnsi="黑体" w:cs="黑体" w:hint="eastAsia"/>
          <w:sz w:val="32"/>
          <w:szCs w:val="32"/>
        </w:rPr>
        <w:t>附件1</w:t>
      </w:r>
    </w:p>
    <w:p w:rsidR="009C3AE2" w:rsidRDefault="009C3AE2" w:rsidP="00AC168A">
      <w:pPr>
        <w:widowControl w:val="0"/>
        <w:adjustRightInd/>
        <w:snapToGrid/>
        <w:spacing w:after="0"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内河船涉海运输协查通知书</w:t>
      </w:r>
    </w:p>
    <w:p w:rsidR="009C3AE2" w:rsidRDefault="009C3AE2" w:rsidP="00AC168A">
      <w:pPr>
        <w:spacing w:after="0" w:line="600" w:lineRule="exact"/>
        <w:rPr>
          <w:rFonts w:ascii="黑体" w:eastAsia="黑体" w:hAnsi="黑体" w:cs="黑体"/>
          <w:sz w:val="32"/>
          <w:szCs w:val="32"/>
        </w:rPr>
      </w:pPr>
    </w:p>
    <w:p w:rsidR="009C3AE2" w:rsidRDefault="009C3AE2" w:rsidP="00AC168A">
      <w:pPr>
        <w:spacing w:after="0" w:line="600" w:lineRule="exact"/>
        <w:rPr>
          <w:rFonts w:ascii="黑体" w:eastAsia="黑体" w:hAnsi="黑体" w:cs="黑体"/>
          <w:sz w:val="32"/>
          <w:szCs w:val="32"/>
        </w:rPr>
      </w:pPr>
      <w:r>
        <w:rPr>
          <w:rFonts w:ascii="黑体" w:eastAsia="黑体" w:hAnsi="黑体" w:cs="黑体" w:hint="eastAsia"/>
          <w:sz w:val="32"/>
          <w:szCs w:val="32"/>
          <w:u w:val="single"/>
        </w:rPr>
        <w:t xml:space="preserve">                      </w:t>
      </w:r>
      <w:r>
        <w:rPr>
          <w:rFonts w:ascii="黑体" w:eastAsia="黑体" w:hAnsi="黑体" w:cs="黑体" w:hint="eastAsia"/>
          <w:sz w:val="32"/>
          <w:szCs w:val="32"/>
        </w:rPr>
        <w:t>：</w:t>
      </w:r>
    </w:p>
    <w:p w:rsidR="009C3AE2" w:rsidRDefault="009C3AE2" w:rsidP="00AC168A">
      <w:pPr>
        <w:spacing w:after="0" w:line="600" w:lineRule="exact"/>
        <w:rPr>
          <w:rFonts w:ascii="仿宋_GB2312" w:eastAsia="仿宋_GB2312" w:hAnsi="黑体" w:cs="黑体"/>
          <w:sz w:val="32"/>
          <w:szCs w:val="32"/>
          <w:u w:val="single"/>
        </w:rPr>
      </w:pPr>
      <w:r>
        <w:rPr>
          <w:rFonts w:ascii="黑体" w:eastAsia="黑体" w:hAnsi="黑体" w:cs="黑体" w:hint="eastAsia"/>
          <w:sz w:val="32"/>
          <w:szCs w:val="32"/>
        </w:rPr>
        <w:lastRenderedPageBreak/>
        <w:t xml:space="preserve">    </w:t>
      </w:r>
      <w:r>
        <w:rPr>
          <w:rFonts w:ascii="仿宋_GB2312" w:eastAsia="仿宋_GB2312" w:hAnsi="黑体" w:cs="黑体" w:hint="eastAsia"/>
          <w:sz w:val="32"/>
          <w:szCs w:val="32"/>
        </w:rPr>
        <w:t>经</w:t>
      </w:r>
      <w:r>
        <w:rPr>
          <w:rFonts w:ascii="仿宋_GB2312" w:eastAsia="仿宋_GB2312" w:hAnsi="黑体" w:cs="黑体" w:hint="eastAsia"/>
          <w:sz w:val="32"/>
          <w:szCs w:val="32"/>
          <w:u w:val="single"/>
        </w:rPr>
        <w:t xml:space="preserve">                                       </w:t>
      </w:r>
      <w:r>
        <w:rPr>
          <w:rFonts w:ascii="仿宋_GB2312" w:eastAsia="仿宋_GB2312" w:hAnsi="黑体" w:cs="黑体" w:hint="eastAsia"/>
          <w:sz w:val="32"/>
          <w:szCs w:val="32"/>
        </w:rPr>
        <w:t>，发现以下内河船在你辖区涉嫌涉海非法运输行为，请依法查处，并责令其返回岳阳港整改。</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559"/>
        <w:gridCol w:w="1985"/>
        <w:gridCol w:w="1606"/>
        <w:gridCol w:w="2221"/>
      </w:tblGrid>
      <w:tr w:rsidR="009C3AE2" w:rsidTr="009C3AE2">
        <w:tc>
          <w:tcPr>
            <w:tcW w:w="85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船舶名称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船舶所有人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船舶经营人</w:t>
            </w:r>
          </w:p>
        </w:tc>
        <w:tc>
          <w:tcPr>
            <w:tcW w:w="1606"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登记联系电话</w:t>
            </w:r>
          </w:p>
        </w:tc>
        <w:tc>
          <w:tcPr>
            <w:tcW w:w="222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“五证”</w:t>
            </w:r>
          </w:p>
          <w:p w:rsidR="009C3AE2" w:rsidRDefault="009C3AE2" w:rsidP="00AC168A">
            <w:pPr>
              <w:spacing w:after="0" w:line="600" w:lineRule="exact"/>
              <w:jc w:val="center"/>
              <w:rPr>
                <w:rFonts w:ascii="黑体" w:eastAsia="黑体" w:hAnsi="黑体" w:cs="黑体"/>
                <w:b/>
                <w:szCs w:val="21"/>
              </w:rPr>
            </w:pPr>
            <w:r>
              <w:rPr>
                <w:rFonts w:ascii="黑体" w:eastAsia="黑体" w:hAnsi="黑体" w:cs="黑体" w:hint="eastAsia"/>
                <w:b/>
                <w:szCs w:val="21"/>
              </w:rPr>
              <w:t>持有或保持情况</w:t>
            </w:r>
          </w:p>
        </w:tc>
      </w:tr>
      <w:tr w:rsidR="009C3AE2" w:rsidTr="009C3AE2">
        <w:trPr>
          <w:trHeight w:val="632"/>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698"/>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553"/>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561"/>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555"/>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549"/>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557"/>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r w:rsidR="009C3AE2" w:rsidTr="009C3AE2">
        <w:trPr>
          <w:trHeight w:val="557"/>
        </w:trPr>
        <w:tc>
          <w:tcPr>
            <w:tcW w:w="85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p w:rsidR="009C3AE2" w:rsidRDefault="009C3AE2" w:rsidP="00AC168A">
            <w:pPr>
              <w:spacing w:after="0" w:line="600" w:lineRule="exact"/>
              <w:jc w:val="center"/>
              <w:rPr>
                <w:rFonts w:ascii="黑体" w:eastAsia="黑体" w:hAnsi="黑体" w:cs="黑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黑体" w:eastAsia="黑体" w:hAnsi="黑体" w:cs="黑体"/>
                <w:sz w:val="24"/>
                <w:szCs w:val="24"/>
              </w:rPr>
            </w:pPr>
          </w:p>
        </w:tc>
      </w:tr>
    </w:tbl>
    <w:p w:rsidR="009C3AE2" w:rsidRDefault="009C3AE2" w:rsidP="00AC168A">
      <w:pPr>
        <w:spacing w:after="0" w:line="600" w:lineRule="exact"/>
        <w:rPr>
          <w:rFonts w:ascii="黑体" w:eastAsia="黑体" w:hAnsi="黑体" w:cs="黑体"/>
          <w:sz w:val="32"/>
          <w:szCs w:val="32"/>
        </w:rPr>
      </w:pPr>
    </w:p>
    <w:p w:rsidR="009C3AE2" w:rsidRDefault="009C3AE2" w:rsidP="00AC168A">
      <w:pPr>
        <w:spacing w:after="0" w:line="600" w:lineRule="exact"/>
        <w:rPr>
          <w:rFonts w:ascii="黑体" w:eastAsia="黑体" w:hAnsi="黑体" w:cs="黑体"/>
          <w:sz w:val="32"/>
          <w:szCs w:val="32"/>
        </w:rPr>
      </w:pPr>
    </w:p>
    <w:p w:rsidR="009C3AE2" w:rsidRDefault="009C3AE2" w:rsidP="00AC168A">
      <w:pPr>
        <w:spacing w:after="0" w:line="600" w:lineRule="exact"/>
        <w:rPr>
          <w:rFonts w:ascii="仿宋_GB2312" w:eastAsia="仿宋_GB2312" w:hAnsi="黑体" w:cs="黑体"/>
          <w:sz w:val="32"/>
          <w:szCs w:val="32"/>
        </w:rPr>
      </w:pPr>
      <w:r>
        <w:rPr>
          <w:rFonts w:ascii="黑体" w:eastAsia="黑体" w:hAnsi="黑体" w:cs="黑体" w:hint="eastAsia"/>
          <w:sz w:val="32"/>
          <w:szCs w:val="32"/>
        </w:rPr>
        <w:t xml:space="preserve">                                 </w:t>
      </w:r>
      <w:r>
        <w:rPr>
          <w:rFonts w:ascii="仿宋_GB2312" w:eastAsia="仿宋_GB2312" w:hAnsi="黑体" w:cs="黑体" w:hint="eastAsia"/>
          <w:sz w:val="32"/>
          <w:szCs w:val="32"/>
        </w:rPr>
        <w:t xml:space="preserve">   （单位盖章）</w:t>
      </w:r>
    </w:p>
    <w:p w:rsidR="009C3AE2" w:rsidRDefault="009C3AE2" w:rsidP="00AC168A">
      <w:pPr>
        <w:spacing w:after="0" w:line="600" w:lineRule="exact"/>
        <w:rPr>
          <w:rFonts w:ascii="仿宋_GB2312" w:eastAsia="仿宋_GB2312" w:hAnsi="黑体" w:cs="黑体"/>
          <w:sz w:val="32"/>
          <w:szCs w:val="32"/>
        </w:rPr>
      </w:pPr>
      <w:r>
        <w:rPr>
          <w:rFonts w:ascii="仿宋_GB2312" w:eastAsia="仿宋_GB2312" w:hAnsi="黑体" w:cs="黑体" w:hint="eastAsia"/>
          <w:sz w:val="32"/>
          <w:szCs w:val="32"/>
        </w:rPr>
        <w:t xml:space="preserve">                                  年     月     日</w:t>
      </w:r>
    </w:p>
    <w:p w:rsidR="009C3AE2" w:rsidRDefault="009C3AE2" w:rsidP="00AC168A">
      <w:pPr>
        <w:adjustRightInd/>
        <w:snapToGrid/>
        <w:spacing w:after="0" w:line="600" w:lineRule="exact"/>
        <w:rPr>
          <w:rFonts w:ascii="仿宋_GB2312" w:eastAsia="仿宋_GB2312" w:hAnsi="宋体"/>
          <w:sz w:val="32"/>
          <w:szCs w:val="32"/>
        </w:rPr>
        <w:sectPr w:rsidR="009C3AE2">
          <w:pgSz w:w="11906" w:h="16838"/>
          <w:pgMar w:top="2098" w:right="1474" w:bottom="1984" w:left="1587" w:header="851" w:footer="992" w:gutter="0"/>
          <w:pgNumType w:fmt="numberInDash"/>
          <w:cols w:space="720"/>
          <w:docGrid w:type="lines" w:linePitch="312"/>
        </w:sectPr>
      </w:pPr>
    </w:p>
    <w:p w:rsidR="009C3AE2" w:rsidRDefault="009C3AE2" w:rsidP="00AC168A">
      <w:pPr>
        <w:spacing w:after="0" w:line="600" w:lineRule="exact"/>
        <w:rPr>
          <w:rFonts w:ascii="黑体" w:eastAsia="黑体" w:hAnsi="黑体" w:cs="黑体"/>
          <w:sz w:val="32"/>
          <w:szCs w:val="32"/>
        </w:rPr>
      </w:pPr>
      <w:r>
        <w:rPr>
          <w:rFonts w:ascii="黑体" w:eastAsia="黑体" w:hAnsi="黑体" w:cs="黑体" w:hint="eastAsia"/>
          <w:sz w:val="32"/>
          <w:szCs w:val="32"/>
        </w:rPr>
        <w:lastRenderedPageBreak/>
        <w:t>附件2</w:t>
      </w:r>
    </w:p>
    <w:p w:rsidR="009C3AE2" w:rsidRDefault="009C3AE2" w:rsidP="00AC168A">
      <w:pPr>
        <w:spacing w:after="0"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岳阳市内河船涉海运输整治专项行动任务分解表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2794"/>
        <w:gridCol w:w="4193"/>
        <w:gridCol w:w="1477"/>
        <w:gridCol w:w="1134"/>
        <w:gridCol w:w="1701"/>
        <w:gridCol w:w="2425"/>
      </w:tblGrid>
      <w:tr w:rsidR="009C3AE2" w:rsidTr="009C3AE2">
        <w:trPr>
          <w:trHeight w:val="447"/>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b/>
                <w:bCs/>
                <w:szCs w:val="21"/>
              </w:rPr>
            </w:pPr>
            <w:r>
              <w:rPr>
                <w:rFonts w:ascii="仿宋_GB2312" w:eastAsia="仿宋_GB2312" w:hAnsi="宋体" w:hint="eastAsia"/>
                <w:b/>
                <w:bCs/>
                <w:szCs w:val="21"/>
              </w:rPr>
              <w:t>序号</w:t>
            </w:r>
          </w:p>
        </w:tc>
        <w:tc>
          <w:tcPr>
            <w:tcW w:w="2794"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ind w:firstLineChars="150" w:firstLine="331"/>
              <w:jc w:val="center"/>
              <w:rPr>
                <w:rFonts w:ascii="仿宋_GB2312" w:eastAsia="仿宋_GB2312" w:hAnsi="宋体"/>
                <w:b/>
                <w:bCs/>
                <w:szCs w:val="21"/>
              </w:rPr>
            </w:pPr>
            <w:r>
              <w:rPr>
                <w:rFonts w:ascii="仿宋_GB2312" w:eastAsia="仿宋_GB2312" w:hAnsi="宋体" w:hint="eastAsia"/>
                <w:b/>
                <w:bCs/>
                <w:szCs w:val="21"/>
              </w:rPr>
              <w:t>任务时间结点</w:t>
            </w: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ind w:firstLineChars="150" w:firstLine="331"/>
              <w:jc w:val="center"/>
              <w:rPr>
                <w:rFonts w:ascii="仿宋_GB2312" w:eastAsia="仿宋_GB2312" w:hAnsi="宋体"/>
                <w:b/>
                <w:bCs/>
                <w:szCs w:val="21"/>
              </w:rPr>
            </w:pPr>
            <w:r>
              <w:rPr>
                <w:rFonts w:ascii="仿宋_GB2312" w:eastAsia="仿宋_GB2312" w:hAnsi="宋体" w:hint="eastAsia"/>
                <w:b/>
                <w:bCs/>
                <w:szCs w:val="21"/>
              </w:rPr>
              <w:t>任务分解</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b/>
                <w:bCs/>
                <w:szCs w:val="21"/>
              </w:rPr>
            </w:pPr>
            <w:r>
              <w:rPr>
                <w:rFonts w:ascii="仿宋_GB2312" w:eastAsia="仿宋_GB2312" w:hAnsi="宋体" w:hint="eastAsia"/>
                <w:b/>
                <w:bCs/>
                <w:szCs w:val="21"/>
              </w:rPr>
              <w:t>时间要求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b/>
                <w:bCs/>
                <w:szCs w:val="21"/>
              </w:rPr>
            </w:pPr>
            <w:r>
              <w:rPr>
                <w:rFonts w:ascii="仿宋_GB2312" w:eastAsia="仿宋_GB2312" w:hAnsi="宋体" w:hint="eastAsia"/>
                <w:b/>
                <w:bCs/>
                <w:szCs w:val="21"/>
              </w:rPr>
              <w:t>完成情况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b/>
                <w:bCs/>
                <w:szCs w:val="21"/>
              </w:rPr>
            </w:pPr>
            <w:r>
              <w:rPr>
                <w:rFonts w:ascii="仿宋_GB2312" w:eastAsia="仿宋_GB2312" w:hAnsi="宋体" w:hint="eastAsia"/>
                <w:b/>
                <w:bCs/>
                <w:szCs w:val="21"/>
              </w:rPr>
              <w:t>监督单位</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b/>
                <w:bCs/>
                <w:szCs w:val="21"/>
              </w:rPr>
            </w:pPr>
            <w:r>
              <w:rPr>
                <w:rFonts w:ascii="仿宋_GB2312" w:eastAsia="仿宋_GB2312" w:hAnsi="宋体" w:hint="eastAsia"/>
                <w:b/>
                <w:bCs/>
                <w:szCs w:val="21"/>
              </w:rPr>
              <w:t>实施主体</w:t>
            </w:r>
          </w:p>
        </w:tc>
      </w:tr>
      <w:tr w:rsidR="009C3AE2" w:rsidTr="009C3AE2">
        <w:trPr>
          <w:trHeight w:val="457"/>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1</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宣传发动阶段</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（2019.3.15-2019.5.31）</w:t>
            </w: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制定并印发《方案》</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3月31日前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局领导</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市整治领导小组办公室</w:t>
            </w:r>
          </w:p>
        </w:tc>
      </w:tr>
      <w:tr w:rsidR="009C3AE2" w:rsidTr="009C3AE2">
        <w:trPr>
          <w:trHeight w:val="447"/>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2</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全市涉海运输整治行动宣传</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5月31日前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局领导</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市整治领导小组办公室</w:t>
            </w:r>
          </w:p>
        </w:tc>
      </w:tr>
      <w:tr w:rsidR="009C3AE2" w:rsidTr="009C3AE2">
        <w:trPr>
          <w:trHeight w:val="440"/>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3</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县级集中学习、会议、宣传</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5月31日前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各港航所、海事处</w:t>
            </w:r>
          </w:p>
        </w:tc>
      </w:tr>
      <w:tr w:rsidR="009C3AE2" w:rsidTr="009C3AE2">
        <w:trPr>
          <w:trHeight w:val="560"/>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4</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集中整治阶段</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（2019.6.1-2019.10.31）</w:t>
            </w: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全市摸底排查，</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建立“岳阳市运输船舶总台账”</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6月30日前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港口运输科、船舶检验科、船舶船员科</w:t>
            </w:r>
          </w:p>
        </w:tc>
      </w:tr>
      <w:tr w:rsidR="009C3AE2" w:rsidTr="009C3AE2">
        <w:trPr>
          <w:trHeight w:val="474"/>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5</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完善安全管理责任制度并落实</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6月30日前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各港航所、海事处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ind w:firstLineChars="150" w:firstLine="330"/>
              <w:rPr>
                <w:rFonts w:ascii="仿宋_GB2312" w:eastAsia="仿宋_GB2312" w:hAnsi="宋体"/>
                <w:szCs w:val="21"/>
              </w:rPr>
            </w:pPr>
            <w:r>
              <w:rPr>
                <w:rFonts w:ascii="仿宋_GB2312" w:eastAsia="仿宋_GB2312" w:hAnsi="宋体" w:hint="eastAsia"/>
                <w:szCs w:val="21"/>
              </w:rPr>
              <w:t>各水路运输企业</w:t>
            </w:r>
          </w:p>
        </w:tc>
      </w:tr>
      <w:tr w:rsidR="009C3AE2" w:rsidTr="009C3AE2">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5</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全市摸底排除、核实运输船舶去向，</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查清全市内河涉海运输基本情况</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7月30日前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各港航所、海事处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各水路运输企业</w:t>
            </w:r>
          </w:p>
        </w:tc>
      </w:tr>
      <w:tr w:rsidR="009C3AE2" w:rsidTr="009C3AE2">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lastRenderedPageBreak/>
              <w:t>6</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召回或解除失联船舶经营关系，</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上报处理船舶名录及相关资料</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9月30日前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各港航所、海事处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各水路运输企业</w:t>
            </w:r>
          </w:p>
        </w:tc>
      </w:tr>
      <w:tr w:rsidR="009C3AE2" w:rsidTr="009C3AE2">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7</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对涉海船舶召回情况上报、对未及时召回或不配合召回的企业及船舶上报处罚处理措施材料</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每月25日前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各港航所、海事处</w:t>
            </w:r>
          </w:p>
        </w:tc>
      </w:tr>
      <w:tr w:rsidR="009C3AE2" w:rsidTr="009C3AE2">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8</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对全市涉海运输船舶整治情况定期向社会公布，并上报省局</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每月28日前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局领导</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市整治领导小组办公室</w:t>
            </w:r>
          </w:p>
        </w:tc>
      </w:tr>
      <w:tr w:rsidR="009C3AE2" w:rsidTr="009C3AE2">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9</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汇总整治行动后全市运输船舶台账、</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召回台账、涉海运输船舶台账并报省局</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10月31日前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局领导</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市整治领导小组办公室</w:t>
            </w:r>
          </w:p>
        </w:tc>
      </w:tr>
      <w:tr w:rsidR="009C3AE2" w:rsidTr="009C3AE2">
        <w:trPr>
          <w:trHeight w:val="442"/>
          <w:jc w:val="center"/>
        </w:trPr>
        <w:tc>
          <w:tcPr>
            <w:tcW w:w="701"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总结提高阶段</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（2019.11.1-2019.11.30）</w:t>
            </w: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上报各县涉海运输专项整治行动总结</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11月20日前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各港航所、海事处</w:t>
            </w:r>
          </w:p>
        </w:tc>
      </w:tr>
      <w:tr w:rsidR="009C3AE2" w:rsidTr="009C3AE2">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11</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完善船舶动态管理长效机制，</w:t>
            </w:r>
          </w:p>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实行常态化管理</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11月30日前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局领导</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市整治领导小组办公室</w:t>
            </w:r>
          </w:p>
        </w:tc>
      </w:tr>
      <w:tr w:rsidR="009C3AE2" w:rsidTr="009C3AE2">
        <w:trPr>
          <w:trHeight w:val="640"/>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lastRenderedPageBreak/>
              <w:t>12</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adjustRightInd/>
              <w:snapToGrid/>
              <w:spacing w:after="0" w:line="600" w:lineRule="exact"/>
              <w:rPr>
                <w:rFonts w:ascii="仿宋_GB2312" w:eastAsia="仿宋_GB2312" w:hAnsi="宋体"/>
                <w:szCs w:val="21"/>
              </w:rPr>
            </w:pPr>
          </w:p>
        </w:tc>
        <w:tc>
          <w:tcPr>
            <w:tcW w:w="4193"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汇总上报全市涉海运输专项整治行动总结</w:t>
            </w:r>
          </w:p>
        </w:tc>
        <w:tc>
          <w:tcPr>
            <w:tcW w:w="1477"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11月30日前</w:t>
            </w:r>
          </w:p>
        </w:tc>
        <w:tc>
          <w:tcPr>
            <w:tcW w:w="1134" w:type="dxa"/>
            <w:tcBorders>
              <w:top w:val="single" w:sz="4" w:space="0" w:color="auto"/>
              <w:left w:val="single" w:sz="4" w:space="0" w:color="auto"/>
              <w:bottom w:val="single" w:sz="4" w:space="0" w:color="auto"/>
              <w:right w:val="single" w:sz="4" w:space="0" w:color="auto"/>
            </w:tcBorders>
            <w:vAlign w:val="center"/>
          </w:tcPr>
          <w:p w:rsidR="009C3AE2" w:rsidRDefault="009C3AE2" w:rsidP="00AC168A">
            <w:pPr>
              <w:spacing w:after="0" w:line="600" w:lineRule="exact"/>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局领导</w:t>
            </w:r>
          </w:p>
        </w:tc>
        <w:tc>
          <w:tcPr>
            <w:tcW w:w="2425" w:type="dxa"/>
            <w:tcBorders>
              <w:top w:val="single" w:sz="4" w:space="0" w:color="auto"/>
              <w:left w:val="single" w:sz="4" w:space="0" w:color="auto"/>
              <w:bottom w:val="single" w:sz="4" w:space="0" w:color="auto"/>
              <w:right w:val="single" w:sz="4" w:space="0" w:color="auto"/>
            </w:tcBorders>
            <w:vAlign w:val="center"/>
            <w:hideMark/>
          </w:tcPr>
          <w:p w:rsidR="009C3AE2" w:rsidRDefault="009C3AE2" w:rsidP="00AC168A">
            <w:pPr>
              <w:spacing w:after="0" w:line="600" w:lineRule="exact"/>
              <w:jc w:val="center"/>
              <w:rPr>
                <w:rFonts w:ascii="仿宋_GB2312" w:eastAsia="仿宋_GB2312" w:hAnsi="宋体"/>
                <w:szCs w:val="21"/>
              </w:rPr>
            </w:pPr>
            <w:r>
              <w:rPr>
                <w:rFonts w:ascii="仿宋_GB2312" w:eastAsia="仿宋_GB2312" w:hAnsi="宋体" w:hint="eastAsia"/>
                <w:szCs w:val="21"/>
              </w:rPr>
              <w:t>市整治领导小组办公室</w:t>
            </w:r>
          </w:p>
        </w:tc>
      </w:tr>
    </w:tbl>
    <w:p w:rsidR="009C3AE2" w:rsidRDefault="009C3AE2" w:rsidP="00AC168A">
      <w:pPr>
        <w:adjustRightInd/>
        <w:snapToGrid/>
        <w:spacing w:after="0" w:line="600" w:lineRule="exact"/>
        <w:rPr>
          <w:rFonts w:ascii="仿宋_GB2312" w:eastAsia="仿宋_GB2312" w:hAnsi="宋体"/>
          <w:sz w:val="32"/>
          <w:szCs w:val="32"/>
        </w:rPr>
        <w:sectPr w:rsidR="009C3AE2">
          <w:pgSz w:w="16838" w:h="11906" w:orient="landscape"/>
          <w:pgMar w:top="1800" w:right="1440" w:bottom="1800" w:left="1440" w:header="851" w:footer="992" w:gutter="0"/>
          <w:pgNumType w:fmt="numberInDash"/>
          <w:cols w:space="720"/>
          <w:docGrid w:type="lines" w:linePitch="312"/>
        </w:sectPr>
      </w:pPr>
    </w:p>
    <w:p w:rsidR="009C3AE2" w:rsidRDefault="009C3AE2" w:rsidP="00AC168A">
      <w:pPr>
        <w:spacing w:after="0" w:line="600" w:lineRule="exact"/>
        <w:jc w:val="both"/>
        <w:rPr>
          <w:rFonts w:ascii="黑体" w:eastAsia="黑体" w:hAnsi="黑体" w:cs="黑体"/>
          <w:sz w:val="32"/>
          <w:szCs w:val="32"/>
        </w:rPr>
      </w:pPr>
      <w:r>
        <w:rPr>
          <w:rFonts w:ascii="黑体" w:eastAsia="黑体" w:hAnsi="黑体" w:cs="黑体" w:hint="eastAsia"/>
          <w:sz w:val="32"/>
          <w:szCs w:val="32"/>
        </w:rPr>
        <w:lastRenderedPageBreak/>
        <w:t>附件3</w:t>
      </w:r>
    </w:p>
    <w:p w:rsidR="009C3AE2" w:rsidRDefault="009C3AE2" w:rsidP="00AC168A">
      <w:pPr>
        <w:spacing w:after="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rPr>
        <w:t>运输船舶动态监督管理指导意见</w:t>
      </w: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rPr>
          <w:rFonts w:ascii="仿宋_GB2312" w:eastAsia="仿宋_GB2312" w:hAnsi="宋体"/>
          <w:sz w:val="32"/>
          <w:szCs w:val="32"/>
        </w:rPr>
      </w:pPr>
      <w:r>
        <w:rPr>
          <w:rFonts w:ascii="仿宋_GB2312" w:eastAsia="仿宋_GB2312" w:hAnsi="宋体" w:hint="eastAsia"/>
          <w:sz w:val="32"/>
          <w:szCs w:val="32"/>
        </w:rPr>
        <w:t>各港航所、海事处、航运企业：</w:t>
      </w:r>
    </w:p>
    <w:p w:rsidR="009C3AE2" w:rsidRDefault="009C3AE2" w:rsidP="00AC168A">
      <w:pPr>
        <w:spacing w:after="0" w:line="600" w:lineRule="exact"/>
        <w:ind w:firstLineChars="250" w:firstLine="800"/>
        <w:rPr>
          <w:rFonts w:ascii="仿宋_GB2312" w:eastAsia="仿宋_GB2312" w:hAnsi="宋体"/>
          <w:sz w:val="32"/>
          <w:szCs w:val="32"/>
        </w:rPr>
      </w:pPr>
      <w:r>
        <w:rPr>
          <w:rFonts w:ascii="仿宋_GB2312" w:eastAsia="仿宋_GB2312" w:hAnsi="宋体" w:hint="eastAsia"/>
          <w:sz w:val="32"/>
          <w:szCs w:val="32"/>
        </w:rPr>
        <w:t>为加强我市运输船舶安全源头管理，认真落实企业安全生产主体责任，维护水路运输市场秩序，确保运输船舶航运安全，杜绝超航区、超经营范围、非法涉海运输等违法行为的发生，根据《国内水路运输管理条例》、《国内水路运输管理规定》及&lt;交通运输部办公厅《关于全面推进内河船舶非法从事海上运输常态化治理的意见》&gt;(交办海【2017】13号)等法律法规规定，现就加强我市运输船舶动态监督管理提出以下指导意见：</w:t>
      </w:r>
    </w:p>
    <w:p w:rsidR="009C3AE2" w:rsidRDefault="009C3AE2" w:rsidP="00AC168A">
      <w:pPr>
        <w:spacing w:after="0" w:line="600" w:lineRule="exact"/>
        <w:ind w:firstLineChars="196" w:firstLine="627"/>
        <w:rPr>
          <w:rFonts w:ascii="黑体" w:eastAsia="黑体" w:hAnsi="黑体" w:cs="黑体"/>
          <w:bCs/>
          <w:sz w:val="32"/>
          <w:szCs w:val="32"/>
        </w:rPr>
      </w:pPr>
      <w:r>
        <w:rPr>
          <w:rFonts w:ascii="黑体" w:eastAsia="黑体" w:hAnsi="黑体" w:cs="黑体" w:hint="eastAsia"/>
          <w:bCs/>
          <w:sz w:val="32"/>
          <w:szCs w:val="32"/>
        </w:rPr>
        <w:t>一、严格源头管理、狠抓企业安全生产主体责任制度落实及运输船舶动态监管</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各港航所要通过年度核查、日常监管及“双随机一公开”检查等方式，严格检查辖区水路运输经营业户的经营资质、安全生产主体责任制度建立及落实情况。对检查发现的问题及时督促企业限期完成整改，对于整改不力或不配合整改的，要依法处理，直至撤销其水路运输经营资质。</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2、各港航所要建立辖区经营船舶台账及在外营运船舶台账，并实时更新。</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各港航所要督促辖区企业按月（每月25日前）对其经营船舶上报动态信息台账（电子档及扫描件），动态信息台账应包含所有经营船舶的船名、船舶所有人、营运证书编号、AIS定位信息、定位查询时间、当月航行区间、责任人签名。每月26日前将辖区汇总的船舶动态信息台账上报市局备案。对于上报船舶艘数、动态信息不全或不履行上报义务的企业，应坚决下达停业整改并上报，同时暂停办理企业相关业务。</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4、对于发现超航区、超范围经营及涉嫌非法从事海上运输行为船舶，辖区港航所应立即对船舶经营人下达整改或召回通知，督促企业对涉事船舶负责召回。</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5、各企业应结合本公司《船舶动态报告及信息传递制度》建立健全切实可行的“经营船舶动态监督管理制度”，完善经营船舶的船舶五证情况、船舶动态信息台账。</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6、各企业应每月25日前对经营船舶开展一次定位查询，并将查询结果形成“船舶动态信息台账”上报辖区港航所、海事处。对于停航停运船舶，企业应如实向辖区港航所进行停航报备并提交该船的《船舶营运运输证》《年审合格证》原件。对于失联或不服从公司管理船舶，应及时采取有效措施，控制风险。</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7、对于主动发现或海事（港航）部门通报，查实有超航区、超范围经营及涉嫌非法从事海上运输行为船舶，企业应负责召回，并上报“返回内河水域的承诺书”及“安</w:t>
      </w:r>
      <w:r>
        <w:rPr>
          <w:rFonts w:ascii="仿宋_GB2312" w:eastAsia="仿宋_GB2312" w:hAnsi="宋体" w:hint="eastAsia"/>
          <w:sz w:val="32"/>
          <w:szCs w:val="32"/>
        </w:rPr>
        <w:lastRenderedPageBreak/>
        <w:t>全返回方案”。“方案”应明确返回航线计划、时间安排及责任人联系方式，待涉事船舶返回内河水域后，及时报返回水域海事机构及经营人所在地港航所备案。</w:t>
      </w:r>
    </w:p>
    <w:p w:rsidR="009C3AE2" w:rsidRDefault="009C3AE2" w:rsidP="00AC168A">
      <w:pPr>
        <w:spacing w:after="0" w:line="600" w:lineRule="exact"/>
        <w:ind w:firstLineChars="196" w:firstLine="627"/>
        <w:rPr>
          <w:rFonts w:ascii="黑体" w:eastAsia="黑体" w:hAnsi="黑体" w:cs="黑体"/>
          <w:bCs/>
          <w:sz w:val="32"/>
          <w:szCs w:val="32"/>
        </w:rPr>
      </w:pPr>
      <w:r>
        <w:rPr>
          <w:rFonts w:ascii="黑体" w:eastAsia="黑体" w:hAnsi="黑体" w:cs="黑体" w:hint="eastAsia"/>
          <w:bCs/>
          <w:sz w:val="32"/>
          <w:szCs w:val="32"/>
        </w:rPr>
        <w:t>二、联动配合、加强联合执法及完善查处通报机制</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8、各港航所、海事处应加强联合执法，整合执法资源，提高执法效率，定期或不定期开展辖区运输船舶证照检查，船舶动态信息核实。</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9、各港航所、海事处对于发现无证无照、涉嫌超航区、超范围经营、涉海运输等非法行为的处理，因加强信息通报，形成有效的闭环管理。</w:t>
      </w:r>
    </w:p>
    <w:p w:rsidR="009C3AE2" w:rsidRDefault="009C3AE2" w:rsidP="00AC168A">
      <w:pPr>
        <w:spacing w:after="0" w:line="600" w:lineRule="exact"/>
        <w:ind w:firstLineChars="196" w:firstLine="627"/>
        <w:rPr>
          <w:rFonts w:ascii="黑体" w:eastAsia="黑体" w:hAnsi="黑体" w:cs="黑体"/>
          <w:bCs/>
          <w:sz w:val="32"/>
          <w:szCs w:val="32"/>
        </w:rPr>
      </w:pPr>
      <w:r>
        <w:rPr>
          <w:rFonts w:ascii="黑体" w:eastAsia="黑体" w:hAnsi="黑体" w:cs="黑体" w:hint="eastAsia"/>
          <w:bCs/>
          <w:sz w:val="32"/>
          <w:szCs w:val="32"/>
        </w:rPr>
        <w:t>三、加大宣传、深入开展船舶违法行为的宣传教育</w:t>
      </w:r>
    </w:p>
    <w:p w:rsidR="009C3AE2" w:rsidRDefault="009C3AE2" w:rsidP="00AC168A">
      <w:pPr>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10、各港航所、海事处应充分利用政务办理、现场执法、走访企业、召开会议、平台短信、微信或QQ群等各种方式，深入开展形式多样、生动活泼的宣传教育活动，广泛宣传内河船舶非法从事海上运输行为、超航区、超范围经营行为的严重危害性和应承担的法律责任，加强水上安全生产事故警示教育，引导企业、船舶、船舶船员增强安全意识和责任意识。</w:t>
      </w:r>
    </w:p>
    <w:p w:rsidR="009C3AE2" w:rsidRDefault="009C3AE2" w:rsidP="00AC168A">
      <w:pPr>
        <w:spacing w:after="0" w:line="600" w:lineRule="exact"/>
        <w:rPr>
          <w:rFonts w:ascii="仿宋_GB2312" w:eastAsia="仿宋_GB2312" w:hAnsi="宋体"/>
          <w:sz w:val="32"/>
          <w:szCs w:val="32"/>
        </w:rPr>
      </w:pPr>
    </w:p>
    <w:p w:rsidR="009C3AE2" w:rsidRDefault="009C3AE2" w:rsidP="00AC168A">
      <w:pPr>
        <w:spacing w:after="0" w:line="600" w:lineRule="exact"/>
      </w:pPr>
    </w:p>
    <w:p w:rsidR="009C3AE2" w:rsidRDefault="009C3AE2" w:rsidP="00AC168A">
      <w:pPr>
        <w:spacing w:after="0" w:line="600" w:lineRule="exact"/>
      </w:pPr>
    </w:p>
    <w:p w:rsidR="004358AB" w:rsidRDefault="004358AB" w:rsidP="00AC168A">
      <w:pPr>
        <w:spacing w:after="0" w:line="600" w:lineRule="exac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F5424"/>
    <w:multiLevelType w:val="multilevel"/>
    <w:tmpl w:val="4B4F5424"/>
    <w:lvl w:ilvl="0">
      <w:start w:val="3"/>
      <w:numFmt w:val="japaneseCounting"/>
      <w:lvlText w:val="%1、"/>
      <w:lvlJc w:val="left"/>
      <w:pPr>
        <w:ind w:left="1350" w:hanging="7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772A5D7A"/>
    <w:multiLevelType w:val="multilevel"/>
    <w:tmpl w:val="772A5D7A"/>
    <w:lvl w:ilvl="0">
      <w:start w:val="1"/>
      <w:numFmt w:val="japaneseCounting"/>
      <w:lvlText w:val="%1、"/>
      <w:lvlJc w:val="left"/>
      <w:pPr>
        <w:ind w:left="1350" w:hanging="7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63500F"/>
    <w:rsid w:val="008B7726"/>
    <w:rsid w:val="009C3AE2"/>
    <w:rsid w:val="00AC168A"/>
    <w:rsid w:val="00D31D50"/>
    <w:rsid w:val="00EB1A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3AE2"/>
    <w:rPr>
      <w:color w:val="0000FF"/>
      <w:u w:val="single"/>
    </w:rPr>
  </w:style>
  <w:style w:type="paragraph" w:styleId="a4">
    <w:name w:val="List Paragraph"/>
    <w:basedOn w:val="a"/>
    <w:uiPriority w:val="34"/>
    <w:qFormat/>
    <w:rsid w:val="009C3AE2"/>
    <w:pPr>
      <w:widowControl w:val="0"/>
      <w:adjustRightInd/>
      <w:snapToGrid/>
      <w:spacing w:after="0"/>
      <w:ind w:firstLineChars="200" w:firstLine="420"/>
      <w:jc w:val="both"/>
    </w:pPr>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2185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06507176@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汤维</cp:lastModifiedBy>
  <cp:revision>5</cp:revision>
  <dcterms:created xsi:type="dcterms:W3CDTF">2008-09-11T17:20:00Z</dcterms:created>
  <dcterms:modified xsi:type="dcterms:W3CDTF">2019-04-08T03:28:00Z</dcterms:modified>
</cp:coreProperties>
</file>