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岳</w:t>
      </w:r>
      <w:r>
        <w:rPr>
          <w:rFonts w:hint="eastAsia" w:ascii="方正小标宋简体" w:hAnsi="方正小标宋简体" w:eastAsia="方正小标宋简体" w:cs="方正小标宋简体"/>
          <w:sz w:val="32"/>
          <w:szCs w:val="32"/>
        </w:rPr>
        <w:t>阳市安全生产监督管理局</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rPr>
        <w:t>2017年度部门整体支出绩效评价报告</w:t>
      </w:r>
      <w:r>
        <w:rPr>
          <w:rFonts w:hint="eastAsia" w:ascii="方正小标宋简体" w:hAnsi="方正小标宋简体" w:eastAsia="方正小标宋简体" w:cs="方正小标宋简体"/>
          <w:sz w:val="32"/>
          <w:szCs w:val="32"/>
          <w:lang w:eastAsia="zh-CN"/>
        </w:rPr>
        <w:t>综述</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（文字部分）</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为进一步强化预算绩效理念，规范部门预算支出管理，提高财政资金使用效益，按照市财政局《岳阳市财政局关于开展2017年度财政支出绩效自评工作的通知》（岳财绩〔2018〕3号）要求，我局对2017年度部门整体支出绩效进行了全面综合评</w:t>
      </w:r>
      <w:bookmarkStart w:id="0" w:name="_GoBack"/>
      <w:bookmarkEnd w:id="0"/>
      <w:r>
        <w:rPr>
          <w:rFonts w:hint="eastAsia" w:ascii="仿宋" w:hAnsi="仿宋" w:eastAsia="仿宋" w:cs="仿宋"/>
          <w:sz w:val="28"/>
          <w:szCs w:val="28"/>
        </w:rPr>
        <w:t>价。现将有关情况报告如下：</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黑体" w:hAnsi="黑体" w:eastAsia="黑体" w:cs="黑体"/>
          <w:sz w:val="28"/>
          <w:szCs w:val="28"/>
        </w:rPr>
      </w:pPr>
      <w:r>
        <w:rPr>
          <w:rFonts w:hint="eastAsia" w:ascii="黑体" w:hAnsi="黑体" w:eastAsia="黑体" w:cs="黑体"/>
          <w:sz w:val="28"/>
          <w:szCs w:val="28"/>
        </w:rPr>
        <w:t>一、部门基本概况</w:t>
      </w:r>
    </w:p>
    <w:p>
      <w:pPr>
        <w:keepNext w:val="0"/>
        <w:keepLines w:val="0"/>
        <w:pageBreakBefore w:val="0"/>
        <w:kinsoku/>
        <w:wordWrap/>
        <w:overflowPunct/>
        <w:topLinePunct w:val="0"/>
        <w:autoSpaceDE/>
        <w:autoSpaceDN/>
        <w:bidi w:val="0"/>
        <w:adjustRightInd/>
        <w:snapToGrid/>
        <w:spacing w:line="520" w:lineRule="exact"/>
        <w:ind w:firstLine="562" w:firstLineChars="200"/>
        <w:textAlignment w:val="auto"/>
        <w:outlineLvl w:val="9"/>
        <w:rPr>
          <w:rFonts w:hint="eastAsia" w:ascii="楷体" w:hAnsi="楷体" w:eastAsia="楷体" w:cs="楷体"/>
          <w:b/>
          <w:bCs/>
          <w:sz w:val="28"/>
          <w:szCs w:val="28"/>
        </w:rPr>
      </w:pPr>
      <w:r>
        <w:rPr>
          <w:rFonts w:hint="eastAsia" w:ascii="楷体" w:hAnsi="楷体" w:eastAsia="楷体" w:cs="楷体"/>
          <w:b/>
          <w:bCs/>
          <w:sz w:val="28"/>
          <w:szCs w:val="28"/>
        </w:rPr>
        <w:t>（一）基本情况</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我局共有干部职工</w:t>
      </w:r>
      <w:r>
        <w:rPr>
          <w:rFonts w:hint="eastAsia" w:ascii="仿宋" w:hAnsi="仿宋" w:eastAsia="仿宋" w:cs="仿宋"/>
          <w:sz w:val="28"/>
          <w:szCs w:val="28"/>
          <w:lang w:val="en-US" w:eastAsia="zh-CN"/>
        </w:rPr>
        <w:t>69</w:t>
      </w:r>
      <w:r>
        <w:rPr>
          <w:rFonts w:hint="eastAsia" w:ascii="仿宋" w:hAnsi="仿宋" w:eastAsia="仿宋" w:cs="仿宋"/>
          <w:sz w:val="28"/>
          <w:szCs w:val="28"/>
        </w:rPr>
        <w:t>人（在职</w:t>
      </w:r>
      <w:r>
        <w:rPr>
          <w:rFonts w:hint="eastAsia" w:ascii="仿宋" w:hAnsi="仿宋" w:eastAsia="仿宋" w:cs="仿宋"/>
          <w:sz w:val="28"/>
          <w:szCs w:val="28"/>
          <w:lang w:val="en-US" w:eastAsia="zh-CN"/>
        </w:rPr>
        <w:t>60</w:t>
      </w:r>
      <w:r>
        <w:rPr>
          <w:rFonts w:hint="eastAsia" w:ascii="仿宋" w:hAnsi="仿宋" w:eastAsia="仿宋" w:cs="仿宋"/>
          <w:sz w:val="28"/>
          <w:szCs w:val="28"/>
        </w:rPr>
        <w:t>人，离退休</w:t>
      </w:r>
      <w:r>
        <w:rPr>
          <w:rFonts w:hint="eastAsia" w:ascii="仿宋" w:hAnsi="仿宋" w:eastAsia="仿宋" w:cs="仿宋"/>
          <w:sz w:val="28"/>
          <w:szCs w:val="28"/>
          <w:lang w:val="en-US" w:eastAsia="zh-CN"/>
        </w:rPr>
        <w:t>9</w:t>
      </w:r>
      <w:r>
        <w:rPr>
          <w:rFonts w:hint="eastAsia" w:ascii="仿宋" w:hAnsi="仿宋" w:eastAsia="仿宋" w:cs="仿宋"/>
          <w:sz w:val="28"/>
          <w:szCs w:val="28"/>
        </w:rPr>
        <w:t>人）。在职人员中，行政编制</w:t>
      </w:r>
      <w:r>
        <w:rPr>
          <w:rFonts w:hint="eastAsia" w:ascii="仿宋" w:hAnsi="仿宋" w:eastAsia="仿宋" w:cs="仿宋"/>
          <w:sz w:val="28"/>
          <w:szCs w:val="28"/>
          <w:lang w:val="en-US" w:eastAsia="zh-CN"/>
        </w:rPr>
        <w:t>23</w:t>
      </w:r>
      <w:r>
        <w:rPr>
          <w:rFonts w:hint="eastAsia" w:ascii="仿宋" w:hAnsi="仿宋" w:eastAsia="仿宋" w:cs="仿宋"/>
          <w:sz w:val="28"/>
          <w:szCs w:val="28"/>
        </w:rPr>
        <w:t>名（实有2</w:t>
      </w:r>
      <w:r>
        <w:rPr>
          <w:rFonts w:hint="eastAsia" w:ascii="仿宋" w:hAnsi="仿宋" w:eastAsia="仿宋" w:cs="仿宋"/>
          <w:sz w:val="28"/>
          <w:szCs w:val="28"/>
          <w:lang w:val="en-US" w:eastAsia="zh-CN"/>
        </w:rPr>
        <w:t>6</w:t>
      </w:r>
      <w:r>
        <w:rPr>
          <w:rFonts w:hint="eastAsia" w:ascii="仿宋" w:hAnsi="仿宋" w:eastAsia="仿宋" w:cs="仿宋"/>
          <w:sz w:val="28"/>
          <w:szCs w:val="28"/>
        </w:rPr>
        <w:t>人），事业编制29名（实有30人，其中参公编19人，事业编11人），临时聘用4人。局内设办公室（信访、财务</w:t>
      </w:r>
      <w:r>
        <w:rPr>
          <w:rFonts w:hint="eastAsia" w:ascii="仿宋" w:hAnsi="仿宋" w:eastAsia="仿宋" w:cs="仿宋"/>
          <w:sz w:val="28"/>
          <w:szCs w:val="28"/>
          <w:lang w:eastAsia="zh-CN"/>
        </w:rPr>
        <w:t>、人事</w:t>
      </w:r>
      <w:r>
        <w:rPr>
          <w:rFonts w:hint="eastAsia" w:ascii="仿宋" w:hAnsi="仿宋" w:eastAsia="仿宋" w:cs="仿宋"/>
          <w:sz w:val="28"/>
          <w:szCs w:val="28"/>
        </w:rPr>
        <w:t>）、安全生产协调科、政策法规科、危险化学品安全监督管理科、烟花爆竹安全监督管理科、矿山安全监督管理科、行业安全监督管理科，7个职能科室和机关党委、</w:t>
      </w:r>
      <w:r>
        <w:rPr>
          <w:rFonts w:hint="eastAsia" w:ascii="仿宋" w:hAnsi="仿宋" w:eastAsia="仿宋" w:cs="仿宋"/>
          <w:sz w:val="28"/>
          <w:szCs w:val="28"/>
          <w:lang w:eastAsia="zh-CN"/>
        </w:rPr>
        <w:t>机关纪委</w:t>
      </w:r>
      <w:r>
        <w:rPr>
          <w:rFonts w:hint="eastAsia" w:ascii="仿宋" w:hAnsi="仿宋" w:eastAsia="仿宋" w:cs="仿宋"/>
          <w:sz w:val="28"/>
          <w:szCs w:val="28"/>
        </w:rPr>
        <w:t>。下设执法支队、应急救援指挥中心2个二级机构。</w:t>
      </w:r>
    </w:p>
    <w:p>
      <w:pPr>
        <w:keepNext w:val="0"/>
        <w:keepLines w:val="0"/>
        <w:pageBreakBefore w:val="0"/>
        <w:kinsoku/>
        <w:wordWrap/>
        <w:overflowPunct/>
        <w:topLinePunct w:val="0"/>
        <w:autoSpaceDE/>
        <w:autoSpaceDN/>
        <w:bidi w:val="0"/>
        <w:adjustRightInd/>
        <w:snapToGrid/>
        <w:spacing w:line="520" w:lineRule="exact"/>
        <w:ind w:firstLine="562" w:firstLineChars="200"/>
        <w:textAlignment w:val="auto"/>
        <w:outlineLvl w:val="9"/>
        <w:rPr>
          <w:rFonts w:hint="eastAsia" w:ascii="楷体" w:hAnsi="楷体" w:eastAsia="楷体" w:cs="楷体"/>
          <w:b/>
          <w:bCs/>
          <w:sz w:val="28"/>
          <w:szCs w:val="28"/>
        </w:rPr>
      </w:pPr>
      <w:r>
        <w:rPr>
          <w:rFonts w:hint="eastAsia" w:ascii="楷体" w:hAnsi="楷体" w:eastAsia="楷体" w:cs="楷体"/>
          <w:b/>
          <w:bCs/>
          <w:sz w:val="28"/>
          <w:szCs w:val="28"/>
        </w:rPr>
        <w:t>（二）主要职能</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1、承担市政府安全生产委员会办公室的日常工作，研究提出安全生产重大方针政策和重要措施的建议；监督检查、指导、协调市政府有关部门和各县、市、区人民政府 的安全生产工作；组织市政府安全生产大检查和专项督查；组织协调重特大事故应急救援工作；指导协调全市安全生产行政执法工作。</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2、综合管理全市安全生产工作。组织起草安全生产工作的方针、政策及规定；监督检查有关部门及工矿商贸行业贯彻落实国家安全规章规程和安全生产标准的情况。</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3、依法行使市政府安全生产综合监督管理职权，指导、协调和监督有关部门安全生产监督管理工作；制定全市安全生产发展规划；定期分析和预测全市安全生产形势，研究、协调和解决安全生产中的重大问题。</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4、负责发布全市安全生产信息，综合管理全市生产安全伤亡事故调度统计工作和安全生产行政执法分析工作，按规定上报伤亡事故情况；依法组织重大事故的调查处理 和办理结案工作，协调特大事故调查处理工作，并监督事故查处的落实情况；组织、指挥和协调安全生产应急救援工作；受国家或者省安全生产监督管理局委托，参 与或协助特别重大事故、特大事故的调查处理。</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5、负责综合监督管理危险化学品和烟花爆竹安全生产工作。</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6、指导、协调全市安全生产检测检验工作；组织实施对生产经营单位安全生产条件和有关设备（特种设备除外）、设施进行检测检验、安全评价、安全培训、安全咨询及社会中介组织资质管理工作，并进行监督检查。</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7、组织、指导全市安全生产宣传教育工作，负责安全生产监督管理人员的培训、考核工作；依法组织、指导并监督全市特种作业人员、生产经营单位主要经营管理者、安全管理人员的安全资格、考核工作；监督检查生产经营单位安全培训工作。</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8、负责监督管理市属工矿商贸企业安全生产工作，依法监督检查工矿商贸企业贯彻执行安全生产法律、法规和有关规章、规程及技术标准的情况，监督检查其安全生产 条件及有关设备（特种设备除外）材料、劳动防护用品的安全管理工作情况，依法查处其违法、违规行为和不具备安全生产条件的生产经营单位。</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9、根据《行政许可法》、《安全生产许可证条例》及有关法律、法规和国家标准或行业标准规定的安全生产条件与程序，对涉及安全生产需要审查批准（包括批准、核 准、许可、注册、认证、颁发、证照等）或验收的事项，进行审查或验收；对未依法取得批准或验收合格的单位擅自从事有关活动的，依法予以查处；对已取得批准 又不再具备安全生产条件的，依法撤销原批准。</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10、依法监督检查新建、改建、扩建工程项目可行性研究的安全评估及安全设施与主体工程同时设计、同时施工、同时投产使用（简称“三同时”）情况；依法监督检查生产经营单位作业场所职业卫生情况和重大危险源监控，重大事故隐患的整改情况。</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11、督促、指导县市区乡级安全生产监督管理部门在分管区域和职责范围内做好安全生产的监督管理工作。</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12、拟定全市安全生产发展规划和科技规划，组织、指导安全生产重大科学技术研究、科研成果鉴定和先进技术推广、示范工作。</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13、归口管理国家、省级和市级安全技术改造、安全技术措施、公共安全重大事故隐患治理等安全生产专项资金项目，并监督检查其资金的使用情况；监督检查生产经营单位安全生产所必需资金的投入及安全生产费用的提取和使用情况。</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14、协同有关部门组织实施注册安全工程师执业资格制度，监督指导注册安全工程师执业资格考试和注册工作。</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15、组织开展安全生产方面的国际交流与合作。</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outlineLvl w:val="9"/>
        <w:rPr>
          <w:sz w:val="28"/>
          <w:szCs w:val="28"/>
        </w:rPr>
      </w:pPr>
      <w:r>
        <w:rPr>
          <w:rFonts w:hint="eastAsia" w:ascii="仿宋" w:hAnsi="仿宋" w:eastAsia="仿宋" w:cs="仿宋"/>
          <w:sz w:val="28"/>
          <w:szCs w:val="28"/>
        </w:rPr>
        <w:t>16、承办市委、市政府和市政府安全生产委员会及上级主管部门交办的其他事项。</w:t>
      </w:r>
    </w:p>
    <w:p>
      <w:pPr>
        <w:pStyle w:val="2"/>
        <w:keepNext w:val="0"/>
        <w:keepLines w:val="0"/>
        <w:pageBreakBefore w:val="0"/>
        <w:widowControl/>
        <w:numPr>
          <w:ilvl w:val="0"/>
          <w:numId w:val="1"/>
        </w:numPr>
        <w:suppressLineNumbers w:val="0"/>
        <w:pBdr>
          <w:bottom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both"/>
        <w:textAlignment w:val="auto"/>
        <w:outlineLvl w:val="9"/>
        <w:rPr>
          <w:rFonts w:hint="eastAsia" w:ascii="楷体" w:hAnsi="楷体" w:eastAsia="楷体" w:cs="楷体"/>
          <w:b/>
          <w:bCs/>
          <w:sz w:val="28"/>
          <w:szCs w:val="28"/>
        </w:rPr>
      </w:pPr>
      <w:r>
        <w:rPr>
          <w:rFonts w:hint="eastAsia" w:ascii="楷体" w:hAnsi="楷体" w:eastAsia="楷体" w:cs="楷体"/>
          <w:b/>
          <w:bCs/>
          <w:sz w:val="28"/>
          <w:szCs w:val="28"/>
        </w:rPr>
        <w:t>部门整体</w:t>
      </w:r>
      <w:r>
        <w:rPr>
          <w:rFonts w:hint="eastAsia" w:ascii="楷体" w:hAnsi="楷体" w:eastAsia="楷体" w:cs="楷体"/>
          <w:b/>
          <w:bCs/>
          <w:sz w:val="28"/>
          <w:szCs w:val="28"/>
          <w:lang w:eastAsia="zh-CN"/>
        </w:rPr>
        <w:t>收</w:t>
      </w:r>
      <w:r>
        <w:rPr>
          <w:rFonts w:hint="eastAsia" w:ascii="楷体" w:hAnsi="楷体" w:eastAsia="楷体" w:cs="楷体"/>
          <w:b/>
          <w:bCs/>
          <w:sz w:val="28"/>
          <w:szCs w:val="28"/>
        </w:rPr>
        <w:t>支概况</w:t>
      </w:r>
    </w:p>
    <w:p>
      <w:pPr>
        <w:keepNext w:val="0"/>
        <w:keepLines w:val="0"/>
        <w:pageBreakBefore w:val="0"/>
        <w:numPr>
          <w:ilvl w:val="0"/>
          <w:numId w:val="2"/>
        </w:numPr>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收入构成。2017年，收入共计1</w:t>
      </w:r>
      <w:r>
        <w:rPr>
          <w:rFonts w:hint="eastAsia" w:ascii="仿宋" w:hAnsi="仿宋" w:eastAsia="仿宋" w:cs="仿宋"/>
          <w:sz w:val="28"/>
          <w:szCs w:val="28"/>
          <w:lang w:val="en-US" w:eastAsia="zh-CN"/>
        </w:rPr>
        <w:t>366.88</w:t>
      </w:r>
      <w:r>
        <w:rPr>
          <w:rFonts w:hint="eastAsia" w:ascii="仿宋" w:hAnsi="仿宋" w:eastAsia="仿宋" w:cs="仿宋"/>
          <w:sz w:val="28"/>
          <w:szCs w:val="28"/>
        </w:rPr>
        <w:t>万元，包括上年结转结余167.96万元</w:t>
      </w:r>
      <w:r>
        <w:rPr>
          <w:rFonts w:hint="eastAsia" w:ascii="仿宋" w:hAnsi="仿宋" w:eastAsia="仿宋" w:cs="仿宋"/>
          <w:sz w:val="28"/>
          <w:szCs w:val="28"/>
          <w:lang w:val="en-US" w:eastAsia="zh-CN"/>
        </w:rPr>
        <w:t>和</w:t>
      </w:r>
      <w:r>
        <w:rPr>
          <w:rFonts w:hint="eastAsia" w:ascii="仿宋" w:hAnsi="仿宋" w:eastAsia="仿宋" w:cs="仿宋"/>
          <w:sz w:val="28"/>
          <w:szCs w:val="28"/>
        </w:rPr>
        <w:t>当年收入11</w:t>
      </w:r>
      <w:r>
        <w:rPr>
          <w:rFonts w:hint="eastAsia" w:ascii="仿宋" w:hAnsi="仿宋" w:eastAsia="仿宋" w:cs="仿宋"/>
          <w:sz w:val="28"/>
          <w:szCs w:val="28"/>
          <w:lang w:val="en-US" w:eastAsia="zh-CN"/>
        </w:rPr>
        <w:t>98.92</w:t>
      </w:r>
      <w:r>
        <w:rPr>
          <w:rFonts w:hint="eastAsia" w:ascii="仿宋" w:hAnsi="仿宋" w:eastAsia="仿宋" w:cs="仿宋"/>
          <w:sz w:val="28"/>
          <w:szCs w:val="28"/>
        </w:rPr>
        <w:t>万元（财政拨款收入1165.33万元，其他收入33.59万元）。</w:t>
      </w:r>
    </w:p>
    <w:tbl>
      <w:tblPr>
        <w:tblStyle w:val="10"/>
        <w:tblpPr w:leftFromText="180" w:rightFromText="180" w:vertAnchor="text" w:horzAnchor="page" w:tblpX="1918" w:tblpY="533"/>
        <w:tblOverlap w:val="never"/>
        <w:tblW w:w="842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2515"/>
        <w:gridCol w:w="1967"/>
        <w:gridCol w:w="1971"/>
        <w:gridCol w:w="196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rPr>
          <w:trHeight w:val="180"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b/>
                <w:bCs/>
              </w:rPr>
            </w:pPr>
            <w:r>
              <w:rPr>
                <w:rFonts w:hint="eastAsia"/>
                <w:b/>
                <w:bCs/>
              </w:rPr>
              <w:t>项目</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b/>
                <w:bCs/>
              </w:rPr>
            </w:pPr>
            <w:r>
              <w:rPr>
                <w:rFonts w:hint="eastAsia"/>
                <w:b/>
                <w:bCs/>
              </w:rPr>
              <w:t>年初预算数</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b/>
                <w:bCs/>
              </w:rPr>
            </w:pPr>
            <w:r>
              <w:rPr>
                <w:rFonts w:hint="eastAsia"/>
                <w:b/>
                <w:bCs/>
              </w:rPr>
              <w:t>调整预算数</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b/>
                <w:bCs/>
              </w:rPr>
            </w:pPr>
            <w:r>
              <w:rPr>
                <w:rFonts w:hint="eastAsia"/>
                <w:b/>
                <w:bCs/>
              </w:rPr>
              <w:t>决算数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80"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rPr>
                <w:color w:val="FF0000"/>
              </w:rPr>
            </w:pPr>
            <w:r>
              <w:rPr>
                <w:rFonts w:hint="eastAsia"/>
                <w:color w:val="FF0000"/>
              </w:rPr>
              <w:t>一、财政拨款收入</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6,325,700.00</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11,653,320.00</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11,653,320.00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80"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rPr>
                <w:color w:val="FF0000"/>
              </w:rPr>
            </w:pPr>
            <w:r>
              <w:rPr>
                <w:rFonts w:hint="eastAsia"/>
                <w:color w:val="FF0000"/>
                <w:lang w:eastAsia="zh-CN"/>
              </w:rPr>
              <w:t>二</w:t>
            </w:r>
            <w:r>
              <w:rPr>
                <w:rFonts w:hint="eastAsia"/>
                <w:color w:val="FF0000"/>
              </w:rPr>
              <w:t>、其他收入</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0.00</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335,910.42</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335,910.42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80"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b/>
                <w:bCs/>
              </w:rPr>
            </w:pPr>
            <w:r>
              <w:rPr>
                <w:rFonts w:hint="eastAsia"/>
                <w:b/>
                <w:bCs/>
              </w:rPr>
              <w:t>本年收入合计</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6,325,700.00</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11,989,230.42</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11,989,230.42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80"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rPr>
                <w:color w:val="FF0000"/>
              </w:rPr>
            </w:pPr>
            <w:r>
              <w:rPr>
                <w:rFonts w:hint="eastAsia"/>
                <w:color w:val="FF0000"/>
              </w:rPr>
              <w:t>年初结转和结余</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1,679,557.92</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1,679,557.92</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1,679,557.92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80"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rPr>
                <w:color w:val="FF0000"/>
              </w:rPr>
            </w:pPr>
            <w:r>
              <w:rPr>
                <w:rFonts w:hint="eastAsia"/>
                <w:color w:val="FF0000"/>
              </w:rPr>
              <w:t>基本支出结转</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0.00</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0.00</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1,398,125.36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80"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rPr>
                <w:color w:val="FF0000"/>
              </w:rPr>
            </w:pPr>
            <w:r>
              <w:rPr>
                <w:rFonts w:hint="eastAsia"/>
                <w:color w:val="FF0000"/>
              </w:rPr>
              <w:t>项目支出结转和结余</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0.00</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0.00</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281,432.56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b/>
                <w:bCs/>
              </w:rPr>
              <w:t>总</w:t>
            </w:r>
            <w:r>
              <w:rPr>
                <w:rFonts w:hint="eastAsia"/>
                <w:b/>
                <w:bCs/>
                <w:lang w:val="en-US" w:eastAsia="zh-CN"/>
              </w:rPr>
              <w:t xml:space="preserve">  </w:t>
            </w:r>
            <w:r>
              <w:rPr>
                <w:rFonts w:hint="eastAsia"/>
                <w:b/>
                <w:bCs/>
              </w:rPr>
              <w:t>计</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8,005,257.92</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13,668,788.34</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13,668,788.34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支出构成和预算完成率。2017年，支出共计</w:t>
      </w:r>
      <w:r>
        <w:rPr>
          <w:rFonts w:hint="eastAsia" w:ascii="仿宋" w:hAnsi="仿宋" w:eastAsia="仿宋" w:cs="仿宋"/>
          <w:sz w:val="28"/>
          <w:szCs w:val="28"/>
          <w:lang w:val="en-US" w:eastAsia="zh-CN"/>
        </w:rPr>
        <w:t>1364.99</w:t>
      </w:r>
      <w:r>
        <w:rPr>
          <w:rFonts w:hint="eastAsia" w:ascii="仿宋" w:hAnsi="仿宋" w:eastAsia="仿宋" w:cs="仿宋"/>
          <w:sz w:val="28"/>
          <w:szCs w:val="28"/>
        </w:rPr>
        <w:t>万元，</w:t>
      </w:r>
      <w:r>
        <w:rPr>
          <w:rFonts w:hint="eastAsia" w:ascii="仿宋" w:hAnsi="仿宋" w:eastAsia="仿宋" w:cs="仿宋"/>
          <w:sz w:val="28"/>
          <w:szCs w:val="28"/>
          <w:lang w:eastAsia="zh-CN"/>
        </w:rPr>
        <w:t>预算完成率为</w:t>
      </w:r>
      <w:r>
        <w:rPr>
          <w:rFonts w:hint="eastAsia" w:ascii="仿宋" w:hAnsi="仿宋" w:eastAsia="仿宋" w:cs="仿宋"/>
          <w:sz w:val="28"/>
          <w:szCs w:val="28"/>
          <w:lang w:val="en-US" w:eastAsia="zh-CN"/>
        </w:rPr>
        <w:t>99.86%。</w:t>
      </w:r>
    </w:p>
    <w:tbl>
      <w:tblPr>
        <w:tblStyle w:val="10"/>
        <w:tblpPr w:leftFromText="180" w:rightFromText="180" w:vertAnchor="text" w:horzAnchor="page" w:tblpX="1918" w:tblpY="533"/>
        <w:tblOverlap w:val="never"/>
        <w:tblW w:w="842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2515"/>
        <w:gridCol w:w="1967"/>
        <w:gridCol w:w="1971"/>
        <w:gridCol w:w="196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rPr>
          <w:trHeight w:val="665"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b/>
                <w:bCs/>
              </w:rPr>
            </w:pPr>
            <w:r>
              <w:rPr>
                <w:rFonts w:hint="eastAsia"/>
                <w:b/>
                <w:bCs/>
              </w:rPr>
              <w:t>项目(按功能分类)</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b/>
                <w:bCs/>
              </w:rPr>
            </w:pPr>
            <w:r>
              <w:rPr>
                <w:rFonts w:hint="eastAsia"/>
                <w:b/>
                <w:bCs/>
              </w:rPr>
              <w:t>年初预算数</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b/>
                <w:bCs/>
              </w:rPr>
            </w:pPr>
            <w:r>
              <w:rPr>
                <w:rFonts w:hint="eastAsia"/>
                <w:b/>
                <w:bCs/>
              </w:rPr>
              <w:t>调整预算数</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b/>
                <w:bCs/>
              </w:rPr>
            </w:pPr>
            <w:r>
              <w:rPr>
                <w:rFonts w:hint="eastAsia"/>
                <w:b/>
                <w:bCs/>
              </w:rPr>
              <w:t>决算数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80"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rPr>
                <w:color w:val="FF0000"/>
              </w:rPr>
            </w:pPr>
            <w:r>
              <w:rPr>
                <w:rFonts w:hint="eastAsia"/>
                <w:color w:val="FF0000"/>
                <w:lang w:eastAsia="zh-CN"/>
              </w:rPr>
              <w:t>一、</w:t>
            </w:r>
            <w:r>
              <w:rPr>
                <w:rFonts w:hint="eastAsia"/>
                <w:color w:val="FF0000"/>
              </w:rPr>
              <w:t>社会保障和就业支出</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500,000.00</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712,520.00</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712,520.00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80"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rPr>
                <w:color w:val="FF0000"/>
              </w:rPr>
            </w:pPr>
            <w:r>
              <w:rPr>
                <w:rFonts w:hint="eastAsia"/>
                <w:color w:val="FF0000"/>
                <w:lang w:eastAsia="zh-CN"/>
              </w:rPr>
              <w:t>二、</w:t>
            </w:r>
            <w:r>
              <w:rPr>
                <w:rFonts w:hint="eastAsia"/>
                <w:color w:val="FF0000"/>
              </w:rPr>
              <w:t>农林水支出</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1,000,000.00</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1,670,000.00</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1,670,000.00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80"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rPr>
                <w:b/>
                <w:bCs/>
                <w:color w:val="FF0000"/>
              </w:rPr>
            </w:pPr>
            <w:r>
              <w:rPr>
                <w:rFonts w:hint="eastAsia"/>
                <w:color w:val="FF0000"/>
                <w:lang w:eastAsia="zh-CN"/>
              </w:rPr>
              <w:t>三、</w:t>
            </w:r>
            <w:r>
              <w:rPr>
                <w:rFonts w:hint="eastAsia"/>
                <w:color w:val="FF0000"/>
              </w:rPr>
              <w:t>资源勘探信息等支出</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4,825,700.00</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11,267,427.42</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11,267,427.42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43"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b/>
                <w:bCs/>
              </w:rPr>
            </w:pPr>
            <w:r>
              <w:rPr>
                <w:rFonts w:hint="eastAsia"/>
                <w:b/>
                <w:bCs/>
              </w:rPr>
              <w:t>项目(按支出性质)</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b/>
                <w:bCs/>
              </w:rPr>
              <w:t>年初预算数</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b/>
                <w:bCs/>
              </w:rPr>
              <w:t>调整预算数</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b/>
                <w:bCs/>
              </w:rPr>
              <w:t>决算数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80"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color w:val="FF0000"/>
              </w:rPr>
              <w:t>一、基本支出</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4,325,700.00</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8,155,346.96</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8,155,346.96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人员经费</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3,325,700.00</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6,521,462.80</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6,521,462.80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日常公用经费</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1,000,000.00</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1,633,884.16</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1,633,884.16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color w:val="FF0000"/>
              </w:rPr>
              <w:t>二、项目支出</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2,000,000.00</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5,494,600.46</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5,494,600.46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行政事业类项目</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2,000,000.00</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5,494,600.46</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5,494,600.46</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79"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b/>
                <w:bCs/>
              </w:rPr>
            </w:pPr>
            <w:r>
              <w:rPr>
                <w:rFonts w:hint="eastAsia"/>
                <w:b/>
                <w:bCs/>
              </w:rPr>
              <w:t>项目(按支出</w:t>
            </w:r>
            <w:r>
              <w:rPr>
                <w:rFonts w:hint="eastAsia"/>
                <w:b/>
                <w:bCs/>
                <w:lang w:eastAsia="zh-CN"/>
              </w:rPr>
              <w:t>经济</w:t>
            </w:r>
            <w:r>
              <w:rPr>
                <w:rFonts w:hint="eastAsia"/>
                <w:b/>
                <w:bCs/>
              </w:rPr>
              <w:t>)</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b/>
                <w:bCs/>
              </w:rPr>
              <w:t>年初预算数</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b/>
                <w:bCs/>
              </w:rPr>
              <w:t>调整预算数</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b/>
                <w:bCs/>
              </w:rPr>
              <w:t>决算数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rPr>
                <w:color w:val="FF0000"/>
              </w:rPr>
            </w:pPr>
            <w:r>
              <w:rPr>
                <w:rFonts w:hint="eastAsia"/>
                <w:color w:val="FF0000"/>
              </w:rPr>
              <w:t>工资福利支出</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6,146,941.32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rPr>
                <w:color w:val="FF0000"/>
              </w:rPr>
            </w:pPr>
            <w:r>
              <w:rPr>
                <w:rFonts w:hint="eastAsia"/>
                <w:color w:val="FF0000"/>
              </w:rPr>
              <w:t>商品和服务支出</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4,039,799.18</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rPr>
                <w:color w:val="FF0000"/>
              </w:rPr>
            </w:pPr>
            <w:r>
              <w:rPr>
                <w:rFonts w:hint="eastAsia"/>
                <w:color w:val="FF0000"/>
              </w:rPr>
              <w:t>对个人和家庭的补助</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989,676.92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rPr>
                <w:color w:val="FF0000"/>
              </w:rPr>
            </w:pPr>
            <w:r>
              <w:rPr>
                <w:rFonts w:hint="eastAsia"/>
                <w:color w:val="FF0000"/>
              </w:rPr>
              <w:t>对企事业单位的补贴</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2,140,000.00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rPr>
                <w:color w:val="FF0000"/>
              </w:rPr>
            </w:pPr>
            <w:r>
              <w:rPr>
                <w:rFonts w:hint="eastAsia"/>
                <w:color w:val="FF0000"/>
              </w:rPr>
              <w:t>其他资本性支出</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pPr>
            <w:r>
              <w:rPr>
                <w:rFonts w:hint="eastAsia"/>
              </w:rPr>
              <w:t>333,530.00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251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rPr>
                <w:rFonts w:hint="eastAsia"/>
              </w:rPr>
            </w:pPr>
            <w:r>
              <w:rPr>
                <w:rFonts w:hint="eastAsia"/>
                <w:b/>
                <w:bCs/>
              </w:rPr>
              <w:t>本年支出合计</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rPr>
                <w:rFonts w:hint="eastAsia"/>
              </w:rPr>
            </w:pPr>
            <w:r>
              <w:rPr>
                <w:rFonts w:hint="eastAsia"/>
              </w:rPr>
              <w:t>6,325,700.00</w:t>
            </w:r>
          </w:p>
        </w:tc>
        <w:tc>
          <w:tcPr>
            <w:tcW w:w="1971"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rPr>
                <w:rFonts w:hint="eastAsia"/>
              </w:rPr>
            </w:pPr>
            <w:r>
              <w:rPr>
                <w:rFonts w:hint="eastAsia"/>
              </w:rPr>
              <w:t>13,649,947.42</w:t>
            </w:r>
          </w:p>
        </w:tc>
        <w:tc>
          <w:tcPr>
            <w:tcW w:w="1967"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both"/>
              <w:rPr>
                <w:rFonts w:hint="eastAsia"/>
              </w:rPr>
            </w:pPr>
            <w:r>
              <w:rPr>
                <w:rFonts w:hint="eastAsia"/>
              </w:rPr>
              <w:t>13,649,947.42</w:t>
            </w:r>
          </w:p>
        </w:tc>
      </w:tr>
    </w:tbl>
    <w:p>
      <w:pPr>
        <w:numPr>
          <w:ilvl w:val="0"/>
          <w:numId w:val="0"/>
        </w:numPr>
        <w:ind w:leftChars="200"/>
        <w:rPr>
          <w:rFonts w:hint="eastAsia" w:ascii="仿宋" w:hAnsi="仿宋" w:eastAsia="仿宋" w:cs="仿宋"/>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结转结余。2017年末，我局结转结余共计</w:t>
      </w:r>
      <w:r>
        <w:rPr>
          <w:rFonts w:hint="eastAsia" w:ascii="仿宋" w:hAnsi="仿宋" w:eastAsia="仿宋" w:cs="仿宋"/>
          <w:sz w:val="28"/>
          <w:szCs w:val="28"/>
          <w:lang w:val="en-US" w:eastAsia="zh-CN"/>
        </w:rPr>
        <w:t>1.88</w:t>
      </w:r>
      <w:r>
        <w:rPr>
          <w:rFonts w:hint="eastAsia" w:ascii="仿宋" w:hAnsi="仿宋" w:eastAsia="仿宋" w:cs="仿宋"/>
          <w:sz w:val="28"/>
          <w:szCs w:val="28"/>
        </w:rPr>
        <w:t>万元，</w:t>
      </w:r>
      <w:r>
        <w:rPr>
          <w:rFonts w:hint="eastAsia" w:ascii="仿宋" w:hAnsi="仿宋" w:eastAsia="仿宋" w:cs="仿宋"/>
          <w:sz w:val="28"/>
          <w:szCs w:val="28"/>
          <w:lang w:eastAsia="zh-CN"/>
        </w:rPr>
        <w:t>全部属于</w:t>
      </w:r>
      <w:r>
        <w:rPr>
          <w:rFonts w:hint="eastAsia" w:ascii="仿宋" w:hAnsi="仿宋" w:eastAsia="仿宋" w:cs="仿宋"/>
          <w:sz w:val="28"/>
          <w:szCs w:val="28"/>
        </w:rPr>
        <w:t>基本支出结转。</w:t>
      </w:r>
    </w:p>
    <w:tbl>
      <w:tblPr>
        <w:tblStyle w:val="10"/>
        <w:tblpPr w:leftFromText="180" w:rightFromText="180" w:vertAnchor="text" w:horzAnchor="page" w:tblpX="1918" w:tblpY="533"/>
        <w:tblOverlap w:val="never"/>
        <w:tblW w:w="8367"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1705"/>
        <w:gridCol w:w="1334"/>
        <w:gridCol w:w="1336"/>
        <w:gridCol w:w="1334"/>
        <w:gridCol w:w="1329"/>
        <w:gridCol w:w="132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rPr>
          <w:trHeight w:val="583" w:hRule="atLeast"/>
        </w:trPr>
        <w:tc>
          <w:tcPr>
            <w:tcW w:w="170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b/>
                <w:bCs/>
              </w:rPr>
            </w:pPr>
            <w:r>
              <w:rPr>
                <w:rFonts w:hint="eastAsia"/>
                <w:b/>
                <w:bCs/>
              </w:rPr>
              <w:t>科目名称</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b/>
                <w:bCs/>
              </w:rPr>
            </w:pPr>
            <w:r>
              <w:rPr>
                <w:rFonts w:hint="eastAsia"/>
                <w:b/>
                <w:bCs/>
              </w:rPr>
              <w:t>基本支出</w:t>
            </w:r>
            <w:r>
              <w:rPr>
                <w:rFonts w:hint="eastAsia"/>
                <w:b/>
                <w:bCs/>
                <w:lang w:val="en-US" w:eastAsia="zh-CN"/>
              </w:rPr>
              <w:t xml:space="preserve">  </w:t>
            </w:r>
            <w:r>
              <w:rPr>
                <w:rFonts w:hint="eastAsia"/>
                <w:b/>
                <w:bCs/>
              </w:rPr>
              <w:t>结转</w:t>
            </w:r>
          </w:p>
        </w:tc>
        <w:tc>
          <w:tcPr>
            <w:tcW w:w="1336"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b/>
                <w:bCs/>
              </w:rPr>
            </w:pPr>
            <w:r>
              <w:rPr>
                <w:rFonts w:hint="eastAsia"/>
                <w:b/>
                <w:bCs/>
              </w:rPr>
              <w:t>项目支出结转和结余</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b/>
                <w:bCs/>
              </w:rPr>
            </w:pPr>
            <w:r>
              <w:rPr>
                <w:rFonts w:hint="eastAsia"/>
                <w:b/>
                <w:bCs/>
              </w:rPr>
              <w:t>本年收入</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b/>
                <w:bCs/>
              </w:rPr>
            </w:pPr>
            <w:r>
              <w:rPr>
                <w:rFonts w:hint="eastAsia"/>
                <w:b/>
                <w:bCs/>
              </w:rPr>
              <w:t>本年支出</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b/>
                <w:bCs/>
              </w:rPr>
            </w:pPr>
            <w:r>
              <w:rPr>
                <w:rFonts w:hint="eastAsia"/>
                <w:b/>
                <w:bCs/>
              </w:rPr>
              <w:t>基本支出</w:t>
            </w:r>
            <w:r>
              <w:rPr>
                <w:rFonts w:hint="eastAsia"/>
                <w:b/>
                <w:bCs/>
                <w:lang w:val="en-US" w:eastAsia="zh-CN"/>
              </w:rPr>
              <w:t xml:space="preserve">  </w:t>
            </w:r>
            <w:r>
              <w:rPr>
                <w:rFonts w:hint="eastAsia"/>
                <w:b/>
                <w:bCs/>
              </w:rPr>
              <w:t>结转</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80" w:hRule="atLeast"/>
        </w:trPr>
        <w:tc>
          <w:tcPr>
            <w:tcW w:w="170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left"/>
              <w:rPr>
                <w:sz w:val="15"/>
                <w:szCs w:val="15"/>
              </w:rPr>
            </w:pPr>
            <w:r>
              <w:rPr>
                <w:rFonts w:hint="eastAsia"/>
                <w:color w:val="FF0000"/>
                <w:sz w:val="15"/>
                <w:szCs w:val="15"/>
              </w:rPr>
              <w:t>社会保障和就业支出</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6"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712,520.00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712,520.00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18,840.92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80" w:hRule="atLeast"/>
        </w:trPr>
        <w:tc>
          <w:tcPr>
            <w:tcW w:w="170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left"/>
              <w:rPr>
                <w:sz w:val="15"/>
                <w:szCs w:val="15"/>
              </w:rPr>
            </w:pPr>
            <w:r>
              <w:rPr>
                <w:rFonts w:hint="eastAsia"/>
                <w:b w:val="0"/>
                <w:bCs w:val="0"/>
                <w:color w:val="FF0000"/>
                <w:sz w:val="15"/>
                <w:szCs w:val="15"/>
              </w:rPr>
              <w:t>行政事业单位离退休</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6"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707,000.00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707,000.00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80" w:hRule="atLeast"/>
        </w:trPr>
        <w:tc>
          <w:tcPr>
            <w:tcW w:w="170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ind w:firstLine="300" w:firstLineChars="200"/>
              <w:jc w:val="left"/>
              <w:rPr>
                <w:b/>
                <w:bCs/>
                <w:sz w:val="15"/>
                <w:szCs w:val="15"/>
              </w:rPr>
            </w:pPr>
            <w:r>
              <w:rPr>
                <w:rFonts w:hint="eastAsia"/>
                <w:sz w:val="15"/>
                <w:szCs w:val="15"/>
              </w:rPr>
              <w:t>机关事业单位基本养老保险缴费支出</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6"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707,000.00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707,000.00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80" w:hRule="atLeast"/>
        </w:trPr>
        <w:tc>
          <w:tcPr>
            <w:tcW w:w="170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left"/>
              <w:rPr>
                <w:b/>
                <w:bCs/>
                <w:sz w:val="15"/>
                <w:szCs w:val="15"/>
              </w:rPr>
            </w:pPr>
            <w:r>
              <w:rPr>
                <w:rFonts w:hint="eastAsia"/>
                <w:b w:val="0"/>
                <w:bCs w:val="0"/>
                <w:color w:val="FF0000"/>
                <w:sz w:val="15"/>
                <w:szCs w:val="15"/>
              </w:rPr>
              <w:t>抚恤</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6"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5,520.00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b/>
                <w:bCs/>
              </w:rPr>
            </w:pPr>
            <w:r>
              <w:rPr>
                <w:rFonts w:hint="eastAsia"/>
              </w:rPr>
              <w:t>5,520.00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b/>
                <w:bCs/>
              </w:rPr>
            </w:pPr>
            <w:r>
              <w:rPr>
                <w:rFonts w:hint="eastAsia"/>
              </w:rPr>
              <w:t>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80" w:hRule="atLeast"/>
        </w:trPr>
        <w:tc>
          <w:tcPr>
            <w:tcW w:w="170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sz w:val="15"/>
                <w:szCs w:val="15"/>
              </w:rPr>
            </w:pPr>
            <w:r>
              <w:rPr>
                <w:rFonts w:hint="eastAsia"/>
                <w:sz w:val="15"/>
                <w:szCs w:val="15"/>
              </w:rPr>
              <w:t>其他优抚支出</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6"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5,520.00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5,520.00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170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left"/>
              <w:rPr>
                <w:sz w:val="15"/>
                <w:szCs w:val="15"/>
              </w:rPr>
            </w:pPr>
            <w:r>
              <w:rPr>
                <w:rFonts w:hint="eastAsia"/>
                <w:b w:val="0"/>
                <w:bCs w:val="0"/>
                <w:color w:val="FF0000"/>
                <w:sz w:val="15"/>
                <w:szCs w:val="15"/>
              </w:rPr>
              <w:t>农林水支出</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6"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1,670,000.00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1,670,000.00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170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sz w:val="15"/>
                <w:szCs w:val="15"/>
              </w:rPr>
            </w:pPr>
            <w:r>
              <w:rPr>
                <w:rFonts w:hint="eastAsia"/>
                <w:sz w:val="15"/>
                <w:szCs w:val="15"/>
              </w:rPr>
              <w:t>其他农林水支出</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6"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1,670,000.00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1,670,000.00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170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sz w:val="15"/>
                <w:szCs w:val="15"/>
              </w:rPr>
            </w:pPr>
            <w:r>
              <w:rPr>
                <w:rFonts w:hint="eastAsia"/>
                <w:sz w:val="15"/>
                <w:szCs w:val="15"/>
              </w:rPr>
              <w:t>其他农林水支出</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6"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1,670,000.00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1,670,000.00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170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left"/>
              <w:rPr>
                <w:sz w:val="15"/>
                <w:szCs w:val="15"/>
              </w:rPr>
            </w:pPr>
            <w:r>
              <w:rPr>
                <w:rFonts w:hint="eastAsia"/>
                <w:b w:val="0"/>
                <w:bCs w:val="0"/>
                <w:color w:val="FF0000"/>
                <w:sz w:val="15"/>
                <w:szCs w:val="15"/>
              </w:rPr>
              <w:t>资源勘探信息等支出</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1,398,125.36</w:t>
            </w:r>
          </w:p>
        </w:tc>
        <w:tc>
          <w:tcPr>
            <w:tcW w:w="1336"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281,432.56</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9,606,710.42</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11,267,427.42</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170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left"/>
              <w:rPr>
                <w:b/>
                <w:bCs/>
                <w:sz w:val="15"/>
                <w:szCs w:val="15"/>
              </w:rPr>
            </w:pPr>
            <w:r>
              <w:rPr>
                <w:rFonts w:hint="eastAsia"/>
                <w:color w:val="FF0000"/>
                <w:sz w:val="15"/>
                <w:szCs w:val="15"/>
              </w:rPr>
              <w:t>安全生产监管</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1,398,125.36</w:t>
            </w:r>
          </w:p>
        </w:tc>
        <w:tc>
          <w:tcPr>
            <w:tcW w:w="1336"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281,432.56</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9,606,710.42</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b/>
                <w:bCs/>
              </w:rPr>
            </w:pPr>
            <w:r>
              <w:rPr>
                <w:rFonts w:hint="eastAsia"/>
              </w:rPr>
              <w:t>11,267,427.42</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b/>
                <w:bCs/>
              </w:rPr>
            </w:pPr>
            <w:r>
              <w:rPr>
                <w:rFonts w:hint="eastAsia"/>
              </w:rPr>
              <w:t>18,840.92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170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ind w:firstLine="300" w:firstLineChars="200"/>
              <w:jc w:val="left"/>
              <w:rPr>
                <w:sz w:val="15"/>
                <w:szCs w:val="15"/>
              </w:rPr>
            </w:pPr>
            <w:r>
              <w:rPr>
                <w:rFonts w:hint="eastAsia"/>
                <w:sz w:val="15"/>
                <w:szCs w:val="15"/>
              </w:rPr>
              <w:t>行政运行</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1,261,511.81</w:t>
            </w:r>
          </w:p>
        </w:tc>
        <w:tc>
          <w:tcPr>
            <w:tcW w:w="1336"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4,578,900.00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5,821,570.89</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18,840.92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170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ind w:firstLine="300" w:firstLineChars="200"/>
              <w:jc w:val="left"/>
              <w:rPr>
                <w:sz w:val="15"/>
                <w:szCs w:val="15"/>
              </w:rPr>
            </w:pPr>
            <w:r>
              <w:rPr>
                <w:rFonts w:hint="eastAsia"/>
                <w:sz w:val="15"/>
                <w:szCs w:val="15"/>
              </w:rPr>
              <w:t>机关服务</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136,613.55</w:t>
            </w:r>
          </w:p>
        </w:tc>
        <w:tc>
          <w:tcPr>
            <w:tcW w:w="1336"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335,910.42</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472,523.97</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18,840.92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170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ind w:firstLine="300" w:firstLineChars="200"/>
              <w:jc w:val="left"/>
              <w:rPr>
                <w:sz w:val="15"/>
                <w:szCs w:val="15"/>
              </w:rPr>
            </w:pPr>
            <w:r>
              <w:rPr>
                <w:rFonts w:hint="eastAsia"/>
                <w:sz w:val="15"/>
                <w:szCs w:val="15"/>
              </w:rPr>
              <w:t>安全监管监察专项</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6"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2,800,000.00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2,800,000.00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170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ind w:firstLine="300" w:firstLineChars="200"/>
              <w:jc w:val="left"/>
              <w:rPr>
                <w:sz w:val="15"/>
                <w:szCs w:val="15"/>
              </w:rPr>
            </w:pPr>
            <w:r>
              <w:rPr>
                <w:rFonts w:hint="eastAsia"/>
                <w:sz w:val="15"/>
                <w:szCs w:val="15"/>
              </w:rPr>
              <w:t>应急救援支出</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6"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281,432.56</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281,432.56</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96" w:hRule="atLeast"/>
        </w:trPr>
        <w:tc>
          <w:tcPr>
            <w:tcW w:w="1705"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ind w:firstLine="300" w:firstLineChars="200"/>
              <w:jc w:val="left"/>
              <w:rPr>
                <w:sz w:val="15"/>
                <w:szCs w:val="15"/>
              </w:rPr>
            </w:pPr>
            <w:r>
              <w:rPr>
                <w:rFonts w:hint="eastAsia"/>
                <w:sz w:val="15"/>
                <w:szCs w:val="15"/>
              </w:rPr>
              <w:t>其他安全生产监管</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6"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0.00</w:t>
            </w:r>
          </w:p>
        </w:tc>
        <w:tc>
          <w:tcPr>
            <w:tcW w:w="1334"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pPr>
            <w:r>
              <w:rPr>
                <w:rFonts w:hint="eastAsia"/>
              </w:rPr>
              <w:t>1,891,900.00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1,891,900.00</w:t>
            </w:r>
          </w:p>
        </w:tc>
        <w:tc>
          <w:tcPr>
            <w:tcW w:w="1329" w:type="dxa"/>
            <w:tcBorders>
              <w:top w:val="outset" w:color="000000" w:sz="6" w:space="0"/>
              <w:left w:val="outset" w:color="000000" w:sz="6" w:space="0"/>
              <w:bottom w:val="outset" w:color="000000" w:sz="6" w:space="0"/>
              <w:right w:val="outset" w:color="000000" w:sz="6" w:space="0"/>
            </w:tcBorders>
            <w:shd w:val="clear" w:color="auto" w:fill="auto"/>
            <w:tcMar>
              <w:left w:w="75" w:type="dxa"/>
            </w:tcMar>
            <w:vAlign w:val="center"/>
          </w:tcPr>
          <w:p>
            <w:pPr>
              <w:keepNext w:val="0"/>
              <w:keepLines w:val="0"/>
              <w:widowControl/>
              <w:suppressLineNumbers w:val="0"/>
              <w:pBdr>
                <w:bottom w:val="none" w:color="auto" w:sz="0" w:space="0"/>
              </w:pBdr>
              <w:spacing w:before="0" w:beforeAutospacing="0" w:after="0" w:afterAutospacing="0" w:line="33" w:lineRule="atLeast"/>
              <w:jc w:val="center"/>
              <w:rPr>
                <w:rFonts w:hint="eastAsia"/>
              </w:rPr>
            </w:pPr>
            <w:r>
              <w:rPr>
                <w:rFonts w:hint="eastAsia"/>
              </w:rPr>
              <w:t>0.00</w:t>
            </w:r>
          </w:p>
        </w:tc>
      </w:tr>
    </w:tbl>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楷体" w:hAnsi="楷体" w:eastAsia="楷体" w:cs="楷体"/>
          <w:b/>
          <w:bCs/>
          <w:sz w:val="28"/>
          <w:szCs w:val="28"/>
        </w:rPr>
      </w:pPr>
      <w:r>
        <w:rPr>
          <w:rFonts w:hint="eastAsia" w:ascii="楷体" w:hAnsi="楷体" w:eastAsia="楷体" w:cs="楷体"/>
          <w:b/>
          <w:bCs/>
          <w:sz w:val="28"/>
          <w:szCs w:val="28"/>
        </w:rPr>
        <w:t>（</w:t>
      </w:r>
      <w:r>
        <w:rPr>
          <w:rFonts w:hint="eastAsia" w:ascii="楷体" w:hAnsi="楷体" w:eastAsia="楷体" w:cs="楷体"/>
          <w:b/>
          <w:bCs/>
          <w:sz w:val="28"/>
          <w:szCs w:val="28"/>
          <w:lang w:eastAsia="zh-CN"/>
        </w:rPr>
        <w:t>四</w:t>
      </w:r>
      <w:r>
        <w:rPr>
          <w:rFonts w:hint="eastAsia" w:ascii="楷体" w:hAnsi="楷体" w:eastAsia="楷体" w:cs="楷体"/>
          <w:b/>
          <w:bCs/>
          <w:sz w:val="28"/>
          <w:szCs w:val="28"/>
        </w:rPr>
        <w:t>）整体支出绩效目标</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rPr>
        <w:t>个性指标。</w:t>
      </w:r>
      <w:r>
        <w:rPr>
          <w:rFonts w:hint="eastAsia" w:ascii="仿宋" w:hAnsi="仿宋" w:eastAsia="仿宋" w:cs="仿宋"/>
          <w:sz w:val="28"/>
          <w:szCs w:val="28"/>
        </w:rPr>
        <w:t>2017年，</w:t>
      </w:r>
      <w:r>
        <w:rPr>
          <w:rFonts w:hint="eastAsia" w:ascii="仿宋" w:hAnsi="仿宋" w:eastAsia="仿宋" w:cs="仿宋"/>
          <w:sz w:val="28"/>
          <w:szCs w:val="28"/>
          <w:lang w:val="en-US" w:eastAsia="zh-CN"/>
        </w:rPr>
        <w:t>全市各级各有关部门单位在市委、市政府的正确领导下，以“落实企业安全生产主体责任年”活动为主线，着力夯实基层基础，深入开展安全生产大检查，持续推进打非治违和专项整治，全市安全生产形势持续稳定向好。1-12月，全市发生各类生产经营性安全事故50起、死亡62人、受伤21人、直接经济损失1762.5万元，同比分别下降62.3%、43.6%、82.7%、47.3%。</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预决算管理。</w:t>
      </w:r>
      <w:r>
        <w:rPr>
          <w:rFonts w:hint="eastAsia" w:ascii="仿宋" w:hAnsi="仿宋" w:eastAsia="仿宋" w:cs="仿宋"/>
          <w:kern w:val="2"/>
          <w:sz w:val="28"/>
          <w:szCs w:val="28"/>
          <w:lang w:val="en-US" w:eastAsia="zh-CN" w:bidi="ar-SA"/>
        </w:rPr>
        <w:t>本年预算配置控制较好，财政供养人员控制在预算编制以内；预算执行方面，支出总额控制在预算总额以内，除专项预算的追加和政策性工资绩效预算的追加外，本年部门预算未进行预算相关事项的调整；我局预算内专项资金在取得财政局的年度预算批复时，随批复一同进行了下达；追加的项目专项资金在取得上级或同级财政批复后随批复及时进行了下达；转移支付在收到专项资金时及时进行了拨付；不存在截留或滞留专项资金情况；本年财政预算资金结余较小，较上年结余大幅减少。预决算公开方面，2017年按财政部门规定的内容、时限在岳阳市政府门户网和我局部门门户网进行了预决算公开。</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、资产管理。</w:t>
      </w:r>
      <w:r>
        <w:rPr>
          <w:rFonts w:hint="eastAsia" w:ascii="仿宋" w:hAnsi="仿宋" w:eastAsia="仿宋" w:cs="仿宋"/>
          <w:sz w:val="28"/>
          <w:szCs w:val="28"/>
        </w:rPr>
        <w:t>我单位通过湖南省行政事业资产动态管理信息系统严格管理资产，正确、全面、及时地记录资产的增加、减少、使用等情况，确保国有资产安全完整。资产管理和使用始终坚持统一政策、统一领导、分级管理、责任到人、物尽其用的原则。按照内部控制制度账实分离的要求，办公室负责资产实物管理和价值管理工作，由办公室指定专人负责资产的日常管理，包括资产的登记、统计、维护、保管等，并对所管资产的安全完整负有责任。</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、三公经费</w:t>
      </w:r>
      <w:r>
        <w:rPr>
          <w:rFonts w:hint="eastAsia" w:ascii="仿宋" w:hAnsi="仿宋" w:eastAsia="仿宋" w:cs="仿宋"/>
          <w:b/>
          <w:bCs/>
          <w:sz w:val="28"/>
          <w:szCs w:val="28"/>
          <w:lang w:eastAsia="zh-CN"/>
        </w:rPr>
        <w:t>支出</w:t>
      </w:r>
      <w:r>
        <w:rPr>
          <w:rFonts w:hint="eastAsia" w:ascii="仿宋" w:hAnsi="仿宋" w:eastAsia="仿宋" w:cs="仿宋"/>
          <w:b/>
          <w:bCs/>
          <w:sz w:val="28"/>
          <w:szCs w:val="28"/>
        </w:rPr>
        <w:t>。</w:t>
      </w:r>
      <w:r>
        <w:rPr>
          <w:rFonts w:hint="eastAsia" w:ascii="仿宋" w:hAnsi="仿宋" w:eastAsia="仿宋" w:cs="仿宋"/>
          <w:sz w:val="28"/>
          <w:szCs w:val="28"/>
        </w:rPr>
        <w:t>2017年，三公经费支出</w:t>
      </w:r>
      <w:r>
        <w:rPr>
          <w:rFonts w:hint="eastAsia" w:ascii="仿宋" w:hAnsi="仿宋" w:eastAsia="仿宋" w:cs="仿宋"/>
          <w:sz w:val="28"/>
          <w:szCs w:val="28"/>
          <w:lang w:val="en-US" w:eastAsia="zh-CN"/>
        </w:rPr>
        <w:t>53.75</w:t>
      </w:r>
      <w:r>
        <w:rPr>
          <w:rFonts w:hint="eastAsia" w:ascii="仿宋" w:hAnsi="仿宋" w:eastAsia="仿宋" w:cs="仿宋"/>
          <w:sz w:val="28"/>
          <w:szCs w:val="28"/>
        </w:rPr>
        <w:t>万元，上年度支出为</w:t>
      </w:r>
      <w:r>
        <w:rPr>
          <w:rFonts w:hint="eastAsia" w:ascii="仿宋" w:hAnsi="仿宋" w:eastAsia="仿宋" w:cs="仿宋"/>
          <w:sz w:val="28"/>
          <w:szCs w:val="28"/>
          <w:lang w:val="en-US" w:eastAsia="zh-CN"/>
        </w:rPr>
        <w:t>40.69</w:t>
      </w:r>
      <w:r>
        <w:rPr>
          <w:rFonts w:hint="eastAsia" w:ascii="仿宋" w:hAnsi="仿宋" w:eastAsia="仿宋" w:cs="仿宋"/>
          <w:sz w:val="28"/>
          <w:szCs w:val="28"/>
        </w:rPr>
        <w:t>万元，同比</w:t>
      </w:r>
      <w:r>
        <w:rPr>
          <w:rFonts w:hint="eastAsia" w:ascii="仿宋" w:hAnsi="仿宋" w:eastAsia="仿宋" w:cs="仿宋"/>
          <w:sz w:val="28"/>
          <w:szCs w:val="28"/>
          <w:lang w:eastAsia="zh-CN"/>
        </w:rPr>
        <w:t>增加</w:t>
      </w:r>
      <w:r>
        <w:rPr>
          <w:rFonts w:hint="eastAsia" w:ascii="仿宋" w:hAnsi="仿宋" w:eastAsia="仿宋" w:cs="仿宋"/>
          <w:sz w:val="28"/>
          <w:szCs w:val="28"/>
          <w:lang w:val="en-US" w:eastAsia="zh-CN"/>
        </w:rPr>
        <w:t>13.06</w:t>
      </w:r>
      <w:r>
        <w:rPr>
          <w:rFonts w:hint="eastAsia" w:ascii="仿宋" w:hAnsi="仿宋" w:eastAsia="仿宋" w:cs="仿宋"/>
          <w:sz w:val="28"/>
          <w:szCs w:val="28"/>
        </w:rPr>
        <w:t>万元。其中：</w:t>
      </w:r>
      <w:r>
        <w:rPr>
          <w:rFonts w:hint="eastAsia" w:ascii="仿宋" w:hAnsi="仿宋" w:eastAsia="仿宋" w:cs="仿宋"/>
          <w:sz w:val="28"/>
          <w:szCs w:val="28"/>
          <w:lang w:eastAsia="zh-CN"/>
        </w:rPr>
        <w:t>公公车购置费支出</w:t>
      </w:r>
      <w:r>
        <w:rPr>
          <w:rFonts w:hint="eastAsia" w:ascii="仿宋" w:hAnsi="仿宋" w:eastAsia="仿宋" w:cs="仿宋"/>
          <w:sz w:val="28"/>
          <w:szCs w:val="28"/>
          <w:lang w:val="en-US" w:eastAsia="zh-CN"/>
        </w:rPr>
        <w:t>17.98万元；</w:t>
      </w:r>
      <w:r>
        <w:rPr>
          <w:rFonts w:hint="eastAsia" w:ascii="仿宋" w:hAnsi="仿宋" w:eastAsia="仿宋" w:cs="仿宋"/>
          <w:sz w:val="28"/>
          <w:szCs w:val="28"/>
        </w:rPr>
        <w:t>公务用车运行维护费支出</w:t>
      </w:r>
      <w:r>
        <w:rPr>
          <w:rFonts w:hint="eastAsia" w:ascii="仿宋" w:hAnsi="仿宋" w:eastAsia="仿宋" w:cs="仿宋"/>
          <w:sz w:val="28"/>
          <w:szCs w:val="28"/>
          <w:lang w:val="en-US" w:eastAsia="zh-CN"/>
        </w:rPr>
        <w:t>24.40</w:t>
      </w:r>
      <w:r>
        <w:rPr>
          <w:rFonts w:hint="eastAsia" w:ascii="仿宋" w:hAnsi="仿宋" w:eastAsia="仿宋" w:cs="仿宋"/>
          <w:sz w:val="28"/>
          <w:szCs w:val="28"/>
        </w:rPr>
        <w:t>万元，比上年度减少</w:t>
      </w:r>
      <w:r>
        <w:rPr>
          <w:rFonts w:hint="eastAsia" w:ascii="仿宋" w:hAnsi="仿宋" w:eastAsia="仿宋" w:cs="仿宋"/>
          <w:sz w:val="28"/>
          <w:szCs w:val="28"/>
          <w:lang w:val="en-US" w:eastAsia="zh-CN"/>
        </w:rPr>
        <w:t>14.5</w:t>
      </w:r>
      <w:r>
        <w:rPr>
          <w:rFonts w:hint="eastAsia" w:ascii="仿宋" w:hAnsi="仿宋" w:eastAsia="仿宋" w:cs="仿宋"/>
          <w:sz w:val="28"/>
          <w:szCs w:val="28"/>
        </w:rPr>
        <w:t>万元；公务接待费</w:t>
      </w:r>
      <w:r>
        <w:rPr>
          <w:rFonts w:hint="eastAsia" w:ascii="仿宋" w:hAnsi="仿宋" w:eastAsia="仿宋" w:cs="仿宋"/>
          <w:sz w:val="28"/>
          <w:szCs w:val="28"/>
          <w:lang w:val="en-US" w:eastAsia="zh-CN"/>
        </w:rPr>
        <w:t>11.37</w:t>
      </w:r>
      <w:r>
        <w:rPr>
          <w:rFonts w:hint="eastAsia" w:ascii="仿宋" w:hAnsi="仿宋" w:eastAsia="仿宋" w:cs="仿宋"/>
          <w:sz w:val="28"/>
          <w:szCs w:val="28"/>
        </w:rPr>
        <w:t>万元，比上年度</w:t>
      </w:r>
      <w:r>
        <w:rPr>
          <w:rFonts w:hint="eastAsia" w:ascii="仿宋" w:hAnsi="仿宋" w:eastAsia="仿宋" w:cs="仿宋"/>
          <w:sz w:val="28"/>
          <w:szCs w:val="28"/>
          <w:lang w:eastAsia="zh-CN"/>
        </w:rPr>
        <w:t>增加</w:t>
      </w:r>
      <w:r>
        <w:rPr>
          <w:rFonts w:hint="eastAsia" w:ascii="仿宋" w:hAnsi="仿宋" w:eastAsia="仿宋" w:cs="仿宋"/>
          <w:sz w:val="28"/>
          <w:szCs w:val="28"/>
          <w:lang w:val="en-US" w:eastAsia="zh-CN"/>
        </w:rPr>
        <w:t>1.24</w:t>
      </w:r>
      <w:r>
        <w:rPr>
          <w:rFonts w:hint="eastAsia" w:ascii="仿宋" w:hAnsi="仿宋" w:eastAsia="仿宋" w:cs="仿宋"/>
          <w:sz w:val="28"/>
          <w:szCs w:val="28"/>
        </w:rPr>
        <w:t>万元；无因公出国（境）费支出。</w:t>
      </w:r>
      <w:r>
        <w:rPr>
          <w:rFonts w:hint="eastAsia" w:ascii="仿宋" w:hAnsi="仿宋" w:eastAsia="仿宋" w:cs="仿宋"/>
          <w:sz w:val="28"/>
          <w:szCs w:val="28"/>
          <w:lang w:eastAsia="zh-CN"/>
        </w:rPr>
        <w:t>三公经费较上年度有所增加，主要因为我局因工作需要在</w:t>
      </w:r>
      <w:r>
        <w:rPr>
          <w:rFonts w:hint="eastAsia" w:ascii="仿宋" w:hAnsi="仿宋" w:eastAsia="仿宋" w:cs="仿宋"/>
          <w:sz w:val="28"/>
          <w:szCs w:val="28"/>
          <w:lang w:val="en-US" w:eastAsia="zh-CN"/>
        </w:rPr>
        <w:t>2017年底新购置了一台应急救援专用车。</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、内部管理制度建设情况</w:t>
      </w:r>
      <w:r>
        <w:rPr>
          <w:rFonts w:hint="eastAsia" w:ascii="仿宋" w:hAnsi="仿宋" w:eastAsia="仿宋" w:cs="仿宋"/>
          <w:sz w:val="28"/>
          <w:szCs w:val="28"/>
        </w:rPr>
        <w:t>。我局财务支出管理严格依法依规依程序，努力做到公开公平公正。委托</w:t>
      </w:r>
      <w:r>
        <w:rPr>
          <w:rFonts w:hint="eastAsia" w:ascii="仿宋" w:hAnsi="仿宋" w:eastAsia="仿宋" w:cs="仿宋"/>
          <w:sz w:val="28"/>
          <w:szCs w:val="28"/>
          <w:lang w:eastAsia="zh-CN"/>
        </w:rPr>
        <w:t>会计事务所</w:t>
      </w:r>
      <w:r>
        <w:rPr>
          <w:rFonts w:hint="eastAsia" w:ascii="仿宋" w:hAnsi="仿宋" w:eastAsia="仿宋" w:cs="仿宋"/>
          <w:sz w:val="28"/>
          <w:szCs w:val="28"/>
        </w:rPr>
        <w:t>建立健全了单位内部控制制度，包括预算业务管理制度、收支业务管理、政府采购业务管理、资产管理等。进一步落实厉行节约的各项规定，确保“三公经费”使用合理合规</w:t>
      </w:r>
      <w:r>
        <w:rPr>
          <w:rFonts w:hint="eastAsia" w:ascii="仿宋" w:hAnsi="仿宋" w:eastAsia="仿宋" w:cs="仿宋"/>
          <w:sz w:val="28"/>
          <w:szCs w:val="28"/>
          <w:lang w:val="en-US" w:eastAsia="zh-CN"/>
        </w:rPr>
        <w:t>,</w:t>
      </w:r>
      <w:r>
        <w:rPr>
          <w:rFonts w:hint="eastAsia" w:ascii="仿宋" w:hAnsi="仿宋" w:eastAsia="仿宋" w:cs="仿宋"/>
          <w:sz w:val="28"/>
          <w:szCs w:val="28"/>
        </w:rPr>
        <w:t>上述制度规定基本执行到位。</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、项目绩效总目标完成情况。</w:t>
      </w:r>
      <w:r>
        <w:rPr>
          <w:rFonts w:hint="eastAsia" w:ascii="仿宋" w:hAnsi="仿宋" w:eastAsia="仿宋" w:cs="仿宋"/>
          <w:sz w:val="28"/>
          <w:szCs w:val="28"/>
        </w:rPr>
        <w:t>2017年，全市上下不断强化安全生产主体责任落实，狠抓安全生产事故隐患治理，“一单四制”制度全面建立并实施，严格安全监管执法，完善安全监管体制机制，不断夯实基层基础，</w:t>
      </w:r>
      <w:r>
        <w:rPr>
          <w:rFonts w:hint="eastAsia" w:ascii="仿宋" w:hAnsi="仿宋" w:eastAsia="仿宋"/>
          <w:sz w:val="28"/>
          <w:szCs w:val="28"/>
          <w:lang w:val="en-US" w:eastAsia="zh-CN"/>
        </w:rPr>
        <w:t>顺利完成了</w:t>
      </w:r>
      <w:r>
        <w:rPr>
          <w:rFonts w:hint="eastAsia" w:ascii="仿宋" w:hAnsi="仿宋" w:eastAsia="仿宋" w:cs="仿宋"/>
          <w:sz w:val="28"/>
          <w:szCs w:val="28"/>
          <w:lang w:val="en-US" w:eastAsia="zh-CN"/>
        </w:rPr>
        <w:t>国务院安委会安全生产大检查综合督查、国务院安委办“回头看”检查和省安委会年度考核，两次“国检”和一次“省考”得到国务院安委会和省政府充分肯定，去年我市被评为全省安全生产先进市州。</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楷体" w:hAnsi="楷体" w:eastAsia="楷体" w:cs="楷体"/>
          <w:b/>
          <w:bCs/>
          <w:sz w:val="28"/>
          <w:szCs w:val="28"/>
        </w:rPr>
      </w:pPr>
      <w:r>
        <w:rPr>
          <w:rFonts w:hint="eastAsia" w:ascii="楷体" w:hAnsi="楷体" w:eastAsia="楷体" w:cs="楷体"/>
          <w:b/>
          <w:bCs/>
          <w:sz w:val="28"/>
          <w:szCs w:val="28"/>
        </w:rPr>
        <w:t>（</w:t>
      </w:r>
      <w:r>
        <w:rPr>
          <w:rFonts w:hint="eastAsia" w:ascii="楷体" w:hAnsi="楷体" w:eastAsia="楷体" w:cs="楷体"/>
          <w:b/>
          <w:bCs/>
          <w:sz w:val="28"/>
          <w:szCs w:val="28"/>
          <w:lang w:eastAsia="zh-CN"/>
        </w:rPr>
        <w:t>五</w:t>
      </w:r>
      <w:r>
        <w:rPr>
          <w:rFonts w:hint="eastAsia" w:ascii="楷体" w:hAnsi="楷体" w:eastAsia="楷体" w:cs="楷体"/>
          <w:b/>
          <w:bCs/>
          <w:sz w:val="28"/>
          <w:szCs w:val="28"/>
        </w:rPr>
        <w:t>）部门整体支出情况分析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从整体情况来看，我局严格按照年初部门预算安排进行部门整体支出。在支出过程中，能严格遵守各项规章制度，所有项目都详细制定了方案，严格按方案组织实施，并加强了监督。在专项经费支出上，</w:t>
      </w:r>
      <w:r>
        <w:rPr>
          <w:rFonts w:hint="eastAsia" w:ascii="仿宋" w:hAnsi="仿宋" w:eastAsia="仿宋" w:cs="仿宋"/>
          <w:sz w:val="28"/>
          <w:szCs w:val="28"/>
          <w:lang w:eastAsia="zh-CN"/>
        </w:rPr>
        <w:t>尽最大可能保证</w:t>
      </w:r>
      <w:r>
        <w:rPr>
          <w:rFonts w:hint="eastAsia" w:ascii="仿宋" w:hAnsi="仿宋" w:eastAsia="仿宋" w:cs="仿宋"/>
          <w:sz w:val="28"/>
          <w:szCs w:val="28"/>
        </w:rPr>
        <w:t>专款专用，按项目实施进度进行资金拨付，无截留、无挪用等现象。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二、绩效评价工作情况</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楷体" w:hAnsi="楷体" w:eastAsia="楷体" w:cs="楷体"/>
          <w:b/>
          <w:bCs/>
          <w:sz w:val="28"/>
          <w:szCs w:val="28"/>
        </w:rPr>
      </w:pPr>
      <w:r>
        <w:rPr>
          <w:rFonts w:hint="eastAsia" w:ascii="楷体" w:hAnsi="楷体" w:eastAsia="楷体" w:cs="楷体"/>
          <w:b/>
          <w:bCs/>
          <w:sz w:val="28"/>
          <w:szCs w:val="28"/>
        </w:rPr>
        <w:t>（一）绩效评价目的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此次绩效评价的目的是：严格落实《预算法》及省、市绩效管理工作的有关规定，进一步规范财政资金的管理，强化财政支出绩效理念，提升部门责任意识，提高资金使用效益，促进安全生产监管工作的发展。</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楷体" w:hAnsi="楷体" w:eastAsia="楷体" w:cs="楷体"/>
          <w:b/>
          <w:bCs/>
          <w:sz w:val="28"/>
          <w:szCs w:val="28"/>
        </w:rPr>
      </w:pPr>
      <w:r>
        <w:rPr>
          <w:rFonts w:hint="eastAsia" w:ascii="楷体" w:hAnsi="楷体" w:eastAsia="楷体" w:cs="楷体"/>
          <w:b/>
          <w:bCs/>
          <w:sz w:val="28"/>
          <w:szCs w:val="28"/>
          <w:lang w:eastAsia="zh-CN"/>
        </w:rPr>
        <w:t>（二）</w:t>
      </w:r>
      <w:r>
        <w:rPr>
          <w:rFonts w:hint="eastAsia" w:ascii="楷体" w:hAnsi="楷体" w:eastAsia="楷体" w:cs="楷体"/>
          <w:b/>
          <w:bCs/>
          <w:sz w:val="28"/>
          <w:szCs w:val="28"/>
        </w:rPr>
        <w:t>绩效评价工作过程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绩效评价的要求，我局成立了绩效评价工作领导小组，负责绩效评价工作的组织领导和具体实施。评价小组采取座谈等方式听取情况，检查基本支出、项目支出有关账目，收集整理经费支出的相关资料，并根据各科室、二级机构的绩效自评材料进行分析，形成评价结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三</w:t>
      </w:r>
      <w:r>
        <w:rPr>
          <w:rFonts w:hint="eastAsia" w:ascii="黑体" w:hAnsi="黑体" w:eastAsia="黑体" w:cs="黑体"/>
          <w:sz w:val="28"/>
          <w:szCs w:val="28"/>
          <w:lang w:val="en-US" w:eastAsia="zh-CN"/>
        </w:rPr>
        <w:t>、主</w:t>
      </w:r>
      <w:r>
        <w:rPr>
          <w:rFonts w:hint="eastAsia" w:ascii="黑体" w:hAnsi="黑体" w:eastAsia="黑体" w:cs="黑体"/>
          <w:sz w:val="28"/>
          <w:szCs w:val="28"/>
          <w:lang w:eastAsia="zh-CN"/>
        </w:rPr>
        <w:t>要绩效及评价结论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2017年，全市安全生产工作整体稳步发展，亮点纷呈，社会效率和有效性评价及社会公众满意度较好。对照《2017年部门整体支出绩效自评指标计分表》（见附件），我局自评得分81.3分，自评结论为“良”。</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sz w:val="28"/>
          <w:szCs w:val="28"/>
          <w:lang w:val="en-US" w:eastAsia="zh-CN"/>
        </w:rPr>
      </w:pPr>
      <w:r>
        <w:rPr>
          <w:rFonts w:hint="eastAsia" w:ascii="楷体" w:hAnsi="楷体" w:eastAsia="楷体"/>
          <w:sz w:val="28"/>
          <w:szCs w:val="28"/>
          <w:lang w:val="en-US" w:eastAsia="zh-CN"/>
        </w:rPr>
        <w:t>（一）落实党政同责，构建齐抓共管格局。</w:t>
      </w:r>
      <w:r>
        <w:rPr>
          <w:rFonts w:hint="eastAsia" w:ascii="仿宋" w:hAnsi="仿宋" w:eastAsia="仿宋" w:cs="仿宋"/>
          <w:sz w:val="28"/>
          <w:szCs w:val="28"/>
          <w:lang w:val="en-US" w:eastAsia="zh-CN"/>
        </w:rPr>
        <w:t>今年来，市委4次常委会议、市委9次重点工作调度会议、市政府6次常务会议研究部署安全</w:t>
      </w:r>
      <w:r>
        <w:rPr>
          <w:rFonts w:hint="eastAsia" w:ascii="仿宋" w:hAnsi="仿宋" w:eastAsia="仿宋" w:cstheme="minorBidi"/>
          <w:kern w:val="2"/>
          <w:sz w:val="28"/>
          <w:szCs w:val="28"/>
          <w:lang w:val="en-US" w:eastAsia="zh-CN" w:bidi="ar-SA"/>
        </w:rPr>
        <w:t>生产工作。忠雄书记坚持</w:t>
      </w:r>
      <w:r>
        <w:rPr>
          <w:rFonts w:hint="eastAsia" w:ascii="仿宋" w:hAnsi="仿宋" w:eastAsia="仿宋"/>
          <w:sz w:val="28"/>
          <w:szCs w:val="28"/>
          <w:lang w:val="en-US" w:eastAsia="zh-CN"/>
        </w:rPr>
        <w:t>每月调度安全生产工作情况，6次带队检查安全生产；和生市长8次参加或出席安全生产专题会议，亲临市安监局调研指导，专程赴省安监局对接会商，深入一线开展安全生产基层基础工作调研；道明常务副市长、文发副市长、作凤副市长定期召开安全生产调度讲评会，并分别10余次带队对烟花爆竹、危险化学品、非煤矿山、建筑施工、道路水上交通、消防等重点行业领域生产经营单位开展“四不两直”检查督查。全体市级领导下到各自分管行业领域和联系的县市区检查安全生产工作。安全生产大检查开展以来，各县市区和市直相关单位党政领导抓安全生产的意识更强、措施更硬、投入更大、成效更好，全市安全生产“党政同责、一岗双责、齐抓共管”的责任体系和“共护平安”的工作局面进一步形成。</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560" w:firstLineChars="200"/>
        <w:jc w:val="both"/>
        <w:textAlignment w:val="auto"/>
        <w:outlineLvl w:val="9"/>
        <w:rPr>
          <w:rFonts w:hint="eastAsia" w:ascii="仿宋" w:hAnsi="仿宋" w:eastAsia="仿宋"/>
          <w:sz w:val="28"/>
          <w:szCs w:val="28"/>
          <w:lang w:val="en-US" w:eastAsia="zh-CN"/>
        </w:rPr>
      </w:pPr>
      <w:r>
        <w:rPr>
          <w:rFonts w:hint="eastAsia" w:ascii="楷体" w:hAnsi="楷体" w:eastAsia="楷体"/>
          <w:sz w:val="28"/>
          <w:szCs w:val="28"/>
          <w:lang w:val="en-US" w:eastAsia="zh-CN"/>
        </w:rPr>
        <w:t>（二）强化监管执法，形成严管高压态势。</w:t>
      </w:r>
      <w:r>
        <w:rPr>
          <w:rFonts w:hint="eastAsia" w:ascii="仿宋" w:hAnsi="仿宋" w:eastAsia="仿宋"/>
          <w:sz w:val="28"/>
          <w:szCs w:val="28"/>
          <w:lang w:val="en-US" w:eastAsia="zh-CN"/>
        </w:rPr>
        <w:t>各级各部门贯彻铁腕治安，强化监管执法，倒逼企业落实安全生产主体责任。市安监局改革监管执法机制，明晰执法支队执法职能，建立安全生产监管执法月度讲评会制度，对各县市区、市直部门的执法情况按“立案起数、罚款数量、行政拘留和刑事拘留人数”实行积分制通报排名并纳入年度考核。各县市区成立“打非办”（打击非法生产综合办公室），从公安、安监、质监、工商等部门抽调人员组成执法队伍，实行常态化巡查，打击非法生产行为。在全市上下深入开展“创零”（零事故企业、零事故行业、零事故地区）行动，对各地发生的一般事故一律由市安委办按照“四不放过”的原则进行挂牌督办。坚持“三个同行”，即“与专家同行、与执法同行、与媒体同行”，采取政府购买服务的方式，聘请专家参与隐患排查，对检查发现的突出问题，通过严格执法和公开曝光措施，对企业形成震慑。按照“五个一批”要求，较真碰硬，先后严肃查处了云溪道仁矶溶剂化工厂、岳阳田里人科技公司等52起典型违法案件；彻底治理了36家烟花爆竹退出企业余废药、岳阳恒阳化工违法建设、湖南普丰冷链公司液氨储罐老化等79个重大安全隐患；关闭取缔了岳阳楼区鑫源加油站、经开区康王固体酒精加工销售部、岳阳县胜天采石场、长江沿线39个非法码头等243家非法生产经营单位；先后在岳阳电视台、岳阳日报、岳阳安监公众号曝光违法违规企业和重大安全隐患20批次。1-12月，市、县安监部门立案查处安全生产违法和事故案件149起，处罚金额709.68万元，移送行政</w:t>
      </w:r>
      <w:r>
        <w:rPr>
          <w:rFonts w:hint="eastAsia" w:ascii="仿宋" w:hAnsi="仿宋" w:eastAsia="仿宋"/>
          <w:b w:val="0"/>
          <w:bCs w:val="0"/>
          <w:sz w:val="28"/>
          <w:szCs w:val="28"/>
          <w:lang w:val="en-US" w:eastAsia="zh-CN"/>
        </w:rPr>
        <w:t>拘留和刑事拘留60人，行政处罚、行政强制的次数同比分别上升96.1%、200%，执法力度显著加大。近期，屈原管理区对查获的杨某某非法生产</w:t>
      </w:r>
      <w:r>
        <w:rPr>
          <w:rFonts w:hint="eastAsia" w:ascii="仿宋" w:hAnsi="仿宋" w:eastAsia="仿宋"/>
          <w:sz w:val="28"/>
          <w:szCs w:val="28"/>
          <w:lang w:val="en-US" w:eastAsia="zh-CN"/>
        </w:rPr>
        <w:t>烟花爆竹行为判处有期徒刑3年6个月，国家安监总局、省安监局官方微信作专门报道。</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560" w:firstLineChars="200"/>
        <w:jc w:val="both"/>
        <w:textAlignment w:val="auto"/>
        <w:outlineLvl w:val="9"/>
        <w:rPr>
          <w:rFonts w:hint="eastAsia" w:ascii="仿宋" w:hAnsi="仿宋" w:eastAsia="仿宋"/>
          <w:sz w:val="28"/>
          <w:szCs w:val="28"/>
          <w:lang w:val="en-US" w:eastAsia="zh-CN"/>
        </w:rPr>
      </w:pPr>
      <w:r>
        <w:rPr>
          <w:rFonts w:hint="eastAsia" w:ascii="楷体" w:hAnsi="楷体" w:eastAsia="楷体"/>
          <w:sz w:val="28"/>
          <w:szCs w:val="28"/>
          <w:lang w:val="en-US" w:eastAsia="zh-CN"/>
        </w:rPr>
        <w:t>（三）坚持问题导向，强力开展专项整治。</w:t>
      </w:r>
      <w:r>
        <w:rPr>
          <w:rFonts w:hint="eastAsia" w:ascii="仿宋" w:hAnsi="仿宋" w:eastAsia="仿宋"/>
          <w:b/>
          <w:bCs/>
          <w:sz w:val="28"/>
          <w:szCs w:val="28"/>
          <w:lang w:val="en-US" w:eastAsia="zh-CN"/>
        </w:rPr>
        <w:t>烟花爆竹领域，</w:t>
      </w:r>
      <w:r>
        <w:rPr>
          <w:rFonts w:hint="eastAsia" w:ascii="仿宋" w:hAnsi="仿宋" w:eastAsia="仿宋"/>
          <w:sz w:val="28"/>
          <w:szCs w:val="28"/>
          <w:lang w:val="en-US" w:eastAsia="zh-CN"/>
        </w:rPr>
        <w:t>深刻吸取“1.24”、“2.27”两起事故（件）教训，强力推进为期3年的烟花爆竹打非治违专项行动，今年来组织执法行动1705次，关闭非法经营门店4611家，销毁烟花爆竹制品15万件，抓捕犯罪嫌疑人9人，行政拘留21人，取缔了中南大市场、奇家岭学院路、梅溪桥市场等烟花爆竹连片经营门店，得到国家安监总局分管领导和监管三司肯定。市政府以立法方式出台《岳阳市城区禁止燃放烟花爆竹管理办法》，8月1日起在城区全面实施禁炮。平江县、汨罗市结合本地实际，深入开展“全域禁炮”工作。11月1日，召开全市烟花爆竹打非治违工作专题会议，拟写致各县市区长的一封信，进一步压实“打非”责任，警钟长鸣，坚决遏制烟花爆竹事故发生。</w:t>
      </w:r>
      <w:r>
        <w:rPr>
          <w:rFonts w:hint="eastAsia" w:ascii="仿宋" w:hAnsi="仿宋" w:eastAsia="仿宋"/>
          <w:b/>
          <w:bCs/>
          <w:sz w:val="28"/>
          <w:szCs w:val="28"/>
          <w:lang w:val="en-US" w:eastAsia="zh-CN"/>
        </w:rPr>
        <w:t>非煤矿山领域，</w:t>
      </w:r>
      <w:r>
        <w:rPr>
          <w:rFonts w:hint="eastAsia" w:ascii="仿宋" w:hAnsi="仿宋" w:eastAsia="仿宋"/>
          <w:sz w:val="28"/>
          <w:szCs w:val="28"/>
          <w:lang w:val="en-US" w:eastAsia="zh-CN"/>
        </w:rPr>
        <w:t>持续开展攻坚克难工作，突出抓好非煤矿山大整治行动和大检查交叉执法。建立了非煤矿山安全整治联席工作会议制度，定期召开安监、国土、环保月度联席会议，严控非煤矿山企业新批与延期。今年非煤矿山领域立案32起，取缔非法矿点 17处，事故问责企业相关人员16名，国家公职人员12名，2名直接责任人被追刑。</w:t>
      </w:r>
      <w:r>
        <w:rPr>
          <w:rFonts w:hint="eastAsia" w:ascii="仿宋" w:hAnsi="仿宋" w:eastAsia="仿宋"/>
          <w:b/>
          <w:bCs/>
          <w:sz w:val="28"/>
          <w:szCs w:val="28"/>
          <w:lang w:val="en-US" w:eastAsia="zh-CN"/>
        </w:rPr>
        <w:t>危险化学品领域，</w:t>
      </w:r>
      <w:r>
        <w:rPr>
          <w:rFonts w:hint="eastAsia" w:ascii="仿宋" w:hAnsi="仿宋" w:eastAsia="仿宋"/>
          <w:sz w:val="28"/>
          <w:szCs w:val="28"/>
          <w:lang w:val="en-US" w:eastAsia="zh-CN"/>
        </w:rPr>
        <w:t>制定《岳阳市危险化学品综合治理实施方案》，建立危化品企业安全风险台账，积极开展危险化学品罐区、危化企业特殊作业和加油站安全专项整治行动，立案39起，湘阴县关闭取缔杨林寨乡6个非法加油站和新泉红旗桥东加油点、茶湖潭桥东加油站；安监、交通、交警等部门持续推进危险货物道路运输“四必查”联合执法行动；云溪区建立了危化运输车辆监管中心，运用信息化手段对危化运输车辆进行实时在线监控。</w:t>
      </w:r>
      <w:r>
        <w:rPr>
          <w:rFonts w:hint="eastAsia" w:ascii="仿宋" w:hAnsi="仿宋" w:eastAsia="仿宋"/>
          <w:b/>
          <w:bCs/>
          <w:sz w:val="28"/>
          <w:szCs w:val="28"/>
          <w:lang w:val="en-US" w:eastAsia="zh-CN"/>
        </w:rPr>
        <w:t>工贸领域，</w:t>
      </w:r>
      <w:r>
        <w:rPr>
          <w:rFonts w:hint="eastAsia" w:ascii="仿宋" w:hAnsi="仿宋" w:eastAsia="仿宋"/>
          <w:sz w:val="28"/>
          <w:szCs w:val="28"/>
          <w:lang w:val="en-US" w:eastAsia="zh-CN"/>
        </w:rPr>
        <w:t>深入开展涉氨制冷、粉尘涉爆、有限空间等专项整治，立案13起，处罚金额88.7万元，停产整顿企业10家。</w:t>
      </w:r>
      <w:r>
        <w:rPr>
          <w:rFonts w:hint="eastAsia" w:ascii="仿宋" w:hAnsi="仿宋" w:eastAsia="仿宋"/>
          <w:b/>
          <w:bCs/>
          <w:sz w:val="28"/>
          <w:szCs w:val="28"/>
          <w:lang w:val="en-US" w:eastAsia="zh-CN"/>
        </w:rPr>
        <w:t>职业健康领域，</w:t>
      </w:r>
      <w:r>
        <w:rPr>
          <w:rFonts w:hint="eastAsia" w:ascii="仿宋" w:hAnsi="仿宋" w:eastAsia="仿宋"/>
          <w:sz w:val="28"/>
          <w:szCs w:val="28"/>
          <w:lang w:val="en-US" w:eastAsia="zh-CN"/>
        </w:rPr>
        <w:t>开展粉尘治理专项行动，对平江县兴科云母制品有限公司和临湘市金牛陶瓷有限公司违反职业病防治法的行为进行立案处罚，实现职业健康领域处罚案件“零”突破。</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560" w:firstLineChars="200"/>
        <w:jc w:val="both"/>
        <w:textAlignment w:val="auto"/>
        <w:outlineLvl w:val="9"/>
        <w:rPr>
          <w:rFonts w:hint="eastAsia" w:ascii="仿宋" w:hAnsi="仿宋" w:eastAsia="仿宋"/>
          <w:sz w:val="28"/>
          <w:szCs w:val="28"/>
        </w:rPr>
      </w:pPr>
      <w:r>
        <w:rPr>
          <w:rFonts w:hint="eastAsia" w:ascii="楷体" w:hAnsi="楷体" w:eastAsia="楷体"/>
          <w:sz w:val="28"/>
          <w:szCs w:val="28"/>
          <w:lang w:val="en-US" w:eastAsia="zh-CN"/>
        </w:rPr>
        <w:t>（四）着眼源头治理，坚决淘汰不安全落后产能。</w:t>
      </w:r>
      <w:r>
        <w:rPr>
          <w:rFonts w:hint="eastAsia" w:ascii="仿宋_GB2312" w:eastAsia="仿宋_GB2312"/>
          <w:sz w:val="28"/>
          <w:szCs w:val="28"/>
        </w:rPr>
        <w:t>严格按照省政府下</w:t>
      </w:r>
      <w:r>
        <w:rPr>
          <w:rFonts w:hint="eastAsia" w:ascii="仿宋_GB2312" w:hAnsi="仿宋" w:eastAsia="仿宋_GB2312"/>
          <w:sz w:val="28"/>
          <w:szCs w:val="28"/>
        </w:rPr>
        <w:t>达的2017年关</w:t>
      </w:r>
      <w:r>
        <w:rPr>
          <w:rFonts w:hint="eastAsia" w:ascii="仿宋_GB2312" w:eastAsia="仿宋_GB2312"/>
          <w:sz w:val="28"/>
          <w:szCs w:val="28"/>
        </w:rPr>
        <w:t>闭退出任务，坚决淘汰不安全落后产能。</w:t>
      </w:r>
      <w:r>
        <w:rPr>
          <w:rFonts w:hint="eastAsia" w:ascii="仿宋" w:hAnsi="仿宋" w:eastAsia="仿宋" w:cs="仿宋"/>
          <w:b/>
          <w:bCs/>
          <w:sz w:val="28"/>
          <w:szCs w:val="28"/>
          <w:lang w:eastAsia="zh-CN"/>
        </w:rPr>
        <w:t>一是整体关闭退出烟花爆竹生产企业。</w:t>
      </w:r>
      <w:r>
        <w:rPr>
          <w:rFonts w:hint="eastAsia" w:ascii="仿宋" w:hAnsi="仿宋" w:eastAsia="仿宋" w:cs="仿宋"/>
          <w:sz w:val="28"/>
          <w:szCs w:val="28"/>
          <w:lang w:eastAsia="zh-CN"/>
        </w:rPr>
        <w:t>截止</w:t>
      </w:r>
      <w:r>
        <w:rPr>
          <w:rFonts w:hint="eastAsia" w:ascii="仿宋" w:hAnsi="仿宋" w:eastAsia="仿宋" w:cs="仿宋"/>
          <w:sz w:val="28"/>
          <w:szCs w:val="28"/>
        </w:rPr>
        <w:t>6月10日，临湘市27家、平江县4家、岳阳县5家烟花爆竹生产企业</w:t>
      </w:r>
      <w:r>
        <w:rPr>
          <w:rFonts w:hint="eastAsia" w:ascii="仿宋" w:hAnsi="仿宋" w:eastAsia="仿宋" w:cs="仿宋"/>
          <w:sz w:val="28"/>
          <w:szCs w:val="28"/>
          <w:lang w:eastAsia="zh-CN"/>
        </w:rPr>
        <w:t>全面完成</w:t>
      </w:r>
      <w:r>
        <w:rPr>
          <w:rFonts w:hint="eastAsia" w:ascii="仿宋" w:hAnsi="仿宋" w:eastAsia="仿宋" w:cs="仿宋"/>
          <w:sz w:val="28"/>
          <w:szCs w:val="28"/>
        </w:rPr>
        <w:t>关停</w:t>
      </w:r>
      <w:r>
        <w:rPr>
          <w:rFonts w:hint="eastAsia" w:ascii="仿宋" w:hAnsi="仿宋" w:eastAsia="仿宋" w:cs="仿宋"/>
          <w:sz w:val="28"/>
          <w:szCs w:val="28"/>
          <w:lang w:eastAsia="zh-CN"/>
        </w:rPr>
        <w:t>任务</w:t>
      </w:r>
      <w:r>
        <w:rPr>
          <w:rFonts w:hint="eastAsia" w:ascii="仿宋" w:hAnsi="仿宋" w:eastAsia="仿宋" w:cs="仿宋"/>
          <w:sz w:val="28"/>
          <w:szCs w:val="28"/>
        </w:rPr>
        <w:t>，提前实现我市烟花爆竹“零生产”。</w:t>
      </w:r>
      <w:r>
        <w:rPr>
          <w:rFonts w:hint="eastAsia" w:ascii="仿宋" w:hAnsi="仿宋" w:eastAsia="仿宋"/>
          <w:sz w:val="28"/>
          <w:szCs w:val="28"/>
        </w:rPr>
        <w:t>大检查期间，将36家退出企业余废药作为重大安全隐患纳入“一单四制”治理，所有退出企业余废药全部安全清除。省安委办对此予以充分肯定，</w:t>
      </w:r>
      <w:r>
        <w:rPr>
          <w:rFonts w:hint="eastAsia" w:ascii="仿宋" w:hAnsi="仿宋" w:eastAsia="仿宋"/>
          <w:sz w:val="28"/>
          <w:szCs w:val="28"/>
          <w:vertAlign w:val="baseline"/>
          <w:lang w:val="en-US" w:eastAsia="zh-CN"/>
        </w:rPr>
        <w:t>省安委办、省政府督查室《关于全省重大事故隐患治理“一单四制”和煤矿、烟花爆竹、危险化学品行业淘汰不安全落后产能工作专项督查情况的通报》中对我市整体退出烟花爆竹给予表扬；</w:t>
      </w:r>
      <w:r>
        <w:rPr>
          <w:rFonts w:hint="eastAsia" w:ascii="仿宋" w:hAnsi="仿宋" w:eastAsia="仿宋"/>
          <w:sz w:val="28"/>
          <w:szCs w:val="28"/>
        </w:rPr>
        <w:t>《湖南安全生产动态》以“多措并举全面安全有序整体退出烟花爆竹企业”为题，推广</w:t>
      </w:r>
      <w:r>
        <w:rPr>
          <w:rFonts w:hint="eastAsia" w:ascii="仿宋" w:hAnsi="仿宋" w:eastAsia="仿宋"/>
          <w:sz w:val="28"/>
          <w:szCs w:val="28"/>
          <w:lang w:eastAsia="zh-CN"/>
        </w:rPr>
        <w:t>临湘</w:t>
      </w:r>
      <w:r>
        <w:rPr>
          <w:rFonts w:hint="eastAsia" w:ascii="仿宋" w:hAnsi="仿宋" w:eastAsia="仿宋"/>
          <w:sz w:val="28"/>
          <w:szCs w:val="28"/>
        </w:rPr>
        <w:t>市烟花爆竹生产企业整体退出的经验做法；湖南日报、湖南经视</w:t>
      </w:r>
      <w:r>
        <w:rPr>
          <w:rFonts w:hint="eastAsia" w:ascii="仿宋" w:hAnsi="仿宋" w:eastAsia="仿宋"/>
          <w:sz w:val="28"/>
          <w:szCs w:val="28"/>
          <w:lang w:eastAsia="zh-CN"/>
        </w:rPr>
        <w:t>以“烟花爆竹再无‘岳阳造’”</w:t>
      </w:r>
      <w:r>
        <w:rPr>
          <w:rFonts w:hint="eastAsia" w:ascii="仿宋" w:hAnsi="仿宋" w:eastAsia="仿宋"/>
          <w:sz w:val="28"/>
          <w:szCs w:val="28"/>
        </w:rPr>
        <w:t>进行专题报道。</w:t>
      </w:r>
      <w:r>
        <w:rPr>
          <w:rFonts w:hint="eastAsia" w:ascii="仿宋" w:hAnsi="仿宋" w:eastAsia="仿宋"/>
          <w:b/>
          <w:bCs/>
          <w:sz w:val="28"/>
          <w:szCs w:val="28"/>
          <w:lang w:eastAsia="zh-CN"/>
        </w:rPr>
        <w:t>二是全面完成省下达的危险化学品企业注销任务。</w:t>
      </w:r>
      <w:r>
        <w:rPr>
          <w:rFonts w:hint="eastAsia" w:ascii="仿宋" w:hAnsi="仿宋" w:eastAsia="仿宋"/>
          <w:sz w:val="28"/>
          <w:szCs w:val="28"/>
          <w:lang w:eastAsia="zh-CN"/>
        </w:rPr>
        <w:t>对12家安全生产许可证照过期且长期处于停产状态的企业全部注销到位，彻底退出生产经营。</w:t>
      </w:r>
      <w:r>
        <w:rPr>
          <w:rFonts w:hint="eastAsia" w:ascii="仿宋" w:hAnsi="仿宋" w:eastAsia="仿宋"/>
          <w:b/>
          <w:bCs/>
          <w:sz w:val="28"/>
          <w:szCs w:val="28"/>
          <w:lang w:eastAsia="zh-CN"/>
        </w:rPr>
        <w:t>三是自加压力关闭整顿非煤矿山企业。</w:t>
      </w:r>
      <w:r>
        <w:rPr>
          <w:rFonts w:hint="eastAsia" w:ascii="仿宋" w:hAnsi="仿宋" w:eastAsia="仿宋"/>
          <w:sz w:val="28"/>
          <w:szCs w:val="28"/>
        </w:rPr>
        <w:t>严格</w:t>
      </w:r>
      <w:r>
        <w:rPr>
          <w:rFonts w:hint="eastAsia" w:ascii="仿宋" w:hAnsi="仿宋" w:eastAsia="仿宋"/>
          <w:sz w:val="28"/>
          <w:szCs w:val="28"/>
          <w:lang w:eastAsia="zh-CN"/>
        </w:rPr>
        <w:t>非煤矿山采矿许可证和安全生产许可证</w:t>
      </w:r>
      <w:r>
        <w:rPr>
          <w:rFonts w:hint="eastAsia" w:ascii="仿宋" w:hAnsi="仿宋" w:eastAsia="仿宋"/>
          <w:sz w:val="28"/>
          <w:szCs w:val="28"/>
        </w:rPr>
        <w:t>新批</w:t>
      </w:r>
      <w:r>
        <w:rPr>
          <w:rFonts w:hint="eastAsia" w:ascii="仿宋" w:hAnsi="仿宋" w:eastAsia="仿宋"/>
          <w:sz w:val="28"/>
          <w:szCs w:val="28"/>
          <w:lang w:eastAsia="zh-CN"/>
        </w:rPr>
        <w:t>与</w:t>
      </w:r>
      <w:r>
        <w:rPr>
          <w:rFonts w:hint="eastAsia" w:ascii="仿宋" w:hAnsi="仿宋" w:eastAsia="仿宋"/>
          <w:sz w:val="28"/>
          <w:szCs w:val="28"/>
        </w:rPr>
        <w:t>延期许可，严把</w:t>
      </w:r>
      <w:r>
        <w:rPr>
          <w:rFonts w:hint="eastAsia" w:ascii="仿宋" w:hAnsi="仿宋" w:eastAsia="仿宋"/>
          <w:sz w:val="28"/>
          <w:szCs w:val="28"/>
          <w:lang w:eastAsia="zh-CN"/>
        </w:rPr>
        <w:t>安全生产条件</w:t>
      </w:r>
      <w:r>
        <w:rPr>
          <w:rFonts w:hint="eastAsia" w:ascii="仿宋" w:hAnsi="仿宋" w:eastAsia="仿宋"/>
          <w:sz w:val="28"/>
          <w:szCs w:val="28"/>
        </w:rPr>
        <w:t>审查关，坚决关停落后不安全企业。对全市77家证照到期的非煤矿山企业，向省安监局申请注销。全市原有251家非煤矿山企业（含尾矿库），目前证照在有效期内的为68家，其中44家在生产中，其余全部处于关闭或停产状态。国土部门在关闭矿山企业设立举报奖励公告牌154块，严防非法开采和盗采。</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560" w:firstLineChars="200"/>
        <w:jc w:val="both"/>
        <w:textAlignment w:val="auto"/>
        <w:outlineLvl w:val="9"/>
        <w:rPr>
          <w:rFonts w:hint="eastAsia" w:ascii="仿宋_GB2312" w:hAnsi="仿宋" w:eastAsia="仿宋_GB2312"/>
          <w:sz w:val="28"/>
          <w:szCs w:val="28"/>
        </w:rPr>
      </w:pPr>
      <w:r>
        <w:rPr>
          <w:rFonts w:hint="eastAsia" w:ascii="楷体" w:hAnsi="楷体" w:eastAsia="楷体"/>
          <w:sz w:val="28"/>
          <w:szCs w:val="28"/>
          <w:lang w:val="en-US" w:eastAsia="zh-CN"/>
        </w:rPr>
        <w:t>（五）注重排查管控，增强事故防控能力。</w:t>
      </w:r>
      <w:r>
        <w:rPr>
          <w:rFonts w:hint="eastAsia" w:ascii="仿宋" w:hAnsi="仿宋" w:eastAsia="仿宋"/>
          <w:b/>
          <w:bCs/>
          <w:sz w:val="28"/>
          <w:szCs w:val="28"/>
          <w:lang w:val="en-US" w:eastAsia="zh-CN"/>
        </w:rPr>
        <w:t>一是强力推进安全生产大检查。</w:t>
      </w:r>
      <w:r>
        <w:rPr>
          <w:rFonts w:hint="eastAsia" w:ascii="仿宋" w:hAnsi="仿宋" w:eastAsia="仿宋"/>
          <w:sz w:val="28"/>
          <w:szCs w:val="28"/>
          <w:lang w:val="en-US" w:eastAsia="zh-CN"/>
        </w:rPr>
        <w:t>各级各部门把抓好安全生产大检查，平安护航十九大作为重要政治任务</w:t>
      </w:r>
      <w:r>
        <w:rPr>
          <w:rFonts w:hint="eastAsia" w:eastAsia="仿宋_GB2312"/>
          <w:sz w:val="28"/>
          <w:szCs w:val="28"/>
        </w:rPr>
        <w:t>来部署落实</w:t>
      </w:r>
      <w:r>
        <w:rPr>
          <w:rFonts w:hint="eastAsia" w:eastAsia="仿宋_GB2312"/>
          <w:sz w:val="28"/>
          <w:szCs w:val="28"/>
          <w:lang w:eastAsia="zh-CN"/>
        </w:rPr>
        <w:t>。市委、市政府先后</w:t>
      </w:r>
      <w:r>
        <w:rPr>
          <w:rFonts w:hint="eastAsia" w:eastAsia="仿宋_GB2312"/>
          <w:sz w:val="28"/>
          <w:szCs w:val="28"/>
          <w:lang w:val="en-US" w:eastAsia="zh-CN"/>
        </w:rPr>
        <w:t>5次召开会议进行部署安排。全体市级领导深入联点县市区和行业领域督促指导大检查工作；市级和湘阴县、云溪区迎接了国务院安委会大检查综合督查和“回头看”检查，有力促进了全市安全监管水平的提升。</w:t>
      </w:r>
      <w:r>
        <w:rPr>
          <w:rFonts w:hint="eastAsia" w:ascii="仿宋" w:hAnsi="仿宋" w:eastAsia="仿宋"/>
          <w:sz w:val="28"/>
          <w:szCs w:val="28"/>
          <w:lang w:val="en-US" w:eastAsia="zh-CN"/>
        </w:rPr>
        <w:t>市直重点行业领域牵头单位共派出检查组36个，出动检查人员702批次，排查整治重大隐患116处。大检查开展以来，全市生产安全事故起数和死亡人数逐月下降，确保了党的十九大期间全市安全生产形势持续稳定。</w:t>
      </w:r>
      <w:r>
        <w:rPr>
          <w:rFonts w:hint="eastAsia" w:ascii="仿宋_GB2312" w:hAnsi="仿宋_GB2312" w:eastAsia="仿宋_GB2312"/>
          <w:sz w:val="28"/>
          <w:szCs w:val="28"/>
        </w:rPr>
        <w:t>我市坚持“隐患就是事故”的理念</w:t>
      </w:r>
      <w:r>
        <w:rPr>
          <w:rFonts w:hint="eastAsia" w:ascii="仿宋_GB2312" w:hAnsi="仿宋_GB2312" w:eastAsia="仿宋_GB2312"/>
          <w:sz w:val="28"/>
          <w:szCs w:val="28"/>
          <w:lang w:eastAsia="zh-CN"/>
        </w:rPr>
        <w:t>，</w:t>
      </w:r>
      <w:r>
        <w:rPr>
          <w:rFonts w:hint="eastAsia" w:ascii="仿宋_GB2312" w:hAnsi="仿宋_GB2312" w:eastAsia="仿宋_GB2312"/>
          <w:sz w:val="28"/>
          <w:szCs w:val="28"/>
        </w:rPr>
        <w:t>对重大安全隐患实施事前问责的做法得到国务院安委会、省政府、省安委会的充分肯定</w:t>
      </w:r>
      <w:r>
        <w:rPr>
          <w:rFonts w:hint="eastAsia" w:ascii="仿宋_GB2312" w:hAnsi="仿宋_GB2312" w:eastAsia="仿宋_GB2312"/>
          <w:sz w:val="28"/>
          <w:szCs w:val="28"/>
          <w:lang w:eastAsia="zh-CN"/>
        </w:rPr>
        <w:t>。</w:t>
      </w:r>
      <w:r>
        <w:rPr>
          <w:rFonts w:hint="eastAsia" w:ascii="仿宋_GB2312" w:hAnsi="仿宋" w:eastAsia="仿宋_GB2312" w:cs="仿宋"/>
          <w:sz w:val="28"/>
          <w:szCs w:val="28"/>
        </w:rPr>
        <w:t>9月29日国务院安委会关于粤豫湘三省安全生产大检查督查情况的通报中，</w:t>
      </w:r>
      <w:r>
        <w:rPr>
          <w:rFonts w:hint="eastAsia" w:ascii="仿宋_GB2312" w:hAnsi="仿宋" w:eastAsia="仿宋_GB2312" w:cs="仿宋"/>
          <w:sz w:val="28"/>
          <w:szCs w:val="28"/>
          <w:lang w:eastAsia="zh-CN"/>
        </w:rPr>
        <w:t>肯定</w:t>
      </w:r>
      <w:r>
        <w:rPr>
          <w:rFonts w:hint="eastAsia" w:ascii="仿宋_GB2312" w:hAnsi="仿宋" w:eastAsia="仿宋_GB2312" w:cs="仿宋"/>
          <w:sz w:val="28"/>
          <w:szCs w:val="28"/>
        </w:rPr>
        <w:t>了岳阳严格实施重大安全隐患事前问责的举措</w:t>
      </w:r>
      <w:r>
        <w:rPr>
          <w:rFonts w:hint="eastAsia" w:ascii="仿宋_GB2312" w:hAnsi="仿宋" w:eastAsia="仿宋_GB2312" w:cs="仿宋"/>
          <w:sz w:val="28"/>
          <w:szCs w:val="28"/>
          <w:lang w:eastAsia="zh-CN"/>
        </w:rPr>
        <w:t>，是唯一点名表扬的地级市</w:t>
      </w:r>
      <w:r>
        <w:rPr>
          <w:rFonts w:hint="eastAsia" w:ascii="仿宋_GB2312" w:hAnsi="仿宋_GB2312" w:eastAsia="仿宋_GB2312"/>
          <w:sz w:val="28"/>
          <w:szCs w:val="28"/>
        </w:rPr>
        <w:t>。</w:t>
      </w:r>
      <w:r>
        <w:rPr>
          <w:rFonts w:hint="eastAsia" w:ascii="仿宋" w:hAnsi="仿宋" w:eastAsia="仿宋"/>
          <w:b/>
          <w:bCs/>
          <w:sz w:val="28"/>
          <w:szCs w:val="28"/>
          <w:lang w:val="en-US" w:eastAsia="zh-CN"/>
        </w:rPr>
        <w:t>二是严格实施重大隐患治理“一单四制”。</w:t>
      </w:r>
      <w:r>
        <w:rPr>
          <w:rFonts w:hint="eastAsia" w:ascii="仿宋_GB2312" w:eastAsia="仿宋_GB2312"/>
          <w:sz w:val="28"/>
          <w:szCs w:val="28"/>
        </w:rPr>
        <w:t>市政府印发《岳阳市重大事故隐患治理“一单四制”制度实施方案》，在全市</w:t>
      </w:r>
      <w:r>
        <w:rPr>
          <w:rFonts w:hint="eastAsia" w:ascii="仿宋_GB2312" w:hAnsi="仿宋" w:eastAsia="仿宋_GB2312"/>
          <w:sz w:val="28"/>
          <w:szCs w:val="28"/>
        </w:rPr>
        <w:t>18个行业领域分级推进“一单四制”工作。市本级共有95处重大事故隐患纳入“一单四制”</w:t>
      </w:r>
      <w:r>
        <w:rPr>
          <w:rFonts w:hint="eastAsia" w:ascii="仿宋_GB2312" w:hAnsi="仿宋" w:eastAsia="仿宋_GB2312"/>
          <w:sz w:val="28"/>
          <w:szCs w:val="28"/>
          <w:lang w:val="en-US" w:eastAsia="zh-CN"/>
        </w:rPr>
        <w:t>治理</w:t>
      </w:r>
      <w:r>
        <w:rPr>
          <w:rFonts w:hint="eastAsia" w:ascii="仿宋_GB2312" w:hAnsi="仿宋" w:eastAsia="仿宋_GB2312"/>
          <w:sz w:val="28"/>
          <w:szCs w:val="28"/>
        </w:rPr>
        <w:t>，其中67处重大隐患通过验收并销号。以落实“一单四制”为契机，全力抓好上级督办或反馈问题的整改。</w:t>
      </w:r>
      <w:r>
        <w:rPr>
          <w:rFonts w:hint="eastAsia" w:ascii="仿宋_GB2312" w:hAnsi="仿宋" w:eastAsia="仿宋_GB2312"/>
          <w:sz w:val="28"/>
          <w:szCs w:val="28"/>
          <w:lang w:eastAsia="zh-CN"/>
        </w:rPr>
        <w:t>市安委办会同</w:t>
      </w:r>
      <w:r>
        <w:rPr>
          <w:rFonts w:hint="eastAsia" w:ascii="仿宋_GB2312" w:eastAsia="仿宋_GB2312"/>
          <w:sz w:val="28"/>
          <w:szCs w:val="28"/>
        </w:rPr>
        <w:t>市委督查室、市政府督查室、市委问责办就上级反馈问题和隐患进行督查，采取现场交办、挂牌督办、约谈问责等措施抓好</w:t>
      </w:r>
      <w:r>
        <w:rPr>
          <w:rFonts w:hint="eastAsia" w:ascii="仿宋_GB2312" w:hAnsi="仿宋" w:eastAsia="仿宋_GB2312"/>
          <w:sz w:val="28"/>
          <w:szCs w:val="28"/>
        </w:rPr>
        <w:t>整改落实。目前，8月</w:t>
      </w:r>
      <w:r>
        <w:rPr>
          <w:rFonts w:hint="eastAsia" w:ascii="仿宋_GB2312" w:hAnsi="仿宋" w:eastAsia="仿宋_GB2312"/>
          <w:sz w:val="28"/>
          <w:szCs w:val="28"/>
          <w:lang w:val="en-US" w:eastAsia="zh-CN"/>
        </w:rPr>
        <w:t>份</w:t>
      </w:r>
      <w:r>
        <w:rPr>
          <w:rFonts w:hint="eastAsia" w:ascii="仿宋_GB2312" w:hAnsi="仿宋" w:eastAsia="仿宋_GB2312"/>
          <w:sz w:val="28"/>
          <w:szCs w:val="28"/>
        </w:rPr>
        <w:t>省政府督导组交办的</w:t>
      </w:r>
      <w:r>
        <w:rPr>
          <w:rFonts w:hint="eastAsia" w:ascii="仿宋_GB2312" w:hAnsi="仿宋" w:eastAsia="仿宋_GB2312"/>
          <w:sz w:val="28"/>
          <w:szCs w:val="28"/>
          <w:lang w:val="en-US" w:eastAsia="zh-CN"/>
        </w:rPr>
        <w:t>26</w:t>
      </w:r>
      <w:r>
        <w:rPr>
          <w:rFonts w:hint="eastAsia" w:ascii="仿宋_GB2312" w:hAnsi="仿宋" w:eastAsia="仿宋_GB2312"/>
          <w:sz w:val="28"/>
          <w:szCs w:val="28"/>
        </w:rPr>
        <w:t>项隐患，已完成</w:t>
      </w:r>
      <w:r>
        <w:rPr>
          <w:rFonts w:hint="eastAsia" w:ascii="仿宋_GB2312" w:hAnsi="仿宋" w:eastAsia="仿宋_GB2312"/>
          <w:color w:val="000000"/>
          <w:sz w:val="28"/>
          <w:szCs w:val="28"/>
        </w:rPr>
        <w:t>整改19项，剩余隐患将按进度整改到位；9月</w:t>
      </w:r>
      <w:r>
        <w:rPr>
          <w:rFonts w:hint="eastAsia" w:ascii="仿宋_GB2312" w:hAnsi="仿宋" w:eastAsia="仿宋_GB2312"/>
          <w:color w:val="000000"/>
          <w:sz w:val="28"/>
          <w:szCs w:val="28"/>
          <w:lang w:val="en-US" w:eastAsia="zh-CN"/>
        </w:rPr>
        <w:t>份</w:t>
      </w:r>
      <w:r>
        <w:rPr>
          <w:rFonts w:hint="eastAsia" w:ascii="仿宋_GB2312" w:hAnsi="仿宋" w:eastAsia="仿宋_GB2312"/>
          <w:color w:val="000000"/>
          <w:sz w:val="28"/>
          <w:szCs w:val="28"/>
        </w:rPr>
        <w:t>国务院安委会综合督查反馈的</w:t>
      </w:r>
      <w:r>
        <w:rPr>
          <w:rFonts w:hint="eastAsia" w:ascii="仿宋_GB2312" w:hAnsi="仿宋" w:eastAsia="仿宋_GB2312"/>
          <w:color w:val="000000"/>
          <w:sz w:val="28"/>
          <w:szCs w:val="28"/>
          <w:lang w:val="en-US" w:eastAsia="zh-CN"/>
        </w:rPr>
        <w:t>41个</w:t>
      </w:r>
      <w:r>
        <w:rPr>
          <w:rFonts w:hint="eastAsia" w:ascii="仿宋_GB2312" w:hAnsi="仿宋" w:eastAsia="仿宋_GB2312"/>
          <w:sz w:val="28"/>
          <w:szCs w:val="28"/>
        </w:rPr>
        <w:t>问题和10月</w:t>
      </w:r>
      <w:r>
        <w:rPr>
          <w:rFonts w:hint="eastAsia" w:ascii="仿宋_GB2312" w:hAnsi="仿宋" w:eastAsia="仿宋_GB2312"/>
          <w:sz w:val="28"/>
          <w:szCs w:val="28"/>
          <w:lang w:val="en-US" w:eastAsia="zh-CN"/>
        </w:rPr>
        <w:t>份</w:t>
      </w:r>
      <w:r>
        <w:rPr>
          <w:rFonts w:hint="eastAsia" w:ascii="仿宋_GB2312" w:hAnsi="仿宋" w:eastAsia="仿宋_GB2312"/>
          <w:sz w:val="28"/>
          <w:szCs w:val="28"/>
        </w:rPr>
        <w:t>国务院安委办“回头看”检查反馈的5个问题已全部整改到位；省安委会挂牌督办的临湘市烟花爆竹生产企业重大安全隐患治理任务于6月底提前完成；省安委会挂牌督办的冷水铺路道路交通重大事故隐患整治工作和省道交委重点督办的8处道路交通事故多发路段隐患整改全部完成。</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560" w:firstLineChars="200"/>
        <w:jc w:val="both"/>
        <w:textAlignment w:val="auto"/>
        <w:outlineLvl w:val="9"/>
        <w:rPr>
          <w:rFonts w:hint="eastAsia" w:ascii="仿宋_GB2312" w:hAnsi="仿宋" w:eastAsia="仿宋_GB2312" w:cs="仿宋"/>
          <w:sz w:val="28"/>
          <w:szCs w:val="28"/>
        </w:rPr>
      </w:pPr>
      <w:r>
        <w:rPr>
          <w:rFonts w:hint="eastAsia" w:ascii="楷体" w:hAnsi="楷体" w:eastAsia="楷体"/>
          <w:sz w:val="28"/>
          <w:szCs w:val="28"/>
          <w:lang w:val="en-US" w:eastAsia="zh-CN"/>
        </w:rPr>
        <w:t>（六）夯实基层基础，提高安全监管水平。</w:t>
      </w:r>
      <w:r>
        <w:rPr>
          <w:rFonts w:hint="eastAsia" w:ascii="仿宋_GB2312" w:hAnsi="仿宋_GB2312" w:eastAsia="仿宋_GB2312"/>
          <w:sz w:val="28"/>
          <w:szCs w:val="28"/>
        </w:rPr>
        <w:t>坚持</w:t>
      </w:r>
      <w:r>
        <w:rPr>
          <w:rFonts w:hint="eastAsia" w:ascii="仿宋_GB2312" w:hAnsi="仿宋_GB2312" w:eastAsia="仿宋_GB2312"/>
          <w:sz w:val="28"/>
          <w:szCs w:val="28"/>
          <w:lang w:eastAsia="zh-CN"/>
        </w:rPr>
        <w:t>多措并举</w:t>
      </w:r>
      <w:r>
        <w:rPr>
          <w:rFonts w:hint="eastAsia" w:ascii="仿宋_GB2312" w:hAnsi="仿宋_GB2312" w:eastAsia="仿宋_GB2312"/>
          <w:sz w:val="28"/>
          <w:szCs w:val="28"/>
        </w:rPr>
        <w:t>、</w:t>
      </w:r>
      <w:r>
        <w:rPr>
          <w:rFonts w:hint="eastAsia" w:ascii="仿宋_GB2312" w:hAnsi="仿宋_GB2312" w:eastAsia="仿宋_GB2312"/>
          <w:sz w:val="28"/>
          <w:szCs w:val="28"/>
          <w:lang w:eastAsia="zh-CN"/>
        </w:rPr>
        <w:t>固本强基</w:t>
      </w: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切实加强安全生产基层基础工作</w:t>
      </w:r>
      <w:r>
        <w:rPr>
          <w:rFonts w:hint="eastAsia" w:ascii="仿宋_GB2312" w:hAnsi="仿宋_GB2312" w:eastAsia="仿宋_GB2312"/>
          <w:sz w:val="28"/>
          <w:szCs w:val="28"/>
        </w:rPr>
        <w:t>。</w:t>
      </w:r>
      <w:r>
        <w:rPr>
          <w:rFonts w:hint="eastAsia" w:ascii="仿宋" w:hAnsi="仿宋" w:eastAsia="仿宋"/>
          <w:b/>
          <w:bCs/>
          <w:sz w:val="28"/>
          <w:szCs w:val="28"/>
        </w:rPr>
        <w:t>一</w:t>
      </w:r>
      <w:r>
        <w:rPr>
          <w:rFonts w:hint="eastAsia" w:ascii="仿宋" w:hAnsi="仿宋" w:eastAsia="仿宋" w:cs="楷体"/>
          <w:b/>
          <w:bCs/>
          <w:sz w:val="28"/>
          <w:szCs w:val="28"/>
        </w:rPr>
        <w:t>是提升安全监管能力。</w:t>
      </w:r>
      <w:r>
        <w:rPr>
          <w:rFonts w:hint="eastAsia" w:ascii="仿宋_GB2312" w:hAnsi="仿宋_GB2312" w:eastAsia="仿宋_GB2312"/>
          <w:sz w:val="28"/>
          <w:szCs w:val="28"/>
        </w:rPr>
        <w:t>10月12日，市政府第9次常务会议专题研究安全生产基层基础工作，</w:t>
      </w:r>
      <w:r>
        <w:rPr>
          <w:rFonts w:hint="eastAsia" w:ascii="仿宋_GB2312" w:hAnsi="仿宋_GB2312" w:eastAsia="仿宋_GB2312"/>
          <w:sz w:val="28"/>
          <w:szCs w:val="28"/>
          <w:lang w:eastAsia="zh-CN"/>
        </w:rPr>
        <w:t>就压实基层监管责任、健全基层监管机制、落实联合惩戒、开展示范创建和有奖举报</w:t>
      </w:r>
      <w:r>
        <w:rPr>
          <w:rFonts w:hint="eastAsia" w:ascii="仿宋_GB2312" w:hAnsi="仿宋_GB2312" w:eastAsia="仿宋_GB2312"/>
          <w:sz w:val="28"/>
          <w:szCs w:val="28"/>
          <w:lang w:val="en-US" w:eastAsia="zh-CN"/>
        </w:rPr>
        <w:t>等</w:t>
      </w:r>
      <w:r>
        <w:rPr>
          <w:rFonts w:hint="eastAsia" w:ascii="仿宋_GB2312" w:hAnsi="仿宋_GB2312" w:eastAsia="仿宋_GB2312"/>
          <w:sz w:val="28"/>
          <w:szCs w:val="28"/>
          <w:lang w:eastAsia="zh-CN"/>
        </w:rPr>
        <w:t>提出明确要求和具体措施。</w:t>
      </w:r>
      <w:r>
        <w:rPr>
          <w:rFonts w:hint="eastAsia" w:ascii="仿宋" w:hAnsi="仿宋" w:eastAsia="仿宋"/>
          <w:sz w:val="28"/>
          <w:szCs w:val="28"/>
        </w:rPr>
        <w:t>市政府发文明确市、县两级安监部门为政府行政执法机构，要求相关职能部门落实保障措施，支持安监部门有效开展行政执法工作</w:t>
      </w:r>
      <w:r>
        <w:rPr>
          <w:rFonts w:hint="eastAsia" w:ascii="仿宋" w:hAnsi="仿宋" w:eastAsia="仿宋" w:cs="仿宋"/>
          <w:sz w:val="28"/>
          <w:szCs w:val="28"/>
        </w:rPr>
        <w:t>。</w:t>
      </w:r>
      <w:r>
        <w:rPr>
          <w:rFonts w:hint="eastAsia" w:ascii="仿宋" w:hAnsi="仿宋" w:eastAsia="仿宋"/>
          <w:sz w:val="28"/>
          <w:szCs w:val="28"/>
        </w:rPr>
        <w:t>健全乡镇安监站设立，建立村组安监员、信息员制度，明确村（社区）书记为安全生产第一责任人，主任为兼职安监员，村民组长为信息员；在岳阳楼区率先进行网格化管理试点，打通安全监管“最后一公里”。</w:t>
      </w:r>
      <w:r>
        <w:rPr>
          <w:rFonts w:hint="eastAsia" w:ascii="仿宋" w:hAnsi="仿宋" w:eastAsia="仿宋" w:cs="楷体"/>
          <w:b/>
          <w:bCs/>
          <w:sz w:val="28"/>
          <w:szCs w:val="28"/>
          <w:lang w:eastAsia="zh-CN"/>
        </w:rPr>
        <w:t>二</w:t>
      </w:r>
      <w:r>
        <w:rPr>
          <w:rFonts w:hint="eastAsia" w:ascii="仿宋" w:hAnsi="仿宋" w:eastAsia="仿宋" w:cs="楷体"/>
          <w:b/>
          <w:bCs/>
          <w:sz w:val="28"/>
          <w:szCs w:val="28"/>
        </w:rPr>
        <w:t>是营造全民参与安全生产大氛围。</w:t>
      </w:r>
      <w:r>
        <w:rPr>
          <w:rFonts w:hint="eastAsia" w:ascii="仿宋" w:hAnsi="仿宋" w:eastAsia="仿宋" w:cs="仿宋"/>
          <w:sz w:val="28"/>
          <w:szCs w:val="28"/>
        </w:rPr>
        <w:t>深入开展安全生产月活动，积极推进安全生产基层行、“6·16”安全生产咨询日等10大重点活动；在岳阳日报、岳阳电视台、岳阳安监微信公众号设立安监曝光台，定期曝光非法违法行为和重大安全隐患；出台《岳阳市安全生产举报奖励办法》，设立2千-3万不等的奖励标准</w:t>
      </w:r>
      <w:r>
        <w:rPr>
          <w:rFonts w:hint="eastAsia" w:ascii="仿宋" w:hAnsi="仿宋" w:eastAsia="仿宋" w:cs="仿宋"/>
          <w:sz w:val="28"/>
          <w:szCs w:val="28"/>
          <w:lang w:eastAsia="zh-CN"/>
        </w:rPr>
        <w:t>；</w:t>
      </w:r>
      <w:r>
        <w:rPr>
          <w:rFonts w:hint="eastAsia" w:ascii="仿宋" w:hAnsi="仿宋" w:eastAsia="仿宋" w:cs="仿宋"/>
          <w:sz w:val="28"/>
          <w:szCs w:val="28"/>
        </w:rPr>
        <w:t>采取公益视频、流动宣传车、宣传册、公告牌、新媒体广告等多种措施将有奖举报政策宣传到村组、到社区、到企业，9月1日兑现</w:t>
      </w:r>
      <w:r>
        <w:rPr>
          <w:rFonts w:hint="eastAsia" w:ascii="仿宋" w:hAnsi="仿宋" w:eastAsia="仿宋" w:cs="仿宋"/>
          <w:sz w:val="28"/>
          <w:szCs w:val="28"/>
          <w:lang w:eastAsia="zh-CN"/>
        </w:rPr>
        <w:t>了</w:t>
      </w:r>
      <w:r>
        <w:rPr>
          <w:rFonts w:hint="eastAsia" w:ascii="仿宋" w:hAnsi="仿宋" w:eastAsia="仿宋" w:cs="仿宋"/>
          <w:sz w:val="28"/>
          <w:szCs w:val="28"/>
        </w:rPr>
        <w:t>第一批奖励</w:t>
      </w:r>
      <w:r>
        <w:rPr>
          <w:rFonts w:hint="eastAsia" w:ascii="仿宋" w:hAnsi="仿宋" w:eastAsia="仿宋" w:cs="仿宋"/>
          <w:sz w:val="28"/>
          <w:szCs w:val="28"/>
          <w:lang w:eastAsia="zh-CN"/>
        </w:rPr>
        <w:t>。</w:t>
      </w:r>
      <w:r>
        <w:rPr>
          <w:rFonts w:hint="eastAsia" w:ascii="仿宋" w:hAnsi="仿宋" w:eastAsia="仿宋" w:cs="仿宋"/>
          <w:sz w:val="28"/>
          <w:szCs w:val="28"/>
        </w:rPr>
        <w:t>湖南日报、国家安监总局官微、湖南安监公众号多次报道我市工作做法。</w:t>
      </w:r>
      <w:r>
        <w:rPr>
          <w:rFonts w:hint="eastAsia" w:ascii="仿宋" w:hAnsi="仿宋" w:eastAsia="仿宋" w:cs="楷体"/>
          <w:b/>
          <w:bCs/>
          <w:sz w:val="28"/>
          <w:szCs w:val="28"/>
          <w:lang w:eastAsia="zh-CN"/>
        </w:rPr>
        <w:t>三</w:t>
      </w:r>
      <w:r>
        <w:rPr>
          <w:rFonts w:hint="eastAsia" w:ascii="仿宋" w:hAnsi="仿宋" w:eastAsia="仿宋" w:cs="楷体"/>
          <w:b/>
          <w:bCs/>
          <w:sz w:val="28"/>
          <w:szCs w:val="28"/>
        </w:rPr>
        <w:t>是提高企业本质安全水平。</w:t>
      </w:r>
      <w:r>
        <w:rPr>
          <w:rFonts w:hint="eastAsia" w:ascii="仿宋" w:hAnsi="仿宋" w:eastAsia="仿宋"/>
          <w:sz w:val="28"/>
          <w:szCs w:val="28"/>
        </w:rPr>
        <w:t>举办全市首届企业主要负责人培训班，167名重点监管企业负责人参加培训；发放《企业主要负责人安全生产承诺书》公示牌并要求悬挂在企业</w:t>
      </w:r>
      <w:r>
        <w:rPr>
          <w:rFonts w:hint="eastAsia" w:ascii="仿宋" w:hAnsi="仿宋" w:eastAsia="仿宋"/>
          <w:sz w:val="28"/>
          <w:szCs w:val="28"/>
          <w:lang w:eastAsia="zh-CN"/>
        </w:rPr>
        <w:t>法人代表</w:t>
      </w:r>
      <w:r>
        <w:rPr>
          <w:rFonts w:hint="eastAsia" w:ascii="仿宋" w:hAnsi="仿宋" w:eastAsia="仿宋"/>
          <w:sz w:val="28"/>
          <w:szCs w:val="28"/>
        </w:rPr>
        <w:t>办公室，增强其</w:t>
      </w:r>
      <w:r>
        <w:rPr>
          <w:rFonts w:hint="eastAsia" w:ascii="仿宋" w:hAnsi="仿宋" w:eastAsia="仿宋"/>
          <w:sz w:val="28"/>
          <w:szCs w:val="28"/>
          <w:lang w:eastAsia="zh-CN"/>
        </w:rPr>
        <w:t>履行</w:t>
      </w:r>
      <w:r>
        <w:rPr>
          <w:rFonts w:hint="eastAsia" w:ascii="仿宋" w:hAnsi="仿宋" w:eastAsia="仿宋"/>
          <w:sz w:val="28"/>
          <w:szCs w:val="28"/>
        </w:rPr>
        <w:t>安全</w:t>
      </w:r>
      <w:r>
        <w:rPr>
          <w:rFonts w:hint="eastAsia" w:ascii="仿宋" w:hAnsi="仿宋" w:eastAsia="仿宋"/>
          <w:sz w:val="28"/>
          <w:szCs w:val="28"/>
          <w:lang w:eastAsia="zh-CN"/>
        </w:rPr>
        <w:t>生产法定职责的</w:t>
      </w:r>
      <w:r>
        <w:rPr>
          <w:rFonts w:hint="eastAsia" w:ascii="仿宋" w:hAnsi="仿宋" w:eastAsia="仿宋"/>
          <w:sz w:val="28"/>
          <w:szCs w:val="28"/>
        </w:rPr>
        <w:t>意识。在重点企业设立安全生产有奖举报公告牌，发挥企业员工“查隐患、保安全”主力作用。</w:t>
      </w:r>
      <w:r>
        <w:rPr>
          <w:rFonts w:hint="eastAsia" w:ascii="仿宋" w:hAnsi="仿宋" w:eastAsia="仿宋" w:cs="楷体"/>
          <w:b/>
          <w:bCs/>
          <w:sz w:val="28"/>
          <w:szCs w:val="28"/>
          <w:lang w:eastAsia="zh-CN"/>
        </w:rPr>
        <w:t>四</w:t>
      </w:r>
      <w:r>
        <w:rPr>
          <w:rFonts w:hint="eastAsia" w:ascii="仿宋" w:hAnsi="仿宋" w:eastAsia="仿宋" w:cs="楷体"/>
          <w:b/>
          <w:bCs/>
          <w:sz w:val="28"/>
          <w:szCs w:val="28"/>
        </w:rPr>
        <w:t>是开展</w:t>
      </w:r>
      <w:r>
        <w:rPr>
          <w:rFonts w:hint="eastAsia" w:ascii="仿宋" w:hAnsi="仿宋" w:eastAsia="仿宋" w:cs="楷体"/>
          <w:b/>
          <w:bCs/>
          <w:sz w:val="28"/>
          <w:szCs w:val="28"/>
          <w:lang w:eastAsia="zh-CN"/>
        </w:rPr>
        <w:t>安全生产示范</w:t>
      </w:r>
      <w:r>
        <w:rPr>
          <w:rFonts w:hint="eastAsia" w:ascii="仿宋" w:hAnsi="仿宋" w:eastAsia="仿宋" w:cs="楷体"/>
          <w:b/>
          <w:bCs/>
          <w:sz w:val="28"/>
          <w:szCs w:val="28"/>
        </w:rPr>
        <w:t>创建活动。</w:t>
      </w:r>
      <w:r>
        <w:rPr>
          <w:rFonts w:hint="eastAsia" w:ascii="仿宋" w:hAnsi="仿宋" w:eastAsia="仿宋" w:cs="仿宋"/>
          <w:sz w:val="28"/>
          <w:szCs w:val="28"/>
        </w:rPr>
        <w:t>推进安全生产示范县、示范乡镇、示范企业创建</w:t>
      </w:r>
      <w:r>
        <w:rPr>
          <w:rFonts w:hint="eastAsia" w:ascii="仿宋" w:hAnsi="仿宋" w:eastAsia="仿宋"/>
          <w:sz w:val="28"/>
          <w:szCs w:val="28"/>
        </w:rPr>
        <w:t>。完成</w:t>
      </w:r>
      <w:r>
        <w:rPr>
          <w:rFonts w:hint="eastAsia" w:ascii="仿宋" w:hAnsi="仿宋" w:eastAsia="仿宋"/>
          <w:sz w:val="28"/>
          <w:szCs w:val="28"/>
          <w:lang w:val="en-US" w:eastAsia="zh-CN"/>
        </w:rPr>
        <w:t>1个</w:t>
      </w:r>
      <w:r>
        <w:rPr>
          <w:rFonts w:hint="eastAsia" w:ascii="仿宋" w:hAnsi="仿宋" w:eastAsia="仿宋"/>
          <w:sz w:val="28"/>
          <w:szCs w:val="28"/>
        </w:rPr>
        <w:t>省级示范县</w:t>
      </w:r>
      <w:r>
        <w:rPr>
          <w:rFonts w:hint="eastAsia" w:ascii="仿宋" w:hAnsi="仿宋" w:eastAsia="仿宋"/>
          <w:sz w:val="28"/>
          <w:szCs w:val="28"/>
          <w:lang w:eastAsia="zh-CN"/>
        </w:rPr>
        <w:t>、</w:t>
      </w:r>
      <w:r>
        <w:rPr>
          <w:rFonts w:hint="eastAsia" w:ascii="仿宋" w:hAnsi="仿宋" w:eastAsia="仿宋"/>
          <w:sz w:val="28"/>
          <w:szCs w:val="28"/>
        </w:rPr>
        <w:t>5</w:t>
      </w:r>
      <w:r>
        <w:rPr>
          <w:rFonts w:hint="eastAsia" w:ascii="仿宋" w:hAnsi="仿宋" w:eastAsia="仿宋"/>
          <w:sz w:val="28"/>
          <w:szCs w:val="28"/>
          <w:lang w:eastAsia="zh-CN"/>
        </w:rPr>
        <w:t>个</w:t>
      </w:r>
      <w:r>
        <w:rPr>
          <w:rFonts w:hint="eastAsia" w:ascii="仿宋" w:hAnsi="仿宋" w:eastAsia="仿宋"/>
          <w:sz w:val="28"/>
          <w:szCs w:val="28"/>
        </w:rPr>
        <w:t>省级示范乡镇</w:t>
      </w:r>
      <w:r>
        <w:rPr>
          <w:rFonts w:hint="eastAsia" w:ascii="仿宋" w:hAnsi="仿宋" w:eastAsia="仿宋"/>
          <w:sz w:val="28"/>
          <w:szCs w:val="28"/>
          <w:lang w:eastAsia="zh-CN"/>
        </w:rPr>
        <w:t>和</w:t>
      </w:r>
      <w:r>
        <w:rPr>
          <w:rFonts w:hint="eastAsia" w:ascii="仿宋" w:hAnsi="仿宋" w:eastAsia="仿宋"/>
          <w:sz w:val="28"/>
          <w:szCs w:val="28"/>
          <w:lang w:val="en-US" w:eastAsia="zh-CN"/>
        </w:rPr>
        <w:t>4个市级示范乡镇</w:t>
      </w:r>
      <w:r>
        <w:rPr>
          <w:rFonts w:hint="eastAsia" w:ascii="仿宋" w:hAnsi="仿宋" w:eastAsia="仿宋"/>
          <w:sz w:val="28"/>
          <w:szCs w:val="28"/>
        </w:rPr>
        <w:t>创建工作的考评验收，湘阴县</w:t>
      </w:r>
      <w:r>
        <w:rPr>
          <w:rFonts w:hint="eastAsia" w:ascii="仿宋" w:hAnsi="仿宋" w:eastAsia="仿宋"/>
          <w:sz w:val="28"/>
          <w:szCs w:val="28"/>
          <w:lang w:eastAsia="zh-CN"/>
        </w:rPr>
        <w:t>将</w:t>
      </w:r>
      <w:r>
        <w:rPr>
          <w:rFonts w:hint="eastAsia" w:ascii="仿宋" w:hAnsi="仿宋" w:eastAsia="仿宋"/>
          <w:sz w:val="28"/>
          <w:szCs w:val="28"/>
        </w:rPr>
        <w:t>成为我市首个省级安全生产示范县。</w:t>
      </w:r>
      <w:r>
        <w:rPr>
          <w:rFonts w:hint="eastAsia" w:ascii="仿宋" w:hAnsi="仿宋" w:eastAsia="仿宋" w:cs="楷体"/>
          <w:b/>
          <w:bCs/>
          <w:sz w:val="28"/>
          <w:szCs w:val="28"/>
          <w:lang w:eastAsia="zh-CN"/>
        </w:rPr>
        <w:t>五是</w:t>
      </w:r>
      <w:r>
        <w:rPr>
          <w:rFonts w:hint="eastAsia" w:ascii="仿宋" w:hAnsi="仿宋" w:eastAsia="仿宋" w:cs="楷体"/>
          <w:b/>
          <w:bCs/>
          <w:sz w:val="28"/>
          <w:szCs w:val="28"/>
        </w:rPr>
        <w:t>深入学习贯彻党的十九大精神。</w:t>
      </w:r>
      <w:r>
        <w:rPr>
          <w:rFonts w:hint="eastAsia" w:ascii="仿宋" w:hAnsi="仿宋" w:eastAsia="仿宋" w:cs="楷体"/>
          <w:b w:val="0"/>
          <w:bCs w:val="0"/>
          <w:sz w:val="28"/>
          <w:szCs w:val="28"/>
          <w:lang w:val="en-US" w:eastAsia="zh-CN"/>
        </w:rPr>
        <w:t>在</w:t>
      </w:r>
      <w:r>
        <w:rPr>
          <w:rFonts w:hint="eastAsia" w:ascii="仿宋" w:hAnsi="仿宋" w:eastAsia="仿宋" w:cs="楷体"/>
          <w:b w:val="0"/>
          <w:bCs w:val="0"/>
          <w:sz w:val="28"/>
          <w:szCs w:val="28"/>
        </w:rPr>
        <w:t>全市安监系统</w:t>
      </w:r>
      <w:r>
        <w:rPr>
          <w:rFonts w:hint="eastAsia" w:ascii="仿宋" w:hAnsi="仿宋" w:eastAsia="仿宋" w:cs="仿宋"/>
          <w:sz w:val="28"/>
          <w:szCs w:val="28"/>
        </w:rPr>
        <w:t>发出《倡议书》，鼓励广大党员干部勇担“护平安、保稳定，迎接党的十九大胜利召开”政治责任；11月8日，举办了全市“学习贯彻党的十九大精神，做新时代最美安全卫士”演讲比赛；11月10日，举办了“学习贯彻党的十九大精神报告会暨党组书记讲党</w:t>
      </w:r>
      <w:r>
        <w:rPr>
          <w:rFonts w:hint="eastAsia" w:ascii="仿宋_GB2312" w:hAnsi="仿宋" w:eastAsia="仿宋_GB2312" w:cs="仿宋"/>
          <w:sz w:val="28"/>
          <w:szCs w:val="28"/>
        </w:rPr>
        <w:t>课活动”，并邀请十九大代表邓伟同志作辅导报告，号召全市安监系统在党的十九大精神指引下，不忘初心，牢记使命，继续前进。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lang w:eastAsia="zh-CN"/>
        </w:rPr>
        <w:t>四、存在问题</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通过前述对我局整体支出情况的分析，反映出目前在整体支出的预算编制、执行和管理过程中，依然存在一些问题和不足，针对这些不足，我局将积极采取改进措施，持续改进，不断规范和强化管理。</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（一）出现有年初未作预算安排，但本年仍实际发生了少部分支出，以及其他费用明细项目超支现象的存在，预算的执行有待进一步加强。</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（二）本年资金结余较上年大幅减少，项目追加申请工作的推进和财政相关部门的工作联系需要加强。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（三）三公经费总量比上年有所增加，管理仍有较大提高空间。</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（四）专项经费重申报轻管理现象较为普遍，在项目具体实施阶段，开支过于随意，监督管理也较为松散。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五、改进措施和有关建议</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_GB2312" w:hAnsi="仿宋" w:eastAsia="仿宋_GB2312" w:cs="仿宋"/>
          <w:kern w:val="2"/>
          <w:sz w:val="28"/>
          <w:szCs w:val="28"/>
          <w:lang w:val="en-US" w:eastAsia="zh-CN" w:bidi="ar-SA"/>
        </w:rPr>
        <w:t>针</w:t>
      </w:r>
      <w:r>
        <w:rPr>
          <w:rFonts w:hint="eastAsia" w:ascii="仿宋" w:hAnsi="仿宋" w:eastAsia="仿宋" w:cs="仿宋"/>
          <w:sz w:val="28"/>
          <w:szCs w:val="28"/>
          <w:lang w:val="en-US" w:eastAsia="zh-CN"/>
        </w:rPr>
        <w:t>对上述存在的问题及我局整体支出管理工作的需要，拟实施的改进措施如下：</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细化预算编制工作，认真做好预算的编制，进一步加强局内部机构各科室的预算管理意识，严格按照预算编制的相关制度和要求，公用经费根据单位的年度工作重点和项目专项工作规划，本着“勤俭节约、保障运转”的原则进行预算的编制；编制范围尽可能的全面，不漏项；在预算编制时首先需满足固定性的、相对刚性的费用支出项目，尽量压缩变动性的、有控制空间的费用项目；杜绝预算编制粗放、拍脑袋现象的发生，进一步提高预算编制的科学性、合理性、严谨性和可控性。</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遵循预算管理办法，对于年度无法预计的临时追加的相关工作所需费用，按照预算调整追加程序，逐级申报报批；对结余资金需调整用途的同样按照预算调整追加程序逐级申报报批，做到资金支付，预算现行，确保资金使用按照预算项目和使用用途执行，杜绝费用项目之间调剂使用现象的发生。</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进一步严控三公经费支出，严格控制三公经费的规模和比例，严格三公经费支出的审核审批流程，杜绝挪用和挤占其他预算资金行为；进一步细化三公经费的管理，抓好公车的节能降耗工作，控制公务出国费用支出，进一步压缩三公经费支出。</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（五）预算财务分析常态化，定期做好支出预算财务分析，及时对费用预算执行情况进行通报和预警，定期对下属预算单位的预算执行情况进行检查，做好部门整体支出预算评价工作。</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针对指标文下达工作，尽早计划和开展年度专项的申报，加强报批工作的沟通和跟踪，及时落实项目专项的报批进度和指标文的下达；对财政资金下达时间滞后的项目，加强与财政部门的沟通联系，尽早取得资金的拨付，保障项目资金的投入进度，发挥资金的使用效益。</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（七）在项目资金及时到位的前提下，加快项目实施进度的推进，加强项目开展进度的跟踪，开展项目绩效评价，确保项目绩效目标的完成；</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560" w:firstLineChars="20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（八）及时开展和财政的年度结余资金的对账工作，加强和财政的沟通，尽早取得上年结余资金结转的指标批复，以便年初相关工作的开展。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附件：2017年部门整体支出绩效自评指标计分表</w:t>
      </w:r>
    </w:p>
    <w:p>
      <w:pPr>
        <w:keepNext w:val="0"/>
        <w:keepLines w:val="0"/>
        <w:pageBreakBefore w:val="0"/>
        <w:widowControl w:val="0"/>
        <w:kinsoku/>
        <w:wordWrap/>
        <w:overflowPunct/>
        <w:topLinePunct w:val="0"/>
        <w:autoSpaceDE/>
        <w:autoSpaceDN/>
        <w:bidi w:val="0"/>
        <w:adjustRightInd/>
        <w:snapToGrid/>
        <w:spacing w:line="520" w:lineRule="exact"/>
        <w:ind w:firstLine="3640" w:firstLineChars="1300"/>
        <w:textAlignment w:val="auto"/>
        <w:rPr>
          <w:rFonts w:hint="eastAsia" w:ascii="仿宋" w:hAnsi="仿宋" w:eastAsia="仿宋" w:cs="仿宋"/>
          <w:sz w:val="28"/>
          <w:szCs w:val="28"/>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480" w:firstLineChars="1600"/>
        <w:textAlignment w:val="auto"/>
        <w:rPr>
          <w:rFonts w:hint="eastAsia" w:ascii="仿宋" w:hAnsi="仿宋" w:eastAsia="仿宋" w:cs="仿宋"/>
          <w:sz w:val="28"/>
          <w:szCs w:val="28"/>
        </w:rPr>
      </w:pPr>
      <w:r>
        <w:rPr>
          <w:rFonts w:hint="eastAsia" w:ascii="仿宋" w:hAnsi="仿宋" w:eastAsia="仿宋" w:cs="仿宋"/>
          <w:sz w:val="28"/>
          <w:szCs w:val="28"/>
          <w:lang w:eastAsia="zh-CN"/>
        </w:rPr>
        <w:t>岳</w:t>
      </w:r>
      <w:r>
        <w:rPr>
          <w:rFonts w:hint="eastAsia" w:ascii="仿宋" w:hAnsi="仿宋" w:eastAsia="仿宋" w:cs="仿宋"/>
          <w:sz w:val="28"/>
          <w:szCs w:val="28"/>
        </w:rPr>
        <w:t>阳市安全生产监督管理局</w:t>
      </w:r>
    </w:p>
    <w:p>
      <w:pPr>
        <w:keepNext w:val="0"/>
        <w:keepLines w:val="0"/>
        <w:pageBreakBefore w:val="0"/>
        <w:widowControl w:val="0"/>
        <w:kinsoku/>
        <w:wordWrap/>
        <w:overflowPunct/>
        <w:topLinePunct w:val="0"/>
        <w:autoSpaceDE/>
        <w:autoSpaceDN/>
        <w:bidi w:val="0"/>
        <w:adjustRightInd/>
        <w:snapToGrid/>
        <w:spacing w:line="520" w:lineRule="exact"/>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2018年</w:t>
      </w:r>
      <w:r>
        <w:rPr>
          <w:rFonts w:hint="eastAsia" w:ascii="仿宋" w:hAnsi="仿宋" w:eastAsia="仿宋" w:cs="仿宋"/>
          <w:sz w:val="28"/>
          <w:szCs w:val="28"/>
          <w:lang w:val="en-US" w:eastAsia="zh-CN"/>
        </w:rPr>
        <w:t>6</w:t>
      </w:r>
      <w:r>
        <w:rPr>
          <w:rFonts w:hint="eastAsia" w:ascii="仿宋" w:hAnsi="仿宋" w:eastAsia="仿宋" w:cs="仿宋"/>
          <w:sz w:val="28"/>
          <w:szCs w:val="28"/>
        </w:rPr>
        <w:t>月2</w:t>
      </w:r>
      <w:r>
        <w:rPr>
          <w:rFonts w:hint="eastAsia" w:ascii="仿宋" w:hAnsi="仿宋" w:eastAsia="仿宋" w:cs="仿宋"/>
          <w:sz w:val="28"/>
          <w:szCs w:val="28"/>
          <w:lang w:val="en-US" w:eastAsia="zh-CN"/>
        </w:rPr>
        <w:t>2</w:t>
      </w:r>
      <w:r>
        <w:rPr>
          <w:rFonts w:hint="eastAsia" w:ascii="仿宋" w:hAnsi="仿宋" w:eastAsia="仿宋" w:cs="仿宋"/>
          <w:sz w:val="28"/>
          <w:szCs w:val="28"/>
        </w:rPr>
        <w:t>日</w:t>
      </w:r>
    </w:p>
    <w:p>
      <w:pPr>
        <w:pStyle w:val="2"/>
        <w:keepNext w:val="0"/>
        <w:keepLines w:val="0"/>
        <w:widowControl/>
        <w:suppressLineNumbers w:val="0"/>
        <w:spacing w:before="0" w:beforeAutospacing="0" w:after="0" w:afterAutospacing="0" w:line="33" w:lineRule="atLeast"/>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w:t>
      </w:r>
    </w:p>
    <w:p>
      <w:pPr>
        <w:pStyle w:val="2"/>
        <w:keepNext w:val="0"/>
        <w:keepLines w:val="0"/>
        <w:widowControl/>
        <w:suppressLineNumbers w:val="0"/>
        <w:spacing w:before="0" w:beforeAutospacing="0" w:after="0" w:afterAutospacing="0" w:line="33" w:lineRule="atLeast"/>
        <w:jc w:val="center"/>
        <w:rPr>
          <w:rFonts w:hint="eastAsia" w:ascii="黑体" w:hAnsi="黑体" w:eastAsia="黑体" w:cs="黑体"/>
          <w:kern w:val="2"/>
          <w:sz w:val="56"/>
          <w:szCs w:val="56"/>
          <w:lang w:val="en-US" w:eastAsia="zh-CN" w:bidi="ar-SA"/>
        </w:rPr>
      </w:pPr>
      <w:r>
        <w:rPr>
          <w:rFonts w:hint="eastAsia" w:ascii="黑体" w:hAnsi="黑体" w:eastAsia="黑体" w:cs="黑体"/>
          <w:color w:val="000000"/>
          <w:sz w:val="32"/>
          <w:szCs w:val="32"/>
        </w:rPr>
        <w:t>2017年部门整体支出绩效自评指标计分表</w:t>
      </w:r>
    </w:p>
    <w:tbl>
      <w:tblPr>
        <w:tblStyle w:val="10"/>
        <w:tblW w:w="8532" w:type="dxa"/>
        <w:tblInd w:w="1"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719"/>
        <w:gridCol w:w="789"/>
        <w:gridCol w:w="1047"/>
        <w:gridCol w:w="509"/>
        <w:gridCol w:w="2131"/>
        <w:gridCol w:w="333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rPr>
          <w:trHeight w:val="844" w:hRule="atLeast"/>
        </w:trPr>
        <w:tc>
          <w:tcPr>
            <w:tcW w:w="71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191" w:firstLineChars="100"/>
              <w:jc w:val="left"/>
              <w:rPr>
                <w:b/>
                <w:bCs/>
              </w:rPr>
            </w:pPr>
            <w:r>
              <w:rPr>
                <w:rFonts w:hint="eastAsia" w:ascii="宋体" w:hAnsi="宋体" w:eastAsia="宋体" w:cs="宋体"/>
                <w:b/>
                <w:bCs/>
                <w:color w:val="000000"/>
                <w:sz w:val="19"/>
                <w:szCs w:val="19"/>
              </w:rPr>
              <w:t>一级</w:t>
            </w:r>
          </w:p>
          <w:p>
            <w:pPr>
              <w:pStyle w:val="2"/>
              <w:keepNext w:val="0"/>
              <w:keepLines w:val="0"/>
              <w:widowControl/>
              <w:suppressLineNumbers w:val="0"/>
              <w:spacing w:before="0" w:beforeAutospacing="0" w:after="0" w:afterAutospacing="0" w:line="33" w:lineRule="atLeast"/>
              <w:ind w:firstLine="191" w:firstLineChars="100"/>
              <w:jc w:val="left"/>
              <w:rPr>
                <w:b/>
                <w:bCs/>
              </w:rPr>
            </w:pPr>
            <w:r>
              <w:rPr>
                <w:rFonts w:hint="eastAsia" w:ascii="宋体" w:hAnsi="宋体" w:eastAsia="宋体" w:cs="宋体"/>
                <w:b/>
                <w:bCs/>
                <w:color w:val="000000"/>
                <w:sz w:val="19"/>
                <w:szCs w:val="19"/>
              </w:rPr>
              <w:t>指标</w:t>
            </w:r>
          </w:p>
        </w:tc>
        <w:tc>
          <w:tcPr>
            <w:tcW w:w="78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191" w:firstLineChars="100"/>
              <w:jc w:val="left"/>
              <w:rPr>
                <w:b/>
                <w:bCs/>
              </w:rPr>
            </w:pPr>
            <w:r>
              <w:rPr>
                <w:rFonts w:hint="eastAsia" w:ascii="宋体" w:hAnsi="宋体" w:eastAsia="宋体" w:cs="宋体"/>
                <w:b/>
                <w:bCs/>
                <w:color w:val="000000"/>
                <w:sz w:val="19"/>
                <w:szCs w:val="19"/>
                <w:lang w:eastAsia="zh-CN"/>
              </w:rPr>
              <w:t>二</w:t>
            </w:r>
            <w:r>
              <w:rPr>
                <w:rFonts w:hint="eastAsia" w:ascii="宋体" w:hAnsi="宋体" w:eastAsia="宋体" w:cs="宋体"/>
                <w:b/>
                <w:bCs/>
                <w:color w:val="000000"/>
                <w:sz w:val="19"/>
                <w:szCs w:val="19"/>
              </w:rPr>
              <w:t>级</w:t>
            </w:r>
          </w:p>
          <w:p>
            <w:pPr>
              <w:pStyle w:val="2"/>
              <w:keepNext w:val="0"/>
              <w:keepLines w:val="0"/>
              <w:widowControl/>
              <w:suppressLineNumbers w:val="0"/>
              <w:spacing w:before="0" w:beforeAutospacing="0" w:after="0" w:afterAutospacing="0" w:line="33" w:lineRule="atLeast"/>
              <w:ind w:firstLine="191" w:firstLineChars="100"/>
              <w:jc w:val="left"/>
              <w:rPr>
                <w:b/>
                <w:bCs/>
              </w:rPr>
            </w:pPr>
            <w:r>
              <w:rPr>
                <w:rFonts w:hint="eastAsia" w:ascii="宋体" w:hAnsi="宋体" w:eastAsia="宋体" w:cs="宋体"/>
                <w:b/>
                <w:bCs/>
                <w:color w:val="000000"/>
                <w:sz w:val="19"/>
                <w:szCs w:val="19"/>
              </w:rPr>
              <w:t>指标</w:t>
            </w: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firstLine="191" w:firstLineChars="100"/>
              <w:jc w:val="left"/>
              <w:rPr>
                <w:b/>
                <w:bCs/>
              </w:rPr>
            </w:pPr>
            <w:r>
              <w:rPr>
                <w:rFonts w:hint="eastAsia" w:ascii="宋体" w:hAnsi="宋体" w:eastAsia="宋体" w:cs="宋体"/>
                <w:b/>
                <w:bCs/>
                <w:color w:val="000000"/>
                <w:sz w:val="19"/>
                <w:szCs w:val="19"/>
                <w:lang w:eastAsia="zh-CN"/>
              </w:rPr>
              <w:t>三</w:t>
            </w:r>
            <w:r>
              <w:rPr>
                <w:rFonts w:hint="eastAsia" w:ascii="宋体" w:hAnsi="宋体" w:eastAsia="宋体" w:cs="宋体"/>
                <w:b/>
                <w:bCs/>
                <w:color w:val="000000"/>
                <w:sz w:val="19"/>
                <w:szCs w:val="19"/>
              </w:rPr>
              <w:t>级</w:t>
            </w:r>
          </w:p>
          <w:p>
            <w:pPr>
              <w:pStyle w:val="2"/>
              <w:keepNext w:val="0"/>
              <w:keepLines w:val="0"/>
              <w:widowControl/>
              <w:suppressLineNumbers w:val="0"/>
              <w:spacing w:before="0" w:beforeAutospacing="0" w:after="0" w:afterAutospacing="0" w:line="33" w:lineRule="atLeast"/>
              <w:ind w:firstLine="191" w:firstLineChars="100"/>
              <w:jc w:val="left"/>
              <w:rPr>
                <w:b/>
                <w:bCs/>
              </w:rPr>
            </w:pPr>
            <w:r>
              <w:rPr>
                <w:rFonts w:hint="eastAsia" w:ascii="宋体" w:hAnsi="宋体" w:eastAsia="宋体" w:cs="宋体"/>
                <w:b/>
                <w:bCs/>
                <w:color w:val="000000"/>
                <w:sz w:val="19"/>
                <w:szCs w:val="19"/>
              </w:rPr>
              <w:t>指标</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rPr>
                <w:b/>
                <w:bCs/>
              </w:rPr>
            </w:pPr>
            <w:r>
              <w:rPr>
                <w:rFonts w:hint="eastAsia" w:ascii="宋体" w:hAnsi="宋体" w:eastAsia="宋体" w:cs="宋体"/>
                <w:b/>
                <w:bCs/>
                <w:color w:val="000000"/>
                <w:sz w:val="19"/>
                <w:szCs w:val="19"/>
              </w:rPr>
              <w:t>自评分</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rPr>
                <w:b/>
                <w:bCs/>
              </w:rPr>
            </w:pPr>
            <w:r>
              <w:rPr>
                <w:rFonts w:hint="eastAsia" w:ascii="宋体" w:hAnsi="宋体" w:eastAsia="宋体" w:cs="宋体"/>
                <w:b/>
                <w:bCs/>
                <w:color w:val="000000"/>
                <w:sz w:val="19"/>
                <w:szCs w:val="19"/>
              </w:rPr>
              <w:t>指标解释</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rPr>
                <w:b/>
                <w:bCs/>
              </w:rPr>
            </w:pPr>
            <w:r>
              <w:rPr>
                <w:rFonts w:hint="eastAsia" w:ascii="宋体" w:hAnsi="宋体" w:eastAsia="宋体" w:cs="宋体"/>
                <w:b/>
                <w:bCs/>
                <w:color w:val="000000"/>
                <w:sz w:val="19"/>
                <w:szCs w:val="19"/>
              </w:rPr>
              <w:t>指标说明</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642" w:hRule="atLeast"/>
        </w:trPr>
        <w:tc>
          <w:tcPr>
            <w:tcW w:w="71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pPr>
            <w:r>
              <w:rPr>
                <w:rFonts w:hint="eastAsia" w:ascii="宋体" w:hAnsi="宋体" w:eastAsia="宋体" w:cs="宋体"/>
                <w:color w:val="000000"/>
                <w:sz w:val="19"/>
                <w:szCs w:val="19"/>
              </w:rPr>
              <w:t>投入（20分）</w:t>
            </w:r>
          </w:p>
        </w:tc>
        <w:tc>
          <w:tcPr>
            <w:tcW w:w="78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pPr>
            <w:r>
              <w:rPr>
                <w:rFonts w:hint="eastAsia" w:ascii="宋体" w:hAnsi="宋体" w:eastAsia="宋体" w:cs="宋体"/>
                <w:color w:val="000000"/>
                <w:sz w:val="19"/>
                <w:szCs w:val="19"/>
              </w:rPr>
              <w:t>目标设定（5分）</w:t>
            </w: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绩效目标合理性（2分）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pPr>
            <w:r>
              <w:rPr>
                <w:rFonts w:hint="eastAsia" w:ascii="宋体" w:hAnsi="宋体" w:eastAsia="宋体" w:cs="宋体"/>
                <w:color w:val="000000"/>
                <w:sz w:val="19"/>
                <w:szCs w:val="19"/>
              </w:rPr>
              <w:t>2</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部门所设立的整体绩效目标依据是否充分，是否符合客观实际，用以反映和考核部门整体绩效目标与部门履职、年度工作任务的相符性情况。</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①符合国家法律法规、国民经济和社会发展总体规划计1分；②符合部门“三定”方案确定的职责计0.5分；③是否符合部门制定的中长期实施规划计0.5分。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绩效指标明确性（3分）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pPr>
            <w:r>
              <w:rPr>
                <w:rFonts w:hint="eastAsia" w:ascii="宋体" w:hAnsi="宋体" w:eastAsia="宋体" w:cs="宋体"/>
                <w:color w:val="000000"/>
                <w:sz w:val="19"/>
                <w:szCs w:val="19"/>
              </w:rPr>
              <w:t>3</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部门依据整体绩效目标所设定的绩效指标是否清晰、细化、可衡量，用以反映和考核部门整体绩效目标的明细化情况。</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2004" w:hRule="atLeast"/>
        </w:trPr>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jc w:val="center"/>
            </w:pPr>
            <w:r>
              <w:rPr>
                <w:rFonts w:hint="eastAsia" w:ascii="宋体" w:hAnsi="宋体" w:eastAsia="宋体" w:cs="宋体"/>
                <w:color w:val="000000"/>
                <w:sz w:val="19"/>
                <w:szCs w:val="19"/>
              </w:rPr>
              <w:t>预算</w:t>
            </w:r>
          </w:p>
          <w:p>
            <w:pPr>
              <w:pStyle w:val="2"/>
              <w:keepNext w:val="0"/>
              <w:keepLines w:val="0"/>
              <w:widowControl/>
              <w:suppressLineNumbers w:val="0"/>
              <w:spacing w:before="0" w:beforeAutospacing="0" w:after="0" w:afterAutospacing="0" w:line="33" w:lineRule="atLeast"/>
              <w:ind w:left="0" w:firstLine="420"/>
              <w:jc w:val="center"/>
            </w:pPr>
            <w:r>
              <w:rPr>
                <w:rFonts w:hint="eastAsia" w:ascii="宋体" w:hAnsi="宋体" w:eastAsia="宋体" w:cs="宋体"/>
                <w:color w:val="000000"/>
                <w:sz w:val="19"/>
                <w:szCs w:val="19"/>
              </w:rPr>
              <w:t>配置（15分）</w:t>
            </w: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在职人员控制率（5分）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pPr>
            <w:r>
              <w:rPr>
                <w:rFonts w:hint="eastAsia" w:ascii="宋体" w:hAnsi="宋体" w:eastAsia="宋体" w:cs="宋体"/>
                <w:color w:val="000000"/>
                <w:sz w:val="19"/>
                <w:szCs w:val="19"/>
              </w:rPr>
              <w:t>5</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部门本年度实际在职人员数与编制数的比率，用以反映和考核部门对人员成本的控制程度。</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729" w:hRule="atLeast"/>
        </w:trPr>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“三公经费”变动率（5分）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rPr>
                <w:rFonts w:hint="eastAsia" w:eastAsiaTheme="minorEastAsia"/>
                <w:lang w:eastAsia="zh-CN"/>
              </w:rPr>
            </w:pPr>
            <w:r>
              <w:rPr>
                <w:rFonts w:hint="eastAsia" w:ascii="宋体" w:hAnsi="宋体" w:eastAsia="宋体" w:cs="宋体"/>
                <w:color w:val="000000"/>
                <w:sz w:val="19"/>
                <w:szCs w:val="19"/>
                <w:lang w:val="en-US" w:eastAsia="zh-CN"/>
              </w:rPr>
              <w:t>2</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部门本年度“三公经费”预算数与上年度“三公经费”预算数的变动比率，用以反映和考核部门对控制重点行政成本的努力程度。</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3232" w:hRule="atLeast"/>
        </w:trPr>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重点支出安排率（5分）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rPr>
                <w:rFonts w:hint="eastAsia" w:eastAsiaTheme="minorEastAsia"/>
                <w:lang w:eastAsia="zh-CN"/>
              </w:rPr>
            </w:pPr>
            <w:r>
              <w:rPr>
                <w:rFonts w:hint="eastAsia" w:ascii="宋体" w:hAnsi="宋体" w:eastAsia="宋体" w:cs="宋体"/>
                <w:color w:val="000000"/>
                <w:sz w:val="19"/>
                <w:szCs w:val="19"/>
                <w:lang w:val="en-US" w:eastAsia="zh-CN"/>
              </w:rPr>
              <w:t>3</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部门本年度预算安排的重点项目支出与部门项目总支出的比率，用以反映和考核部门对履行主要职责或完成重点任务的保障程度。</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1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过程（30分）</w:t>
            </w:r>
          </w:p>
        </w:tc>
        <w:tc>
          <w:tcPr>
            <w:tcW w:w="78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预算执行（20分）</w:t>
            </w: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预算完成率（4分）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pPr>
            <w:r>
              <w:rPr>
                <w:rFonts w:hint="eastAsia" w:ascii="宋体" w:hAnsi="宋体" w:eastAsia="宋体" w:cs="宋体"/>
                <w:color w:val="000000"/>
                <w:sz w:val="19"/>
                <w:szCs w:val="19"/>
              </w:rPr>
              <w:t>4</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部门本年度预算完成数与预算数的比率，用以反映和考核部门预算完成程度。</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预算完成率=（预算完成数/预算数）×100%。完成年初预算计4分，未完成年初预算按比例扣减，预算完成数：部门本年度实际完成的预算数。预算数：财政部门批复的本年度部门预算数。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预算调整率（2分）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rPr>
                <w:rFonts w:hint="eastAsia" w:eastAsiaTheme="minorEastAsia"/>
                <w:lang w:eastAsia="zh-CN"/>
              </w:rPr>
            </w:pPr>
            <w:r>
              <w:rPr>
                <w:rFonts w:hint="eastAsia" w:ascii="宋体" w:hAnsi="宋体" w:eastAsia="宋体" w:cs="宋体"/>
                <w:color w:val="000000"/>
                <w:sz w:val="19"/>
                <w:szCs w:val="19"/>
                <w:lang w:val="en-US" w:eastAsia="zh-CN"/>
              </w:rPr>
              <w:t>1</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部门本年度预算调整数与预算数的比率，用以反映和考核部门预算的调整程度。</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支付进度率（2分）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rPr>
                <w:rFonts w:hint="eastAsia" w:eastAsiaTheme="minorEastAsia"/>
                <w:lang w:val="en-US" w:eastAsia="zh-CN"/>
              </w:rPr>
            </w:pPr>
            <w:r>
              <w:rPr>
                <w:rFonts w:hint="eastAsia" w:ascii="宋体" w:hAnsi="宋体" w:eastAsia="宋体" w:cs="宋体"/>
                <w:color w:val="000000"/>
                <w:sz w:val="19"/>
                <w:szCs w:val="19"/>
                <w:lang w:val="en-US" w:eastAsia="zh-CN"/>
              </w:rPr>
              <w:t>1.5</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部门实际支付进度与既定支付进度的比率，用以反映和考核部门预算执行的及时性和均衡性程度。</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78" w:hRule="atLeast"/>
        </w:trPr>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结转结余控制率（4分）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rPr>
                <w:rFonts w:hint="eastAsia" w:eastAsiaTheme="minorEastAsia"/>
                <w:lang w:eastAsia="zh-CN"/>
              </w:rPr>
            </w:pPr>
            <w:r>
              <w:rPr>
                <w:rFonts w:hint="eastAsia" w:ascii="宋体" w:hAnsi="宋体" w:eastAsia="宋体" w:cs="宋体"/>
                <w:color w:val="000000"/>
                <w:sz w:val="19"/>
                <w:szCs w:val="19"/>
                <w:lang w:val="en-US" w:eastAsia="zh-CN"/>
              </w:rPr>
              <w:t>0</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部门本年度结转结余总额与上年结转结余总额增减比例，用以反映和考核部门对存量资金的实际控制程度。</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167" w:hRule="atLeast"/>
        </w:trPr>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公用经费</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控制率（2分）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pPr>
            <w:r>
              <w:rPr>
                <w:rFonts w:hint="eastAsia" w:ascii="宋体" w:hAnsi="宋体" w:eastAsia="宋体" w:cs="宋体"/>
                <w:color w:val="000000"/>
                <w:sz w:val="19"/>
                <w:szCs w:val="19"/>
              </w:rPr>
              <w:t>2</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部门本年度实际支出的公用经费总额与预算安排的公用经费总额的比率，用以反映和考核部门对机构运转成本的实际控制程度。</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公用经费控制率=（实际支出公用经费总额/预算安排公用经费总额）×100%。为100%的计2分，每超过1个百分点扣0.1分，扣完为止。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883" w:hRule="atLeast"/>
        </w:trPr>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“三公经费”控制率（2分）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rPr>
                <w:rFonts w:hint="eastAsia" w:eastAsiaTheme="minorEastAsia"/>
                <w:lang w:eastAsia="zh-CN"/>
              </w:rPr>
            </w:pPr>
            <w:r>
              <w:rPr>
                <w:rFonts w:hint="eastAsia" w:ascii="宋体" w:hAnsi="宋体" w:eastAsia="宋体" w:cs="宋体"/>
                <w:color w:val="000000"/>
                <w:sz w:val="19"/>
                <w:szCs w:val="19"/>
                <w:lang w:val="en-US" w:eastAsia="zh-CN"/>
              </w:rPr>
              <w:t>0</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部门本年度“三公经费”实际支出数与预算安排数的比率，用以反映和考核部门对“三公经费”的实际控制程度。</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“三公经费”控制率=（“三公经费”实际支出数/“三公经费”预算安排数）×100%。为100%的计2分，每超过1个百分点扣0.5分，扣完为止。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2304" w:hRule="atLeast"/>
        </w:trPr>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政府采购</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执行率（4分）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pPr>
            <w:r>
              <w:rPr>
                <w:rFonts w:hint="eastAsia" w:ascii="宋体" w:hAnsi="宋体" w:eastAsia="宋体" w:cs="宋体"/>
                <w:color w:val="000000"/>
                <w:sz w:val="19"/>
                <w:szCs w:val="19"/>
              </w:rPr>
              <w:t>4</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部门本年度实际政府采购金额与年初政府采购预算的比率，用以反映和考核部门政府采购预算执行情况。</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预算管理（5分）</w:t>
            </w: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管理制度</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健全性（2分）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pPr>
            <w:r>
              <w:rPr>
                <w:rFonts w:hint="eastAsia" w:ascii="宋体" w:hAnsi="宋体" w:eastAsia="宋体" w:cs="宋体"/>
                <w:color w:val="000000"/>
                <w:sz w:val="19"/>
                <w:szCs w:val="19"/>
              </w:rPr>
              <w:t>2</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部门为加强预算管理、规范财务行为而制定的管理制度是否健全完整，用以反映和考核部门预算管理制度对完成主要职责或促进事业发展的保障情况。</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已制定或具有预算资金管理办法、内部财务管理制度、会计核算制度等管理制度计1分；相关管理制度合法、合规、完整计0.5分；相关管理制度得到有效执行计0.5分。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2703" w:hRule="atLeast"/>
        </w:trPr>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资金使用</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合规性（1分）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pPr>
            <w:r>
              <w:rPr>
                <w:rFonts w:hint="eastAsia" w:ascii="宋体" w:hAnsi="宋体" w:eastAsia="宋体" w:cs="宋体"/>
                <w:color w:val="000000"/>
                <w:sz w:val="19"/>
                <w:szCs w:val="19"/>
              </w:rPr>
              <w:t>1</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部门使用预算资金是否符合相关的预算财务管理制度的规定，用以反映和考核部门预算资金的规范运行情况。</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743" w:hRule="atLeast"/>
        </w:trPr>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预决算信</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息公开性（1分）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pPr>
            <w:r>
              <w:rPr>
                <w:rFonts w:hint="eastAsia" w:ascii="宋体" w:hAnsi="宋体" w:eastAsia="宋体" w:cs="宋体"/>
                <w:color w:val="000000"/>
                <w:sz w:val="19"/>
                <w:szCs w:val="19"/>
              </w:rPr>
              <w:t>1</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部门是否按照政府信息公开有关规定公开相关预决算信息，用以反映和考核部门预决算管理的公开透明情况。</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①按规定内容公开预决算信息计0.5分；②按规定时限公开预决算信息计0.5分。预决算信息是指与部门预算、执行、决算、监督、绩效等管理相关的信息。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493" w:hRule="atLeast"/>
        </w:trPr>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基础信息</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完善性（1分）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pPr>
            <w:r>
              <w:rPr>
                <w:rFonts w:hint="eastAsia" w:ascii="宋体" w:hAnsi="宋体" w:eastAsia="宋体" w:cs="宋体"/>
                <w:color w:val="000000"/>
                <w:sz w:val="19"/>
                <w:szCs w:val="19"/>
              </w:rPr>
              <w:t>1</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部门基础信息是否完善，用以反映和考核基础信息对预算管理工作的支撑情况。</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①基础数据信息和会计信息资料真实计0.4分；②基础数据信息和会计信息资料完整计0.3分；③基础数据信息和会计信息资料准确计0.3分。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资产管理（5分）</w:t>
            </w: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管理制度</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健全性（2分）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rPr>
                <w:rFonts w:hint="eastAsia" w:eastAsiaTheme="minorEastAsia"/>
                <w:lang w:eastAsia="zh-CN"/>
              </w:rPr>
            </w:pPr>
            <w:r>
              <w:rPr>
                <w:rFonts w:hint="eastAsia" w:ascii="宋体" w:hAnsi="宋体" w:eastAsia="宋体" w:cs="宋体"/>
                <w:color w:val="000000"/>
                <w:sz w:val="19"/>
                <w:szCs w:val="19"/>
                <w:lang w:val="en-US" w:eastAsia="zh-CN"/>
              </w:rPr>
              <w:t>1</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部门为加强资产管理、规范资产管理行为而制定的管理制度是否健全完整，用以反映和考核部门资产管理制度对完成主要职责或促进社会发展的保障情况。</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①制定或具有资产管理制度计1分；②相关资金管理制度合法、合规、完整计0.5分；③相关资产管理制度得到有效执行计0.5分。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355" w:hRule="atLeast"/>
        </w:trPr>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资产管理</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安全性（2分）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rPr>
                <w:rFonts w:hint="eastAsia" w:eastAsiaTheme="minorEastAsia"/>
                <w:lang w:val="en-US" w:eastAsia="zh-CN"/>
              </w:rPr>
            </w:pPr>
            <w:r>
              <w:rPr>
                <w:rFonts w:hint="eastAsia" w:ascii="宋体" w:hAnsi="宋体" w:eastAsia="宋体" w:cs="宋体"/>
                <w:color w:val="000000"/>
                <w:sz w:val="19"/>
                <w:szCs w:val="19"/>
                <w:lang w:val="en-US" w:eastAsia="zh-CN"/>
              </w:rPr>
              <w:t>1.2</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部门的资产是否保存完整、使用合规、配置合理、处置规范、收入及时足额上缴，用以反映和考核部门资产安全运行情况。</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①资产保存完整计0.4分；②资产配置合理计0.4分；③资产处置规范计0.4分；④资产账务管理合规、帐实相符计0.4分；⑤资产有偿使用及处置收入及时足额上缴计0.4分。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固定资产</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利用率（1分）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rPr>
                <w:rFonts w:hint="eastAsia" w:eastAsia="宋体"/>
                <w:lang w:eastAsia="zh-CN"/>
              </w:rPr>
            </w:pPr>
            <w:r>
              <w:rPr>
                <w:rFonts w:hint="eastAsia" w:ascii="宋体" w:hAnsi="宋体" w:eastAsia="宋体" w:cs="宋体"/>
                <w:color w:val="000000"/>
                <w:sz w:val="19"/>
                <w:szCs w:val="19"/>
              </w:rPr>
              <w:t>0.</w:t>
            </w:r>
            <w:r>
              <w:rPr>
                <w:rFonts w:hint="eastAsia" w:ascii="宋体" w:hAnsi="宋体" w:eastAsia="宋体" w:cs="宋体"/>
                <w:color w:val="000000"/>
                <w:sz w:val="19"/>
                <w:szCs w:val="19"/>
                <w:lang w:val="en-US" w:eastAsia="zh-CN"/>
              </w:rPr>
              <w:t>6</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部门实际在用固定资产总额与所有固定资产总额的比率，用以反映和考核部门固定资产使用效率程度。</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固定资产利用率=（实际在用固定资产总额/所有固定资产总额）×100%。利用率为100%的计1分，每降1个百分点扣0.1分，扣完为止。</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1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产出（30分）</w:t>
            </w:r>
          </w:p>
        </w:tc>
        <w:tc>
          <w:tcPr>
            <w:tcW w:w="78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职责履行</w:t>
            </w: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实际完成率（8分）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pPr>
            <w:r>
              <w:rPr>
                <w:rFonts w:hint="eastAsia" w:ascii="宋体" w:hAnsi="宋体" w:eastAsia="宋体" w:cs="宋体"/>
                <w:color w:val="000000"/>
                <w:sz w:val="19"/>
                <w:szCs w:val="19"/>
              </w:rPr>
              <w:t>8</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部门履行职责而实际完成工作数与计划工作数的比率，用以反映和考核部门履职工作任务目标的实现程度。</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实际完成率得分=完成市委市政府绩效考核得分或上级主管部门考核指标得分/指标分值*8分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完成及时率（4分）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pPr>
            <w:r>
              <w:rPr>
                <w:rFonts w:hint="eastAsia" w:ascii="宋体" w:hAnsi="宋体" w:eastAsia="宋体" w:cs="宋体"/>
                <w:color w:val="000000"/>
                <w:sz w:val="19"/>
                <w:szCs w:val="19"/>
              </w:rPr>
              <w:t>4</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部门在规定时限内及时完成的实际工作数与计划工作数的比率,用以反映和考核部门履职时效目标的实现程度。</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完成及时率=（及时完成实际工作数/计划工作数）×100%。1-4季度各得1分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质量达标率（8分）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pPr>
            <w:r>
              <w:rPr>
                <w:rFonts w:hint="eastAsia" w:ascii="宋体" w:hAnsi="宋体" w:eastAsia="宋体" w:cs="宋体"/>
                <w:color w:val="000000"/>
                <w:sz w:val="19"/>
                <w:szCs w:val="19"/>
              </w:rPr>
              <w:t>8</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达到质量标准（绩效标准值）的实际工作数与计划工作数的比率,用以反映和考核部门履职质量目标的实现程度。</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质量达标率=（质量达标实际工作数/计划工作数）×100%。实际得分=达标率*8分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重点工作</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办结率（10分）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pPr>
            <w:r>
              <w:rPr>
                <w:rFonts w:hint="eastAsia" w:ascii="宋体" w:hAnsi="宋体" w:eastAsia="宋体" w:cs="宋体"/>
                <w:color w:val="000000"/>
                <w:sz w:val="19"/>
                <w:szCs w:val="19"/>
              </w:rPr>
              <w:t>10</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部门年度重点工作实际完成数与交办或下达数的比率，用以反映部门对重点工作的办理落实程度。</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重点工作办结率=（重点工作实际完成数/交办或下达数）×100%。实际得分=办结率*10分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1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效果（20分）</w:t>
            </w:r>
          </w:p>
        </w:tc>
        <w:tc>
          <w:tcPr>
            <w:tcW w:w="78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履职效益（20分）</w:t>
            </w: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经济效益（5分）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rPr>
                <w:rFonts w:hint="eastAsia" w:eastAsiaTheme="minorEastAsia"/>
                <w:lang w:eastAsia="zh-CN"/>
              </w:rPr>
            </w:pPr>
            <w:r>
              <w:rPr>
                <w:rFonts w:hint="eastAsia" w:ascii="宋体" w:hAnsi="宋体" w:eastAsia="宋体" w:cs="宋体"/>
                <w:color w:val="000000"/>
                <w:sz w:val="19"/>
                <w:szCs w:val="19"/>
                <w:lang w:eastAsia="zh-CN"/>
              </w:rPr>
              <w:t>4</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部门履行职责对经济发展所带来的直接或间接影响。</w:t>
            </w:r>
          </w:p>
        </w:tc>
        <w:tc>
          <w:tcPr>
            <w:tcW w:w="3337"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按经济效益实现程度计算得分（5分）；按社会效益实现程度计算得分（5分）；按生态效益实现程度计算得分（5分）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256" w:hRule="atLeast"/>
        </w:trPr>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社会效益（5分）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rPr>
                <w:rFonts w:hint="eastAsia" w:eastAsiaTheme="minorEastAsia"/>
                <w:lang w:eastAsia="zh-CN"/>
              </w:rPr>
            </w:pPr>
            <w:r>
              <w:rPr>
                <w:rFonts w:hint="eastAsia" w:ascii="宋体" w:hAnsi="宋体" w:eastAsia="宋体" w:cs="宋体"/>
                <w:color w:val="000000"/>
                <w:sz w:val="19"/>
                <w:szCs w:val="19"/>
                <w:lang w:val="en-US" w:eastAsia="zh-CN"/>
              </w:rPr>
              <w:t>4</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部门履行职责对社会发展所带来的直接或间接影响。</w:t>
            </w:r>
          </w:p>
        </w:tc>
        <w:tc>
          <w:tcPr>
            <w:tcW w:w="333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color w:val="000000"/>
                <w:sz w:val="19"/>
                <w:szCs w:val="19"/>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1417" w:hRule="atLeast"/>
        </w:trPr>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生态效益（5分）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rPr>
                <w:rFonts w:hint="eastAsia" w:eastAsiaTheme="minorEastAsia"/>
                <w:lang w:val="en-US" w:eastAsia="zh-CN"/>
              </w:rPr>
            </w:pPr>
            <w:r>
              <w:rPr>
                <w:rFonts w:hint="eastAsia" w:ascii="宋体" w:hAnsi="宋体" w:eastAsia="宋体" w:cs="宋体"/>
                <w:color w:val="000000"/>
                <w:sz w:val="19"/>
                <w:szCs w:val="19"/>
                <w:lang w:val="en-US" w:eastAsia="zh-CN"/>
              </w:rPr>
              <w:t>4</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部门履行职责对生态环境所带来的直接或间接影响。</w:t>
            </w:r>
          </w:p>
        </w:tc>
        <w:tc>
          <w:tcPr>
            <w:tcW w:w="3337"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rPr>
                <w:rFonts w:hint="eastAsia" w:ascii="宋体" w:hAnsi="宋体" w:eastAsia="宋体" w:cs="宋体"/>
                <w:color w:val="000000"/>
                <w:sz w:val="19"/>
                <w:szCs w:val="19"/>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1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78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jc w:val="center"/>
              <w:rPr>
                <w:rFonts w:hint="eastAsia" w:ascii="宋体" w:hAnsi="宋体" w:eastAsia="宋体" w:cs="宋体"/>
                <w:color w:val="000000"/>
                <w:sz w:val="19"/>
                <w:szCs w:val="19"/>
              </w:rPr>
            </w:pPr>
          </w:p>
        </w:tc>
        <w:tc>
          <w:tcPr>
            <w:tcW w:w="104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社会公众</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或服务对</w:t>
            </w:r>
          </w:p>
          <w:p>
            <w:pPr>
              <w:pStyle w:val="2"/>
              <w:keepNext w:val="0"/>
              <w:keepLines w:val="0"/>
              <w:widowControl/>
              <w:suppressLineNumbers w:val="0"/>
              <w:spacing w:before="0" w:beforeAutospacing="0" w:after="0" w:afterAutospacing="0" w:line="33" w:lineRule="atLeast"/>
              <w:jc w:val="both"/>
            </w:pPr>
            <w:r>
              <w:rPr>
                <w:rFonts w:hint="eastAsia" w:ascii="宋体" w:hAnsi="宋体" w:eastAsia="宋体" w:cs="宋体"/>
                <w:color w:val="000000"/>
                <w:sz w:val="19"/>
                <w:szCs w:val="19"/>
              </w:rPr>
              <w:t>象满意度（5分）</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rPr>
                <w:rFonts w:hint="eastAsia" w:eastAsiaTheme="minorEastAsia"/>
                <w:lang w:val="en-US" w:eastAsia="zh-CN"/>
              </w:rPr>
            </w:pPr>
            <w:r>
              <w:rPr>
                <w:rFonts w:hint="eastAsia" w:ascii="宋体" w:hAnsi="宋体" w:eastAsia="宋体" w:cs="宋体"/>
                <w:color w:val="000000"/>
                <w:sz w:val="19"/>
                <w:szCs w:val="19"/>
                <w:lang w:val="en-US" w:eastAsia="zh-CN"/>
              </w:rPr>
              <w:t>4</w:t>
            </w:r>
          </w:p>
        </w:tc>
        <w:tc>
          <w:tcPr>
            <w:tcW w:w="213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社会公众或部门的服务对象对部门履职效果的满意程度。</w:t>
            </w:r>
          </w:p>
        </w:tc>
        <w:tc>
          <w:tcPr>
            <w:tcW w:w="333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pPr>
            <w:r>
              <w:rPr>
                <w:rFonts w:hint="eastAsia" w:ascii="宋体" w:hAnsi="宋体" w:eastAsia="宋体" w:cs="宋体"/>
                <w:color w:val="000000"/>
                <w:sz w:val="19"/>
                <w:szCs w:val="19"/>
              </w:rPr>
              <w:t>按收集到的服务对象的满意率计算得分（5分）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2555" w:type="dxa"/>
            <w:gridSpan w:val="3"/>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ind w:left="0" w:firstLine="420"/>
              <w:jc w:val="center"/>
            </w:pPr>
            <w:r>
              <w:rPr>
                <w:rFonts w:hint="eastAsia" w:ascii="宋体" w:hAnsi="宋体" w:eastAsia="宋体" w:cs="宋体"/>
                <w:color w:val="000000"/>
                <w:sz w:val="19"/>
                <w:szCs w:val="19"/>
              </w:rPr>
              <w:t>合   计</w:t>
            </w:r>
          </w:p>
        </w:tc>
        <w:tc>
          <w:tcPr>
            <w:tcW w:w="509"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before="0" w:beforeAutospacing="0" w:after="0" w:afterAutospacing="0" w:line="33" w:lineRule="atLeast"/>
              <w:jc w:val="center"/>
              <w:rPr>
                <w:rFonts w:hint="eastAsia" w:eastAsiaTheme="minorEastAsia"/>
                <w:lang w:val="en-US" w:eastAsia="zh-CN"/>
              </w:rPr>
            </w:pPr>
            <w:r>
              <w:rPr>
                <w:rFonts w:hint="eastAsia" w:ascii="宋体" w:hAnsi="宋体" w:eastAsia="宋体" w:cs="宋体"/>
                <w:color w:val="000000"/>
                <w:sz w:val="19"/>
                <w:szCs w:val="19"/>
                <w:lang w:val="en-US" w:eastAsia="zh-CN"/>
              </w:rPr>
              <w:t>81.3</w:t>
            </w:r>
          </w:p>
        </w:tc>
        <w:tc>
          <w:tcPr>
            <w:tcW w:w="2131" w:type="dxa"/>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color w:val="000000"/>
                <w:sz w:val="19"/>
                <w:szCs w:val="19"/>
              </w:rPr>
            </w:pPr>
          </w:p>
        </w:tc>
        <w:tc>
          <w:tcPr>
            <w:tcW w:w="3337" w:type="dxa"/>
            <w:tcBorders>
              <w:top w:val="outset" w:color="000000" w:sz="6" w:space="0"/>
              <w:left w:val="nil"/>
              <w:bottom w:val="outset" w:color="000000" w:sz="6" w:space="0"/>
              <w:right w:val="outset" w:color="000000" w:sz="6" w:space="0"/>
            </w:tcBorders>
            <w:shd w:val="clear" w:color="auto" w:fill="auto"/>
            <w:vAlign w:val="center"/>
          </w:tcPr>
          <w:p>
            <w:pPr>
              <w:rPr>
                <w:rFonts w:hint="eastAsia" w:ascii="宋体" w:hAnsi="宋体" w:eastAsia="宋体" w:cs="宋体"/>
                <w:color w:val="000000"/>
                <w:sz w:val="19"/>
                <w:szCs w:val="19"/>
              </w:rPr>
            </w:pPr>
          </w:p>
        </w:tc>
      </w:tr>
    </w:tbl>
    <w:p>
      <w:pPr>
        <w:rPr>
          <w:rFonts w:hint="eastAsia" w:ascii="仿宋" w:hAnsi="仿宋" w:eastAsia="仿宋" w:cs="仿宋"/>
          <w:sz w:val="32"/>
          <w:szCs w:val="32"/>
        </w:rPr>
      </w:pPr>
    </w:p>
    <w:sectPr>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DE6FC2"/>
    <w:multiLevelType w:val="singleLevel"/>
    <w:tmpl w:val="90DE6FC2"/>
    <w:lvl w:ilvl="0" w:tentative="0">
      <w:start w:val="3"/>
      <w:numFmt w:val="chineseCounting"/>
      <w:suff w:val="nothing"/>
      <w:lvlText w:val="（%1）"/>
      <w:lvlJc w:val="left"/>
      <w:rPr>
        <w:rFonts w:hint="eastAsia"/>
      </w:rPr>
    </w:lvl>
  </w:abstractNum>
  <w:abstractNum w:abstractNumId="1">
    <w:nsid w:val="EAD03EDC"/>
    <w:multiLevelType w:val="singleLevel"/>
    <w:tmpl w:val="EAD03EDC"/>
    <w:lvl w:ilvl="0" w:tentative="0">
      <w:start w:val="1"/>
      <w:numFmt w:val="decimal"/>
      <w:suff w:val="nothing"/>
      <w:lvlText w:val="%1、"/>
      <w:lvlJc w:val="left"/>
    </w:lvl>
  </w:abstractNum>
  <w:abstractNum w:abstractNumId="2">
    <w:nsid w:val="7BB752F7"/>
    <w:multiLevelType w:val="singleLevel"/>
    <w:tmpl w:val="7BB752F7"/>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31495"/>
    <w:rsid w:val="08962EDA"/>
    <w:rsid w:val="10C17673"/>
    <w:rsid w:val="11613DF7"/>
    <w:rsid w:val="297B6B26"/>
    <w:rsid w:val="369C68D2"/>
    <w:rsid w:val="4FE31495"/>
    <w:rsid w:val="6D535020"/>
    <w:rsid w:val="76AF010C"/>
    <w:rsid w:val="7BA6330B"/>
    <w:rsid w:val="7D9A4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252525"/>
      <w:u w:val="none"/>
    </w:rPr>
  </w:style>
  <w:style w:type="character" w:styleId="6">
    <w:name w:val="Emphasis"/>
    <w:basedOn w:val="3"/>
    <w:qFormat/>
    <w:uiPriority w:val="0"/>
  </w:style>
  <w:style w:type="character" w:styleId="7">
    <w:name w:val="Hyperlink"/>
    <w:basedOn w:val="3"/>
    <w:qFormat/>
    <w:uiPriority w:val="0"/>
    <w:rPr>
      <w:color w:val="252525"/>
      <w:u w:val="none"/>
    </w:rPr>
  </w:style>
  <w:style w:type="character" w:styleId="8">
    <w:name w:val="HTML Code"/>
    <w:basedOn w:val="3"/>
    <w:qFormat/>
    <w:uiPriority w:val="0"/>
    <w:rPr>
      <w:rFonts w:ascii="Courier New" w:hAnsi="Courier New"/>
      <w:sz w:val="20"/>
    </w:rPr>
  </w:style>
  <w:style w:type="character" w:styleId="9">
    <w:name w:val="HTML Cite"/>
    <w:basedOn w:val="3"/>
    <w:uiPriority w:val="0"/>
  </w:style>
  <w:style w:type="character" w:customStyle="1" w:styleId="11">
    <w:name w:val="wx-space"/>
    <w:basedOn w:val="3"/>
    <w:qFormat/>
    <w:uiPriority w:val="0"/>
  </w:style>
  <w:style w:type="character" w:customStyle="1" w:styleId="12">
    <w:name w:val="wx-space1"/>
    <w:basedOn w:val="3"/>
    <w:qFormat/>
    <w:uiPriority w:val="0"/>
  </w:style>
  <w:style w:type="character" w:customStyle="1" w:styleId="13">
    <w:name w:val="hover2"/>
    <w:basedOn w:val="3"/>
    <w:qFormat/>
    <w:uiPriority w:val="0"/>
    <w:rPr>
      <w:color w:val="000000"/>
      <w:shd w:val="clear" w:fill="FFFFFF"/>
    </w:rPr>
  </w:style>
  <w:style w:type="character" w:customStyle="1" w:styleId="14">
    <w:name w:val="hover"/>
    <w:basedOn w:val="3"/>
    <w:qFormat/>
    <w:uiPriority w:val="0"/>
    <w:rPr>
      <w:color w:val="000000"/>
      <w:shd w:val="clear" w:fill="FFFFFF"/>
    </w:rPr>
  </w:style>
  <w:style w:type="character" w:customStyle="1" w:styleId="15">
    <w:name w:val="hover3"/>
    <w:basedOn w:val="3"/>
    <w:uiPriority w:val="0"/>
    <w:rPr>
      <w:color w:val="000000"/>
      <w:shd w:val="clear" w:fill="FFFFFF"/>
    </w:rPr>
  </w:style>
  <w:style w:type="character" w:customStyle="1" w:styleId="16">
    <w:name w:val="hover4"/>
    <w:basedOn w:val="3"/>
    <w:qFormat/>
    <w:uiPriority w:val="0"/>
    <w:rPr>
      <w:color w:val="000000"/>
      <w:shd w:val="clear" w:fill="FFFFFF"/>
    </w:rPr>
  </w:style>
  <w:style w:type="character" w:customStyle="1" w:styleId="17">
    <w:name w:val="time"/>
    <w:basedOn w:val="3"/>
    <w:uiPriority w:val="0"/>
    <w:rPr>
      <w:color w:val="999999"/>
      <w:sz w:val="18"/>
      <w:szCs w:val="18"/>
    </w:rPr>
  </w:style>
  <w:style w:type="character" w:customStyle="1" w:styleId="18">
    <w:name w:val="time1"/>
    <w:basedOn w:val="3"/>
    <w:qFormat/>
    <w:uiPriority w:val="0"/>
    <w:rPr>
      <w:color w:val="888888"/>
    </w:rPr>
  </w:style>
  <w:style w:type="character" w:customStyle="1" w:styleId="19">
    <w:name w:val="time2"/>
    <w:basedOn w:val="3"/>
    <w:qFormat/>
    <w:uiPriority w:val="0"/>
    <w:rPr>
      <w:shd w:val="clear" w:fill="F5F7FB"/>
    </w:rPr>
  </w:style>
  <w:style w:type="character" w:customStyle="1" w:styleId="20">
    <w:name w:val="time3"/>
    <w:basedOn w:val="3"/>
    <w:qFormat/>
    <w:uiPriority w:val="0"/>
    <w:rPr>
      <w:color w:val="888888"/>
    </w:rPr>
  </w:style>
  <w:style w:type="character" w:customStyle="1" w:styleId="21">
    <w:name w:val="time4"/>
    <w:basedOn w:val="3"/>
    <w:qFormat/>
    <w:uiPriority w:val="0"/>
    <w:rPr>
      <w:color w:val="888888"/>
    </w:rPr>
  </w:style>
  <w:style w:type="character" w:customStyle="1" w:styleId="22">
    <w:name w:val="hover20"/>
    <w:basedOn w:val="3"/>
    <w:uiPriority w:val="0"/>
    <w:rPr>
      <w:color w:val="000000"/>
      <w:shd w:val="clear" w:fill="FFFFFF"/>
    </w:rPr>
  </w:style>
  <w:style w:type="character" w:customStyle="1" w:styleId="23">
    <w:name w:val="info2"/>
    <w:basedOn w:val="3"/>
    <w:qFormat/>
    <w:uiPriority w:val="0"/>
  </w:style>
  <w:style w:type="character" w:customStyle="1" w:styleId="24">
    <w:name w:val="pageinfo"/>
    <w:basedOn w:val="3"/>
    <w:qFormat/>
    <w:uiPriority w:val="0"/>
  </w:style>
  <w:style w:type="character" w:customStyle="1" w:styleId="25">
    <w:name w:val="more"/>
    <w:basedOn w:val="3"/>
    <w:uiPriority w:val="0"/>
  </w:style>
  <w:style w:type="character" w:customStyle="1" w:styleId="26">
    <w:name w:val="more1"/>
    <w:basedOn w:val="3"/>
    <w:qFormat/>
    <w:uiPriority w:val="0"/>
  </w:style>
  <w:style w:type="character" w:customStyle="1" w:styleId="27">
    <w:name w:val="info"/>
    <w:basedOn w:val="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180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2018-06-23T14:14:00Z</dcterms:created>
  <dc:creator>宾</dc:creator>
  <cp:lastModifiedBy>宾</cp:lastModifiedBy>
  <dcterms:modified xsi:type="dcterms:W3CDTF">2018-07-02T07:42:01Z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