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DBE758F">
      <w:pPr>
        <w:spacing w:beforeLines="0" w:afterLines="0"/>
        <w:rPr>
          <w:rFonts w:hint="default"/>
          <w:sz w:val="2"/>
        </w:rPr>
      </w:pPr>
    </w:p>
    <w:tbl>
      <w:tblPr>
        <w:tblStyle w:val="8"/>
        <w:tblW w:w="15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5306"/>
      </w:tblGrid>
      <w:tr w14:paraId="16E2C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581"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552BEE3">
            <w:pPr>
              <w:spacing w:beforeLines="0" w:afterLines="0" w:line="1110" w:lineRule="exact"/>
              <w:ind w:left="20"/>
              <w:jc w:val="center"/>
              <w:rPr>
                <w:rFonts w:hint="eastAsia" w:ascii="微软雅黑" w:hAnsi="微软雅黑" w:eastAsia="微软雅黑"/>
                <w:b/>
                <w:sz w:val="84"/>
              </w:rPr>
            </w:pPr>
            <w:r>
              <w:rPr>
                <w:rFonts w:hint="eastAsia" w:ascii="微软雅黑" w:hAnsi="微软雅黑" w:eastAsia="微软雅黑"/>
                <w:b/>
                <w:sz w:val="84"/>
              </w:rPr>
              <w:t>岳阳市水利局2026年度</w:t>
            </w:r>
          </w:p>
          <w:p w14:paraId="08668C9C">
            <w:pPr>
              <w:spacing w:beforeLines="0" w:afterLines="0" w:line="1110" w:lineRule="exact"/>
              <w:ind w:left="20"/>
              <w:jc w:val="center"/>
              <w:rPr>
                <w:rFonts w:hint="eastAsia" w:ascii="微软雅黑" w:hAnsi="微软雅黑" w:eastAsia="微软雅黑"/>
                <w:sz w:val="84"/>
              </w:rPr>
            </w:pPr>
            <w:r>
              <w:rPr>
                <w:rFonts w:hint="eastAsia" w:ascii="微软雅黑" w:hAnsi="微软雅黑" w:eastAsia="微软雅黑"/>
                <w:b/>
                <w:sz w:val="84"/>
              </w:rPr>
              <w:t>部门预算</w:t>
            </w:r>
          </w:p>
        </w:tc>
      </w:tr>
    </w:tbl>
    <w:p w14:paraId="0C43EC70">
      <w:pPr>
        <w:spacing w:beforeLines="0" w:afterLines="0" w:line="525" w:lineRule="exact"/>
        <w:ind w:left="20"/>
        <w:jc w:val="center"/>
        <w:rPr>
          <w:rFonts w:hint="eastAsia" w:ascii="Dialog" w:hAnsi="Dialog"/>
          <w:sz w:val="44"/>
        </w:rPr>
      </w:pPr>
      <w:r>
        <w:rPr>
          <w:rFonts w:hint="eastAsia" w:ascii="Dialog" w:hAnsi="Dialog"/>
          <w:sz w:val="44"/>
        </w:rPr>
        <w:br w:type="page"/>
      </w:r>
    </w:p>
    <w:tbl>
      <w:tblPr>
        <w:tblStyle w:val="8"/>
        <w:tblW w:w="15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5306"/>
      </w:tblGrid>
      <w:tr w14:paraId="32F06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2"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0CD910D">
            <w:pPr>
              <w:spacing w:beforeLines="0" w:afterLines="0" w:line="525" w:lineRule="exact"/>
              <w:ind w:left="20"/>
              <w:jc w:val="center"/>
              <w:rPr>
                <w:rFonts w:hint="eastAsia" w:ascii="Dialog" w:hAnsi="Dialog"/>
                <w:sz w:val="44"/>
              </w:rPr>
            </w:pPr>
            <w:r>
              <w:rPr>
                <w:rFonts w:hint="eastAsia" w:ascii="Dialog" w:hAnsi="Dialog"/>
                <w:sz w:val="44"/>
              </w:rPr>
              <w:t>目录</w:t>
            </w:r>
          </w:p>
        </w:tc>
      </w:tr>
      <w:tr w14:paraId="6B2E4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204D5164">
            <w:pPr>
              <w:spacing w:beforeLines="0" w:afterLines="0"/>
              <w:rPr>
                <w:rFonts w:hint="default"/>
                <w:sz w:val="24"/>
              </w:rPr>
            </w:pPr>
          </w:p>
        </w:tc>
      </w:tr>
      <w:tr w14:paraId="2CD17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4B8D354">
            <w:pPr>
              <w:spacing w:beforeLines="0" w:afterLines="0" w:line="375" w:lineRule="exact"/>
              <w:ind w:left="20"/>
              <w:rPr>
                <w:rFonts w:hint="eastAsia" w:ascii="Dialog" w:hAnsi="Dialog"/>
                <w:sz w:val="32"/>
              </w:rPr>
            </w:pPr>
            <w:r>
              <w:rPr>
                <w:rFonts w:hint="eastAsia" w:ascii="Dialog" w:hAnsi="Dialog"/>
                <w:sz w:val="32"/>
              </w:rPr>
              <w:t>第一部分  2026年部门预算说明</w:t>
            </w:r>
          </w:p>
        </w:tc>
      </w:tr>
      <w:tr w14:paraId="3A081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B470061">
            <w:pPr>
              <w:spacing w:beforeLines="0" w:afterLines="0" w:line="375" w:lineRule="exact"/>
              <w:ind w:left="20"/>
              <w:rPr>
                <w:rFonts w:hint="eastAsia" w:ascii="Dialog" w:hAnsi="Dialog"/>
                <w:sz w:val="32"/>
              </w:rPr>
            </w:pPr>
            <w:r>
              <w:rPr>
                <w:rFonts w:hint="eastAsia" w:ascii="Dialog" w:hAnsi="Dialog"/>
                <w:sz w:val="32"/>
              </w:rPr>
              <w:t>第二部分  2026年部门预算公开表格</w:t>
            </w:r>
          </w:p>
        </w:tc>
      </w:tr>
      <w:tr w14:paraId="0BE08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5A494E3">
            <w:pPr>
              <w:spacing w:beforeLines="0" w:afterLines="0" w:line="375" w:lineRule="exact"/>
              <w:ind w:left="20"/>
              <w:rPr>
                <w:rFonts w:hint="eastAsia" w:ascii="Dialog" w:hAnsi="Dialog"/>
                <w:sz w:val="32"/>
              </w:rPr>
            </w:pPr>
            <w:r>
              <w:rPr>
                <w:rFonts w:hint="eastAsia" w:ascii="Dialog" w:hAnsi="Dialog"/>
                <w:sz w:val="32"/>
              </w:rPr>
              <w:t>1、收支总表</w:t>
            </w:r>
          </w:p>
        </w:tc>
      </w:tr>
      <w:tr w14:paraId="2BEAC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3BE878C">
            <w:pPr>
              <w:spacing w:beforeLines="0" w:afterLines="0" w:line="375" w:lineRule="exact"/>
              <w:ind w:left="20"/>
              <w:rPr>
                <w:rFonts w:hint="eastAsia" w:ascii="Dialog" w:hAnsi="Dialog"/>
                <w:sz w:val="32"/>
              </w:rPr>
            </w:pPr>
            <w:r>
              <w:rPr>
                <w:rFonts w:hint="eastAsia" w:ascii="Dialog" w:hAnsi="Dialog"/>
                <w:sz w:val="32"/>
              </w:rPr>
              <w:t>2、收入总表</w:t>
            </w:r>
          </w:p>
        </w:tc>
      </w:tr>
      <w:tr w14:paraId="5A0BE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03CC019">
            <w:pPr>
              <w:spacing w:beforeLines="0" w:afterLines="0" w:line="375" w:lineRule="exact"/>
              <w:ind w:left="20"/>
              <w:rPr>
                <w:rFonts w:hint="eastAsia" w:ascii="Dialog" w:hAnsi="Dialog"/>
                <w:sz w:val="32"/>
              </w:rPr>
            </w:pPr>
            <w:r>
              <w:rPr>
                <w:rFonts w:hint="eastAsia" w:ascii="Dialog" w:hAnsi="Dialog"/>
                <w:sz w:val="32"/>
              </w:rPr>
              <w:t>3、支出总表</w:t>
            </w:r>
          </w:p>
        </w:tc>
      </w:tr>
      <w:tr w14:paraId="0CF01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935A499">
            <w:pPr>
              <w:spacing w:beforeLines="0" w:afterLines="0" w:line="375" w:lineRule="exact"/>
              <w:ind w:left="20"/>
              <w:rPr>
                <w:rFonts w:hint="eastAsia" w:ascii="Dialog" w:hAnsi="Dialog"/>
                <w:sz w:val="32"/>
              </w:rPr>
            </w:pPr>
            <w:r>
              <w:rPr>
                <w:rFonts w:hint="eastAsia" w:ascii="Dialog" w:hAnsi="Dialog"/>
                <w:sz w:val="32"/>
              </w:rPr>
              <w:t>4、支出预算分类汇总表（按政府预算经济分类）</w:t>
            </w:r>
          </w:p>
        </w:tc>
      </w:tr>
      <w:tr w14:paraId="79582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7803BFF">
            <w:pPr>
              <w:spacing w:beforeLines="0" w:afterLines="0" w:line="375" w:lineRule="exact"/>
              <w:ind w:left="20"/>
              <w:rPr>
                <w:rFonts w:hint="eastAsia" w:ascii="Dialog" w:hAnsi="Dialog"/>
                <w:sz w:val="32"/>
              </w:rPr>
            </w:pPr>
            <w:r>
              <w:rPr>
                <w:rFonts w:hint="eastAsia" w:ascii="Dialog" w:hAnsi="Dialog"/>
                <w:sz w:val="32"/>
              </w:rPr>
              <w:t>5、支出预算分类汇总表（按部门预算经济分类）</w:t>
            </w:r>
          </w:p>
        </w:tc>
      </w:tr>
      <w:tr w14:paraId="2D27A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C90AA1F">
            <w:pPr>
              <w:spacing w:beforeLines="0" w:afterLines="0" w:line="375" w:lineRule="exact"/>
              <w:ind w:left="20"/>
              <w:rPr>
                <w:rFonts w:hint="eastAsia" w:ascii="Dialog" w:hAnsi="Dialog"/>
                <w:sz w:val="32"/>
              </w:rPr>
            </w:pPr>
            <w:r>
              <w:rPr>
                <w:rFonts w:hint="eastAsia" w:ascii="Dialog" w:hAnsi="Dialog"/>
                <w:sz w:val="32"/>
              </w:rPr>
              <w:t>6、财政拨款收支总表</w:t>
            </w:r>
          </w:p>
        </w:tc>
      </w:tr>
      <w:tr w14:paraId="061B7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48D3DAE">
            <w:pPr>
              <w:spacing w:beforeLines="0" w:afterLines="0" w:line="375" w:lineRule="exact"/>
              <w:ind w:left="20"/>
              <w:rPr>
                <w:rFonts w:hint="eastAsia" w:ascii="Dialog" w:hAnsi="Dialog"/>
                <w:sz w:val="32"/>
              </w:rPr>
            </w:pPr>
            <w:r>
              <w:rPr>
                <w:rFonts w:hint="eastAsia" w:ascii="Dialog" w:hAnsi="Dialog"/>
                <w:sz w:val="32"/>
              </w:rPr>
              <w:t>7、一般公共预算支出表</w:t>
            </w:r>
          </w:p>
        </w:tc>
      </w:tr>
      <w:tr w14:paraId="115C9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D648542">
            <w:pPr>
              <w:spacing w:beforeLines="0" w:afterLines="0" w:line="375" w:lineRule="exact"/>
              <w:ind w:left="20"/>
              <w:rPr>
                <w:rFonts w:hint="eastAsia" w:ascii="Dialog" w:hAnsi="Dialog"/>
                <w:sz w:val="32"/>
              </w:rPr>
            </w:pPr>
            <w:r>
              <w:rPr>
                <w:rFonts w:hint="eastAsia" w:ascii="Dialog" w:hAnsi="Dialog"/>
                <w:sz w:val="32"/>
              </w:rPr>
              <w:t>8、一般公共预算基本支出表-人员经费（工资福利支出）（按政府预算经济分类）</w:t>
            </w:r>
          </w:p>
        </w:tc>
      </w:tr>
      <w:tr w14:paraId="1A881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7DC99A9">
            <w:pPr>
              <w:spacing w:beforeLines="0" w:afterLines="0" w:line="375" w:lineRule="exact"/>
              <w:ind w:left="20"/>
              <w:rPr>
                <w:rFonts w:hint="eastAsia" w:ascii="Dialog" w:hAnsi="Dialog"/>
                <w:sz w:val="32"/>
              </w:rPr>
            </w:pPr>
            <w:r>
              <w:rPr>
                <w:rFonts w:hint="eastAsia" w:ascii="Dialog" w:hAnsi="Dialog"/>
                <w:sz w:val="32"/>
              </w:rPr>
              <w:t>9、一般公共预算基本支出表-人员经费（工资福利支出）（按部门预算经济分类）</w:t>
            </w:r>
          </w:p>
        </w:tc>
      </w:tr>
      <w:tr w14:paraId="6AA53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9E14EC8">
            <w:pPr>
              <w:spacing w:beforeLines="0" w:afterLines="0" w:line="375" w:lineRule="exact"/>
              <w:ind w:left="20"/>
              <w:rPr>
                <w:rFonts w:hint="eastAsia" w:ascii="Dialog" w:hAnsi="Dialog"/>
                <w:sz w:val="32"/>
              </w:rPr>
            </w:pPr>
            <w:r>
              <w:rPr>
                <w:rFonts w:hint="eastAsia" w:ascii="Dialog" w:hAnsi="Dialog"/>
                <w:sz w:val="32"/>
              </w:rPr>
              <w:t>10、一般公共预算基本支出表-人员经费（对个人和家庭的补助）（按政府预算经济分类）</w:t>
            </w:r>
          </w:p>
        </w:tc>
      </w:tr>
      <w:tr w14:paraId="5E15A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CD5B90B">
            <w:pPr>
              <w:spacing w:beforeLines="0" w:afterLines="0" w:line="375" w:lineRule="exact"/>
              <w:ind w:left="20"/>
              <w:rPr>
                <w:rFonts w:hint="eastAsia" w:ascii="Dialog" w:hAnsi="Dialog"/>
                <w:sz w:val="32"/>
              </w:rPr>
            </w:pPr>
            <w:r>
              <w:rPr>
                <w:rFonts w:hint="eastAsia" w:ascii="Dialog" w:hAnsi="Dialog"/>
                <w:sz w:val="32"/>
              </w:rPr>
              <w:t>11、一般公共预算基本支出表-人员经费（对个人和家庭的补助）（按部门预算经济分类）</w:t>
            </w:r>
          </w:p>
        </w:tc>
      </w:tr>
      <w:tr w14:paraId="19779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EF73834">
            <w:pPr>
              <w:spacing w:beforeLines="0" w:afterLines="0" w:line="375" w:lineRule="exact"/>
              <w:ind w:left="20"/>
              <w:rPr>
                <w:rFonts w:hint="eastAsia" w:ascii="Dialog" w:hAnsi="Dialog"/>
                <w:sz w:val="32"/>
              </w:rPr>
            </w:pPr>
            <w:r>
              <w:rPr>
                <w:rFonts w:hint="eastAsia" w:ascii="Dialog" w:hAnsi="Dialog"/>
                <w:sz w:val="32"/>
              </w:rPr>
              <w:t>12、一般公共预算基本支出表-公用经费（商品和服务支出）（按政府预算经济分类）</w:t>
            </w:r>
          </w:p>
        </w:tc>
      </w:tr>
      <w:tr w14:paraId="3200B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D68300C">
            <w:pPr>
              <w:spacing w:beforeLines="0" w:afterLines="0" w:line="375" w:lineRule="exact"/>
              <w:ind w:left="20"/>
              <w:rPr>
                <w:rFonts w:hint="eastAsia" w:ascii="Dialog" w:hAnsi="Dialog"/>
                <w:sz w:val="32"/>
              </w:rPr>
            </w:pPr>
            <w:r>
              <w:rPr>
                <w:rFonts w:hint="eastAsia" w:ascii="Dialog" w:hAnsi="Dialog"/>
                <w:sz w:val="32"/>
              </w:rPr>
              <w:t>13、一般公共预算基本支出表-公用经费（商品和服务支出）（按部门预算经济分类）</w:t>
            </w:r>
          </w:p>
        </w:tc>
      </w:tr>
      <w:tr w14:paraId="6EE56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3612D96">
            <w:pPr>
              <w:spacing w:beforeLines="0" w:afterLines="0" w:line="375" w:lineRule="exact"/>
              <w:ind w:left="20"/>
              <w:rPr>
                <w:rFonts w:hint="eastAsia" w:ascii="Dialog" w:hAnsi="Dialog"/>
                <w:sz w:val="32"/>
              </w:rPr>
            </w:pPr>
            <w:r>
              <w:rPr>
                <w:rFonts w:hint="eastAsia" w:ascii="Dialog" w:hAnsi="Dialog"/>
                <w:sz w:val="32"/>
              </w:rPr>
              <w:t>14、一般公共预算“三公”经费支出表</w:t>
            </w:r>
          </w:p>
        </w:tc>
      </w:tr>
      <w:tr w14:paraId="2BCD4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402EC54">
            <w:pPr>
              <w:spacing w:beforeLines="0" w:afterLines="0" w:line="375" w:lineRule="exact"/>
              <w:ind w:left="20"/>
              <w:rPr>
                <w:rFonts w:hint="eastAsia" w:ascii="Dialog" w:hAnsi="Dialog"/>
                <w:sz w:val="32"/>
              </w:rPr>
            </w:pPr>
            <w:r>
              <w:rPr>
                <w:rFonts w:hint="eastAsia" w:ascii="Dialog" w:hAnsi="Dialog"/>
                <w:sz w:val="32"/>
              </w:rPr>
              <w:t>15、政府性基金预算支出表</w:t>
            </w:r>
          </w:p>
        </w:tc>
      </w:tr>
      <w:tr w14:paraId="2C287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D0511CC">
            <w:pPr>
              <w:spacing w:beforeLines="0" w:afterLines="0" w:line="375" w:lineRule="exact"/>
              <w:ind w:left="20"/>
              <w:rPr>
                <w:rFonts w:hint="eastAsia" w:ascii="Dialog" w:hAnsi="Dialog"/>
                <w:sz w:val="32"/>
              </w:rPr>
            </w:pPr>
            <w:r>
              <w:rPr>
                <w:rFonts w:hint="eastAsia" w:ascii="Dialog" w:hAnsi="Dialog"/>
                <w:sz w:val="32"/>
              </w:rPr>
              <w:t>16、政府性基金预算支出分类汇总表（按政府预算经济分类）</w:t>
            </w:r>
          </w:p>
        </w:tc>
      </w:tr>
      <w:tr w14:paraId="4B299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B71705E">
            <w:pPr>
              <w:spacing w:beforeLines="0" w:afterLines="0" w:line="375" w:lineRule="exact"/>
              <w:ind w:left="20"/>
              <w:rPr>
                <w:rFonts w:hint="eastAsia" w:ascii="Dialog" w:hAnsi="Dialog"/>
                <w:sz w:val="32"/>
              </w:rPr>
            </w:pPr>
            <w:r>
              <w:rPr>
                <w:rFonts w:hint="eastAsia" w:ascii="Dialog" w:hAnsi="Dialog"/>
                <w:sz w:val="32"/>
              </w:rPr>
              <w:t>17、政府性基金预算支出分类汇总表（按部门预算经济分类）</w:t>
            </w:r>
          </w:p>
        </w:tc>
      </w:tr>
      <w:tr w14:paraId="36FD1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3325FB0">
            <w:pPr>
              <w:spacing w:beforeLines="0" w:afterLines="0" w:line="375" w:lineRule="exact"/>
              <w:ind w:left="20"/>
              <w:rPr>
                <w:rFonts w:hint="eastAsia" w:ascii="Dialog" w:hAnsi="Dialog"/>
                <w:sz w:val="32"/>
              </w:rPr>
            </w:pPr>
            <w:r>
              <w:rPr>
                <w:rFonts w:hint="eastAsia" w:ascii="Dialog" w:hAnsi="Dialog"/>
                <w:sz w:val="32"/>
              </w:rPr>
              <w:t>18、国有资本经营预算支出表</w:t>
            </w:r>
          </w:p>
        </w:tc>
      </w:tr>
      <w:tr w14:paraId="0FFA1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2723E39">
            <w:pPr>
              <w:spacing w:beforeLines="0" w:afterLines="0" w:line="375" w:lineRule="exact"/>
              <w:ind w:left="20"/>
              <w:rPr>
                <w:rFonts w:hint="eastAsia" w:ascii="Dialog" w:hAnsi="Dialog"/>
                <w:sz w:val="32"/>
              </w:rPr>
            </w:pPr>
            <w:r>
              <w:rPr>
                <w:rFonts w:hint="eastAsia" w:ascii="Dialog" w:hAnsi="Dialog"/>
                <w:sz w:val="32"/>
              </w:rPr>
              <w:t>19、财政专户管理资金预算支出表</w:t>
            </w:r>
          </w:p>
        </w:tc>
      </w:tr>
      <w:tr w14:paraId="33612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C50396F">
            <w:pPr>
              <w:spacing w:beforeLines="0" w:afterLines="0" w:line="375" w:lineRule="exact"/>
              <w:ind w:left="20"/>
              <w:rPr>
                <w:rFonts w:hint="eastAsia" w:ascii="Dialog" w:hAnsi="Dialog"/>
                <w:sz w:val="32"/>
              </w:rPr>
            </w:pPr>
            <w:r>
              <w:rPr>
                <w:rFonts w:hint="eastAsia" w:ascii="Dialog" w:hAnsi="Dialog"/>
                <w:sz w:val="32"/>
              </w:rPr>
              <w:t>20、专项资金预算汇总表</w:t>
            </w:r>
          </w:p>
        </w:tc>
      </w:tr>
      <w:tr w14:paraId="31132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584C4EE">
            <w:pPr>
              <w:spacing w:beforeLines="0" w:afterLines="0" w:line="375" w:lineRule="exact"/>
              <w:ind w:left="20"/>
              <w:rPr>
                <w:rFonts w:hint="eastAsia" w:ascii="Dialog" w:hAnsi="Dialog"/>
                <w:sz w:val="32"/>
              </w:rPr>
            </w:pPr>
            <w:r>
              <w:rPr>
                <w:rFonts w:hint="eastAsia" w:ascii="Dialog" w:hAnsi="Dialog"/>
                <w:sz w:val="32"/>
              </w:rPr>
              <w:t>21、项目支出绩效目标表</w:t>
            </w:r>
          </w:p>
        </w:tc>
      </w:tr>
      <w:tr w14:paraId="05EC8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D4220DA">
            <w:pPr>
              <w:spacing w:beforeLines="0" w:afterLines="0" w:line="375" w:lineRule="exact"/>
              <w:ind w:left="20"/>
              <w:rPr>
                <w:rFonts w:hint="eastAsia" w:ascii="Dialog" w:hAnsi="Dialog"/>
                <w:sz w:val="32"/>
              </w:rPr>
            </w:pPr>
            <w:r>
              <w:rPr>
                <w:rFonts w:hint="eastAsia" w:ascii="Dialog" w:hAnsi="Dialog"/>
                <w:sz w:val="32"/>
              </w:rPr>
              <w:t>22、部门整体支出绩效目标表</w:t>
            </w:r>
          </w:p>
        </w:tc>
      </w:tr>
      <w:tr w14:paraId="5C1E5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7B53223">
            <w:pPr>
              <w:spacing w:beforeLines="0" w:afterLines="0" w:line="375" w:lineRule="exact"/>
              <w:ind w:left="20"/>
              <w:rPr>
                <w:rFonts w:hint="eastAsia" w:ascii="Dialog" w:hAnsi="Dialog"/>
                <w:sz w:val="32"/>
              </w:rPr>
            </w:pPr>
            <w:r>
              <w:rPr>
                <w:rFonts w:hint="eastAsia" w:ascii="Dialog" w:hAnsi="Dialog"/>
                <w:sz w:val="32"/>
              </w:rPr>
              <w:t>23、一般公共预算基本支出表</w:t>
            </w:r>
          </w:p>
        </w:tc>
      </w:tr>
      <w:tr w14:paraId="1F6FB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B1A82C9">
            <w:pPr>
              <w:spacing w:beforeLines="0" w:afterLines="0" w:line="375" w:lineRule="exact"/>
              <w:ind w:left="20"/>
              <w:rPr>
                <w:rFonts w:hint="eastAsia" w:ascii="Dialog" w:hAnsi="Dialog"/>
                <w:color w:val="FF0000"/>
                <w:sz w:val="32"/>
              </w:rPr>
            </w:pPr>
            <w:r>
              <w:rPr>
                <w:rFonts w:hint="eastAsia" w:ascii="Dialog" w:hAnsi="Dialog"/>
                <w:color w:val="FF0000"/>
                <w:sz w:val="32"/>
              </w:rPr>
              <w:t>注：以上部门预算公开报表中，空表表示本部门无相关收支情况。</w:t>
            </w:r>
          </w:p>
        </w:tc>
      </w:tr>
      <w:tr w14:paraId="6EBC0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3246790C">
            <w:pPr>
              <w:spacing w:beforeLines="0" w:afterLines="0"/>
              <w:rPr>
                <w:rFonts w:hint="default"/>
                <w:sz w:val="24"/>
              </w:rPr>
            </w:pPr>
          </w:p>
        </w:tc>
      </w:tr>
      <w:tr w14:paraId="0D64A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3667F039">
            <w:pPr>
              <w:spacing w:beforeLines="0" w:afterLines="0"/>
              <w:rPr>
                <w:rFonts w:hint="default"/>
                <w:sz w:val="24"/>
              </w:rPr>
            </w:pPr>
          </w:p>
        </w:tc>
      </w:tr>
    </w:tbl>
    <w:p w14:paraId="77ED5FD3">
      <w:pPr>
        <w:spacing w:beforeLines="0" w:afterLines="0" w:line="375" w:lineRule="exact"/>
        <w:ind w:left="20"/>
        <w:jc w:val="center"/>
        <w:rPr>
          <w:rFonts w:hint="eastAsia" w:ascii="Dialog" w:hAnsi="Dialog"/>
          <w:sz w:val="32"/>
        </w:rPr>
      </w:pPr>
      <w:r>
        <w:rPr>
          <w:rFonts w:hint="eastAsia" w:ascii="Dialog" w:hAnsi="Dialog"/>
          <w:sz w:val="32"/>
        </w:rPr>
        <w:br w:type="page"/>
      </w:r>
    </w:p>
    <w:tbl>
      <w:tblPr>
        <w:tblStyle w:val="8"/>
        <w:tblW w:w="15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5306"/>
      </w:tblGrid>
      <w:tr w14:paraId="7936E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3B3630D">
            <w:pPr>
              <w:spacing w:beforeLines="0" w:afterLines="0" w:line="375" w:lineRule="exact"/>
              <w:ind w:left="20"/>
              <w:jc w:val="center"/>
              <w:rPr>
                <w:rFonts w:hint="eastAsia" w:ascii="Dialog" w:hAnsi="Dialog"/>
                <w:sz w:val="32"/>
              </w:rPr>
            </w:pPr>
            <w:r>
              <w:rPr>
                <w:rFonts w:hint="eastAsia" w:ascii="Dialog" w:hAnsi="Dialog"/>
                <w:sz w:val="32"/>
              </w:rPr>
              <w:t>第一部分  2026年部门预算说明</w:t>
            </w:r>
          </w:p>
        </w:tc>
      </w:tr>
      <w:tr w14:paraId="3373C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2695B630">
            <w:pPr>
              <w:spacing w:beforeLines="0" w:afterLines="0"/>
              <w:rPr>
                <w:rFonts w:hint="default"/>
                <w:sz w:val="24"/>
              </w:rPr>
            </w:pPr>
          </w:p>
        </w:tc>
      </w:tr>
      <w:tr w14:paraId="15BA4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F484958">
            <w:pPr>
              <w:spacing w:beforeLines="0" w:afterLines="0" w:line="375" w:lineRule="exact"/>
              <w:ind w:left="20"/>
              <w:rPr>
                <w:rFonts w:hint="eastAsia" w:ascii="Dialog" w:hAnsi="Dialog"/>
                <w:sz w:val="32"/>
              </w:rPr>
            </w:pPr>
            <w:r>
              <w:rPr>
                <w:rFonts w:hint="eastAsia" w:ascii="Dialog" w:hAnsi="Dialog"/>
                <w:sz w:val="32"/>
              </w:rPr>
              <w:t xml:space="preserve">  一、部门基本概况</w:t>
            </w:r>
          </w:p>
        </w:tc>
      </w:tr>
      <w:tr w14:paraId="5AD38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EB4FC4A">
            <w:pPr>
              <w:spacing w:beforeLines="0" w:afterLines="0" w:line="375" w:lineRule="exact"/>
              <w:ind w:left="20"/>
              <w:rPr>
                <w:rFonts w:hint="eastAsia" w:ascii="宋体" w:hAnsi="宋体" w:eastAsia="宋体"/>
                <w:sz w:val="32"/>
              </w:rPr>
            </w:pPr>
            <w:r>
              <w:rPr>
                <w:rFonts w:hint="eastAsia" w:ascii="宋体" w:hAnsi="宋体" w:eastAsia="宋体"/>
                <w:sz w:val="32"/>
              </w:rPr>
              <w:t xml:space="preserve">  （一）职能职责</w:t>
            </w:r>
          </w:p>
        </w:tc>
      </w:tr>
      <w:tr w14:paraId="0945E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333A3F2">
            <w:pPr>
              <w:spacing w:beforeLines="0" w:afterLines="0" w:line="375" w:lineRule="exact"/>
              <w:ind w:firstLine="640" w:firstLineChars="200"/>
              <w:rPr>
                <w:rFonts w:hint="eastAsia" w:ascii="宋体" w:hAnsi="宋体" w:cs="Times New Roman"/>
                <w:sz w:val="32"/>
                <w:szCs w:val="24"/>
              </w:rPr>
            </w:pPr>
            <w:r>
              <w:rPr>
                <w:rFonts w:hint="eastAsia" w:ascii="宋体" w:hAnsi="宋体" w:eastAsia="宋体"/>
                <w:sz w:val="32"/>
              </w:rPr>
              <w:t xml:space="preserve">  </w:t>
            </w:r>
            <w:r>
              <w:rPr>
                <w:rFonts w:hint="default" w:ascii="宋体" w:hAnsi="宋体" w:cs="Times New Roman"/>
                <w:sz w:val="32"/>
                <w:szCs w:val="24"/>
              </w:rPr>
              <w:t>市水利局贯彻落实党中央关于水利工作的方针政策和决策部署，全面落实省委、市委关于水利工作的部署要求，在履行职责过程中坚持和加强党对水利工作的集中统一领导。主要职责是:</w:t>
            </w:r>
          </w:p>
          <w:p w14:paraId="03859F0F">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1、负责保障水资源的合理开发利用。拟订水利政策和规划，起草有关地方性法规、规章草案，组织编制全市水资源规划、市确定的重要江河湖泊流域综合规划、防洪规划等较大水利规划。</w:t>
            </w:r>
          </w:p>
          <w:p w14:paraId="068F2F03">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2、负责生活、生产经营和生态环境用水的统筹和保障。组织实施最严格水资源管理制度，实施水资源的统一监督管理，拟订全市和跨区域水中长期供求规划、水量分配方案并监督实施。负责重要流域、区域以及较大调水工程的水资源调度。组织实施取水许可、水资源论证和防洪论证制度，指导开展水资源有偿使用工作。指导全市水利行业供水和乡镇供水工作。</w:t>
            </w:r>
          </w:p>
          <w:p w14:paraId="11E10EF0">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3、按规定制定水利工程建设和运行管理有关制度并组织实施，负责提出水利固定资产投资规模、方向、具体安排建议并组织指导实施，按市人民政府规定权限审批、核准规划内和年度计划规模内固定资产投资项目，提出水利资金安排建议并负责项目实施的监督管理。</w:t>
            </w:r>
          </w:p>
          <w:p w14:paraId="45FC336D">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4、指导水资源保护工作。组织编制实施水资源保护规划。指导饮用水水源保护有关工作。指导地下水开发利用、地下水资源管理保护。</w:t>
            </w:r>
          </w:p>
          <w:p w14:paraId="2E70E2A1">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5、负责节约用水工作。拟订节约用水政策，组织编制节约用水规划并监督实施，组织制定有关标准。组织实施用水总量控制等管理制度，指导和推动节水型社会建设工作。</w:t>
            </w:r>
          </w:p>
          <w:p w14:paraId="145BDD3E">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6、按规定组织开展水资源、水能资源调查评价和水资源承载能力监测预警工作；负责编制并发布市级水资源公报。</w:t>
            </w:r>
          </w:p>
          <w:p w14:paraId="1ED2682B">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7、指导水利设施、水域及其岸线的管理、保护与综合利用。指导江河湖泊及河口的治理、开发和保护。指导河湖水生态保护与修复、河湖生态流量水量管理以及河湖水系连通工作。指导洞庭湖区水利管理工作。承担河（湖）长制组织实施具体工作。</w:t>
            </w:r>
          </w:p>
          <w:p w14:paraId="5DBB83C2">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8、指导监督水利工程建设与运行管理。组织指导水利基础设施网络建设和运行管理。指导水利建设市场的监督管理，组织实施水利工程建设的监督。</w:t>
            </w:r>
          </w:p>
          <w:p w14:paraId="668DA4FE">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9、负责水土保持工作。拟订水土保持规划并监督实施， 组织实施水土流失的综合防治、监测预报并定期公告。负责建设项目水土保持监督管理工作，指导重点水土保持建设项目的实施。</w:t>
            </w:r>
          </w:p>
          <w:p w14:paraId="2F941B4A">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10、指导农村水利工作。组织开展较大型灌排工程建设与改造。指导农村饮水安全工程建设管理工作，指导节水灌溉有关工作。指导农村水利改革创新和社会化服务体系建设。指导农村水能资源开发、小水电改造和水电农村电气化工作。</w:t>
            </w:r>
          </w:p>
          <w:p w14:paraId="1F9FA8C1">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11、负责水库移民管理工作。贯彻落实水库移民有关政策，组织实施水库移民安置验收、监督评估等制度，指导监督水库移民后期扶持政策的实施；负责管理水库移民资金。</w:t>
            </w:r>
          </w:p>
          <w:p w14:paraId="1C943D4E">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12、指导协调重大涉水违法事件的查处，协调跨县市区水事纠纷，负责市辖区范围内的水政监察和水行政执法，指导县市水政监察和水行政执法。依法负责水利行业安全生产工作，组织指导水库、水电站大坝等水利工程设施的安全监管。</w:t>
            </w:r>
          </w:p>
          <w:p w14:paraId="5B02DAF0">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13、开展水利科技和外事工作。参与拟订水利行业的地方技术标准、规程规范并监督实施，组织开展水利行业质量监督工作。</w:t>
            </w:r>
          </w:p>
          <w:p w14:paraId="66D05CD5">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14、负责落实综合防灾减灾规划相关要求，组织编制洪水干旱灾害防治规划和防护标准并指导实施。负责水情旱情预警工作。组织编制重要江河湖泊和重要水工程的防御洪水抗御旱灾调度及应急水量调度方案，按程序报批并组织实施。承担防御洪水应急抢险的技术支撑工作。承担台风防御期间重要水工程调度工作。</w:t>
            </w:r>
          </w:p>
          <w:p w14:paraId="7168413A">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15、完成市委和市政府交办的其他事项。</w:t>
            </w:r>
          </w:p>
          <w:p w14:paraId="51D7D41D">
            <w:pPr>
              <w:spacing w:beforeLines="0" w:afterLines="0" w:line="375" w:lineRule="exact"/>
              <w:ind w:left="20"/>
              <w:rPr>
                <w:rFonts w:hint="eastAsia" w:ascii="宋体" w:hAnsi="宋体" w:eastAsia="宋体"/>
                <w:sz w:val="32"/>
              </w:rPr>
            </w:pPr>
            <w:r>
              <w:rPr>
                <w:rFonts w:hint="default" w:ascii="宋体" w:hAnsi="宋体" w:cs="Times New Roman"/>
                <w:sz w:val="32"/>
                <w:szCs w:val="24"/>
              </w:rPr>
              <w:t>16、职能转变。市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tc>
      </w:tr>
      <w:tr w14:paraId="3FD7A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9A06AD3">
            <w:pPr>
              <w:spacing w:beforeLines="0" w:afterLines="0" w:line="375" w:lineRule="exact"/>
              <w:ind w:left="20"/>
              <w:rPr>
                <w:rFonts w:hint="eastAsia" w:ascii="宋体" w:hAnsi="宋体" w:eastAsia="宋体"/>
                <w:sz w:val="32"/>
              </w:rPr>
            </w:pPr>
            <w:r>
              <w:rPr>
                <w:rFonts w:hint="eastAsia" w:ascii="宋体" w:hAnsi="宋体" w:eastAsia="宋体"/>
                <w:sz w:val="32"/>
              </w:rPr>
              <w:t xml:space="preserve">  （二）机构设置</w:t>
            </w:r>
          </w:p>
        </w:tc>
      </w:tr>
      <w:tr w14:paraId="314C6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94F5086">
            <w:pPr>
              <w:spacing w:beforeLines="0" w:afterLines="0" w:line="375" w:lineRule="exact"/>
              <w:ind w:left="20"/>
              <w:rPr>
                <w:rFonts w:hint="eastAsia" w:ascii="宋体" w:hAnsi="宋体" w:eastAsia="宋体"/>
                <w:sz w:val="32"/>
              </w:rPr>
            </w:pPr>
            <w:r>
              <w:rPr>
                <w:rFonts w:hint="eastAsia" w:ascii="宋体" w:hAnsi="宋体" w:eastAsia="宋体"/>
                <w:sz w:val="32"/>
              </w:rPr>
              <w:t xml:space="preserve">  </w:t>
            </w:r>
            <w:r>
              <w:rPr>
                <w:rFonts w:hint="default" w:ascii="宋体" w:hAnsi="宋体" w:cs="Times New Roman"/>
                <w:sz w:val="32"/>
                <w:szCs w:val="24"/>
                <w:lang w:val="en-US" w:eastAsia="zh-CN"/>
              </w:rPr>
              <w:t>我单位内设科室19个，分别是办公室、规划计划与科技科、调研法规科、水资源管理科、水利工程建设科、运行管理监督科、河湖管理科、水土保持科、农村水利水电科、移民后期扶持科、移民开发管理科、河长制工作科、河道砂石管理科、行政执法科、行政审批科、财务科、人事科、机关党委（纪委）、离退休人员管理服务科。2025年我单位在职人员4</w:t>
            </w:r>
            <w:r>
              <w:rPr>
                <w:rFonts w:hint="eastAsia" w:ascii="宋体" w:hAnsi="宋体" w:cs="Times New Roman"/>
                <w:sz w:val="32"/>
                <w:szCs w:val="24"/>
                <w:lang w:val="en-US" w:eastAsia="zh-CN"/>
              </w:rPr>
              <w:t>40</w:t>
            </w:r>
            <w:r>
              <w:rPr>
                <w:rFonts w:hint="default" w:ascii="宋体" w:hAnsi="宋体" w:cs="Times New Roman"/>
                <w:sz w:val="32"/>
                <w:szCs w:val="24"/>
                <w:lang w:val="en-US" w:eastAsia="zh-CN"/>
              </w:rPr>
              <w:t>名，退休人员45</w:t>
            </w:r>
            <w:r>
              <w:rPr>
                <w:rFonts w:hint="eastAsia" w:ascii="宋体" w:hAnsi="宋体" w:cs="Times New Roman"/>
                <w:sz w:val="32"/>
                <w:szCs w:val="24"/>
                <w:lang w:val="en-US" w:eastAsia="zh-CN"/>
              </w:rPr>
              <w:t>0</w:t>
            </w:r>
            <w:r>
              <w:rPr>
                <w:rFonts w:hint="default" w:ascii="宋体" w:hAnsi="宋体" w:cs="Times New Roman"/>
                <w:sz w:val="32"/>
                <w:szCs w:val="24"/>
                <w:lang w:val="en-US" w:eastAsia="zh-CN"/>
              </w:rPr>
              <w:t>名，离休人员1名</w:t>
            </w:r>
            <w:r>
              <w:rPr>
                <w:rFonts w:hint="eastAsia" w:ascii="宋体" w:hAnsi="宋体" w:cs="Times New Roman"/>
                <w:sz w:val="32"/>
                <w:szCs w:val="24"/>
                <w:lang w:val="en-US" w:eastAsia="zh-CN"/>
              </w:rPr>
              <w:t>，</w:t>
            </w:r>
            <w:r>
              <w:rPr>
                <w:rFonts w:hint="default" w:ascii="宋体" w:hAnsi="宋体" w:cs="Times New Roman"/>
                <w:sz w:val="32"/>
                <w:szCs w:val="24"/>
                <w:lang w:val="en-US" w:eastAsia="zh-CN"/>
              </w:rPr>
              <w:t>其他人员71名。</w:t>
            </w:r>
          </w:p>
        </w:tc>
      </w:tr>
      <w:tr w14:paraId="791EC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0D15677">
            <w:pPr>
              <w:spacing w:beforeLines="0" w:afterLines="0" w:line="375" w:lineRule="exact"/>
              <w:ind w:left="20"/>
              <w:rPr>
                <w:rFonts w:hint="eastAsia" w:ascii="Dialog" w:hAnsi="Dialog"/>
                <w:sz w:val="32"/>
              </w:rPr>
            </w:pPr>
            <w:r>
              <w:rPr>
                <w:rFonts w:hint="eastAsia" w:ascii="Dialog" w:hAnsi="Dialog"/>
                <w:sz w:val="32"/>
              </w:rPr>
              <w:t xml:space="preserve">  二、部门预算构成</w:t>
            </w:r>
          </w:p>
        </w:tc>
      </w:tr>
      <w:tr w14:paraId="3158B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6EDB67F">
            <w:pPr>
              <w:spacing w:beforeLines="0" w:afterLines="0" w:line="375" w:lineRule="exact"/>
              <w:ind w:left="20"/>
              <w:rPr>
                <w:rFonts w:hint="eastAsia" w:ascii="宋体" w:hAnsi="宋体" w:eastAsia="宋体"/>
                <w:sz w:val="32"/>
              </w:rPr>
            </w:pPr>
            <w:r>
              <w:rPr>
                <w:rFonts w:hint="eastAsia" w:ascii="宋体" w:hAnsi="宋体" w:eastAsia="宋体"/>
                <w:sz w:val="32"/>
              </w:rPr>
              <w:t xml:space="preserve">  本部门预算为汇总预算，纳入编制范围的预算单位包括：</w:t>
            </w:r>
          </w:p>
        </w:tc>
      </w:tr>
      <w:tr w14:paraId="4C137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DC2F90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Lines="0" w:beforeAutospacing="0" w:after="0" w:afterLines="0" w:afterAutospacing="0" w:line="33" w:lineRule="atLeast"/>
              <w:ind w:left="0" w:leftChars="0" w:right="0" w:rightChars="0" w:firstLine="0" w:firstLineChars="0"/>
              <w:jc w:val="both"/>
              <w:textAlignment w:val="center"/>
              <w:rPr>
                <w:rFonts w:hint="eastAsia" w:ascii="宋体" w:hAnsi="宋体" w:eastAsia="宋体"/>
                <w:sz w:val="32"/>
              </w:rPr>
            </w:pPr>
            <w:r>
              <w:rPr>
                <w:rFonts w:hint="default" w:ascii="宋体" w:hAnsi="宋体" w:eastAsia="宋体" w:cs="Times New Roman"/>
                <w:color w:val="000000"/>
                <w:kern w:val="0"/>
                <w:sz w:val="32"/>
                <w:szCs w:val="24"/>
              </w:rPr>
              <w:t>　</w:t>
            </w:r>
            <w:r>
              <w:rPr>
                <w:rFonts w:hint="eastAsia" w:ascii="宋体" w:hAnsi="宋体" w:cs="Times New Roman"/>
                <w:color w:val="000000"/>
                <w:kern w:val="0"/>
                <w:sz w:val="32"/>
                <w:szCs w:val="24"/>
                <w:lang w:val="en-US" w:eastAsia="zh-CN"/>
              </w:rPr>
              <w:t xml:space="preserve">  </w:t>
            </w:r>
            <w:r>
              <w:rPr>
                <w:rFonts w:hint="default" w:ascii="宋体" w:hAnsi="宋体" w:eastAsia="宋体" w:cs="Times New Roman"/>
                <w:color w:val="000000"/>
                <w:kern w:val="0"/>
                <w:sz w:val="32"/>
                <w:szCs w:val="24"/>
              </w:rPr>
              <w:t>1、岳阳市水利局本级</w:t>
            </w:r>
          </w:p>
        </w:tc>
      </w:tr>
      <w:tr w14:paraId="5191C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7497683">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Lines="0" w:beforeAutospacing="0" w:after="0" w:afterLines="0" w:afterAutospacing="0" w:line="33" w:lineRule="atLeast"/>
              <w:ind w:left="0" w:leftChars="0" w:right="0" w:rightChars="0" w:firstLine="0" w:firstLineChars="0"/>
              <w:jc w:val="both"/>
              <w:textAlignment w:val="center"/>
              <w:rPr>
                <w:rFonts w:hint="eastAsia" w:ascii="宋体" w:hAnsi="宋体" w:eastAsia="宋体"/>
                <w:sz w:val="32"/>
              </w:rPr>
            </w:pPr>
            <w:r>
              <w:rPr>
                <w:rFonts w:hint="default" w:ascii="宋体" w:hAnsi="宋体" w:eastAsia="宋体" w:cs="Times New Roman"/>
                <w:color w:val="000000"/>
                <w:kern w:val="0"/>
                <w:sz w:val="32"/>
                <w:szCs w:val="24"/>
              </w:rPr>
              <w:t>　　2、岳阳市铁山供水工程事务中心</w:t>
            </w:r>
          </w:p>
        </w:tc>
      </w:tr>
      <w:tr w14:paraId="6E3B7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948ECA9">
            <w:pPr>
              <w:spacing w:beforeLines="0" w:afterLines="0" w:line="375" w:lineRule="exact"/>
              <w:ind w:left="20"/>
              <w:rPr>
                <w:rFonts w:hint="eastAsia" w:ascii="Dialog" w:hAnsi="Dialog"/>
                <w:sz w:val="32"/>
              </w:rPr>
            </w:pPr>
            <w:r>
              <w:rPr>
                <w:rFonts w:hint="eastAsia" w:ascii="Dialog" w:hAnsi="Dialog"/>
                <w:sz w:val="32"/>
              </w:rPr>
              <w:t xml:space="preserve">  三、部门收支总体情况</w:t>
            </w:r>
          </w:p>
        </w:tc>
      </w:tr>
      <w:tr w14:paraId="321C8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2D63795">
            <w:pPr>
              <w:spacing w:beforeLines="0" w:afterLines="0" w:line="375" w:lineRule="exact"/>
              <w:ind w:left="20"/>
              <w:rPr>
                <w:rFonts w:hint="eastAsia" w:ascii="宋体" w:hAnsi="宋体" w:eastAsia="宋体"/>
                <w:sz w:val="32"/>
              </w:rPr>
            </w:pPr>
            <w:r>
              <w:rPr>
                <w:rFonts w:hint="eastAsia" w:ascii="宋体" w:hAnsi="宋体" w:eastAsia="宋体"/>
                <w:sz w:val="32"/>
              </w:rPr>
              <w:t xml:space="preserve">  本部门2026年没有政府性基金预算拨款、国有资本经营预算收入和纳入专户管理的非税收入拨款收入，也没有使用政府性基金预算拨款、国有资本经营预算收入和纳入专户管理的非税收入拨款安排的支出，所以公开的附件15、16、17、18、19表均为空。</w:t>
            </w:r>
          </w:p>
        </w:tc>
      </w:tr>
      <w:tr w14:paraId="3771C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30D6928">
            <w:pPr>
              <w:spacing w:beforeLines="0" w:afterLines="0" w:line="375" w:lineRule="exact"/>
              <w:ind w:left="20"/>
              <w:rPr>
                <w:rFonts w:hint="eastAsia" w:ascii="Dialog" w:hAnsi="Dialog"/>
                <w:sz w:val="32"/>
              </w:rPr>
            </w:pPr>
            <w:r>
              <w:rPr>
                <w:rFonts w:hint="eastAsia" w:ascii="Dialog" w:hAnsi="Dialog"/>
                <w:sz w:val="32"/>
              </w:rPr>
              <w:t xml:space="preserve">  （一）收入预算</w:t>
            </w:r>
          </w:p>
        </w:tc>
      </w:tr>
      <w:tr w14:paraId="592AF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69"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EA0C9D3">
            <w:pPr>
              <w:spacing w:beforeLines="0" w:afterLines="0" w:line="375" w:lineRule="exact"/>
              <w:ind w:left="20"/>
              <w:rPr>
                <w:rFonts w:hint="eastAsia" w:ascii="宋体" w:hAnsi="宋体" w:eastAsia="宋体"/>
                <w:sz w:val="32"/>
              </w:rPr>
            </w:pPr>
            <w:r>
              <w:rPr>
                <w:rFonts w:hint="eastAsia" w:ascii="宋体" w:hAnsi="宋体" w:eastAsia="宋体"/>
                <w:sz w:val="32"/>
              </w:rPr>
              <w:t xml:space="preserve">  包括一般公共预算、政府性基金、国有资本经营预算等财政拨款收入，以及经营收入、事业收入等单位资金。2026年度本部门收入预算10459.08万元，其中，一般公共预算拨款10459.08万元，政府性基金预算资金0.00万元(所以公开的附件17为空)，国有资本经营预算资金0.00万元(所以公开的附件18为空)，财政专户管理资金0.00万元(所以公开的附件19为空)，上级补助收入资金0.00万元，事业单位经营收入资金0.00万元，上年结转结余0.00万元。(数据来源见表2)本部门2026年收入较去年增加</w:t>
            </w:r>
            <w:r>
              <w:rPr>
                <w:rFonts w:hint="eastAsia" w:ascii="宋体" w:hAnsi="宋体"/>
                <w:sz w:val="32"/>
                <w:lang w:val="en-US" w:eastAsia="zh-CN"/>
              </w:rPr>
              <w:t>108.30</w:t>
            </w:r>
            <w:r>
              <w:rPr>
                <w:rFonts w:hint="eastAsia" w:ascii="宋体" w:hAnsi="宋体" w:eastAsia="宋体"/>
                <w:sz w:val="32"/>
              </w:rPr>
              <w:t>万元，上升</w:t>
            </w:r>
            <w:r>
              <w:rPr>
                <w:rFonts w:hint="eastAsia" w:ascii="宋体" w:hAnsi="宋体"/>
                <w:sz w:val="32"/>
                <w:lang w:val="en-US" w:eastAsia="zh-CN"/>
              </w:rPr>
              <w:t>1.04</w:t>
            </w:r>
            <w:r>
              <w:rPr>
                <w:rFonts w:hint="eastAsia" w:ascii="宋体" w:hAnsi="宋体" w:eastAsia="宋体"/>
                <w:sz w:val="32"/>
              </w:rPr>
              <w:t>%，主要是因为</w:t>
            </w:r>
            <w:r>
              <w:rPr>
                <w:rFonts w:hint="default" w:ascii="宋体" w:hAnsi="宋体" w:eastAsia="宋体"/>
                <w:sz w:val="32"/>
                <w:lang w:val="en-US" w:eastAsia="zh-CN"/>
              </w:rPr>
              <w:t>人员工资增加和社保基数提标。</w:t>
            </w:r>
          </w:p>
        </w:tc>
      </w:tr>
      <w:tr w14:paraId="784B4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9826ACC">
            <w:pPr>
              <w:spacing w:beforeLines="0" w:afterLines="0" w:line="375" w:lineRule="exact"/>
              <w:ind w:left="20"/>
              <w:rPr>
                <w:rFonts w:hint="eastAsia" w:ascii="Dialog" w:hAnsi="Dialog"/>
                <w:sz w:val="32"/>
              </w:rPr>
            </w:pPr>
            <w:r>
              <w:rPr>
                <w:rFonts w:hint="eastAsia" w:ascii="Dialog" w:hAnsi="Dialog"/>
                <w:sz w:val="32"/>
              </w:rPr>
              <w:t xml:space="preserve">  （二）支出预算</w:t>
            </w:r>
          </w:p>
        </w:tc>
      </w:tr>
      <w:tr w14:paraId="2B7DF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F20F747">
            <w:pPr>
              <w:spacing w:beforeLines="0" w:afterLines="0" w:line="375" w:lineRule="exact"/>
              <w:ind w:left="20"/>
              <w:rPr>
                <w:rFonts w:hint="eastAsia" w:ascii="宋体" w:hAnsi="宋体" w:eastAsia="宋体"/>
                <w:sz w:val="32"/>
              </w:rPr>
            </w:pPr>
            <w:r>
              <w:rPr>
                <w:rFonts w:hint="eastAsia" w:ascii="宋体" w:hAnsi="宋体" w:eastAsia="宋体"/>
                <w:sz w:val="32"/>
              </w:rPr>
              <w:t xml:space="preserve">  2026年本部门支出预算10459.08万元，其中，208社会保障和就业支出792.20万元，210卫生健康支出317.22万元，213农林水支出8828.63万元，221住房保障支出521.03万元，支出较去年增加</w:t>
            </w:r>
            <w:r>
              <w:rPr>
                <w:rFonts w:hint="eastAsia" w:ascii="宋体" w:hAnsi="宋体"/>
                <w:sz w:val="32"/>
                <w:lang w:val="en-US" w:eastAsia="zh-CN"/>
              </w:rPr>
              <w:t>108.30</w:t>
            </w:r>
            <w:r>
              <w:rPr>
                <w:rFonts w:hint="eastAsia" w:ascii="宋体" w:hAnsi="宋体" w:eastAsia="宋体"/>
                <w:sz w:val="32"/>
              </w:rPr>
              <w:t>万元，上升</w:t>
            </w:r>
            <w:r>
              <w:rPr>
                <w:rFonts w:hint="eastAsia" w:ascii="宋体" w:hAnsi="宋体"/>
                <w:sz w:val="32"/>
                <w:lang w:val="en-US" w:eastAsia="zh-CN"/>
              </w:rPr>
              <w:t>1.04</w:t>
            </w:r>
            <w:r>
              <w:rPr>
                <w:rFonts w:hint="eastAsia" w:ascii="宋体" w:hAnsi="宋体" w:eastAsia="宋体"/>
                <w:sz w:val="32"/>
              </w:rPr>
              <w:t>%，主要是因为</w:t>
            </w:r>
            <w:r>
              <w:rPr>
                <w:rFonts w:hint="default" w:ascii="宋体" w:hAnsi="宋体" w:eastAsia="宋体"/>
                <w:sz w:val="32"/>
                <w:lang w:val="en-US" w:eastAsia="zh-CN"/>
              </w:rPr>
              <w:t>人员工资增加和社保基数提标。</w:t>
            </w:r>
          </w:p>
        </w:tc>
      </w:tr>
      <w:tr w14:paraId="7C22B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89833EA">
            <w:pPr>
              <w:spacing w:beforeLines="0" w:afterLines="0" w:line="375" w:lineRule="exact"/>
              <w:ind w:left="20"/>
              <w:rPr>
                <w:rFonts w:hint="eastAsia" w:ascii="Dialog" w:hAnsi="Dialog"/>
                <w:sz w:val="32"/>
              </w:rPr>
            </w:pPr>
            <w:r>
              <w:rPr>
                <w:rFonts w:hint="eastAsia" w:ascii="Dialog" w:hAnsi="Dialog"/>
                <w:sz w:val="32"/>
              </w:rPr>
              <w:t xml:space="preserve">  四、一般公共预算拨款支出预算</w:t>
            </w:r>
          </w:p>
        </w:tc>
      </w:tr>
      <w:tr w14:paraId="666F1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3883E57">
            <w:pPr>
              <w:spacing w:beforeLines="0" w:afterLines="0" w:line="375" w:lineRule="exact"/>
              <w:ind w:left="20"/>
              <w:rPr>
                <w:rFonts w:hint="eastAsia" w:ascii="宋体" w:hAnsi="宋体" w:eastAsia="宋体"/>
                <w:sz w:val="32"/>
              </w:rPr>
            </w:pPr>
            <w:r>
              <w:rPr>
                <w:rFonts w:hint="eastAsia" w:ascii="宋体" w:hAnsi="宋体" w:eastAsia="宋体"/>
                <w:sz w:val="32"/>
              </w:rPr>
              <w:t xml:space="preserve">  2026年一般公共预算拨款支出预算10459.08万元，其中，208社会保障和就业支出792.20万元，占7.57%；210卫生健康支出317.22万元，占3.03%；213农林水支出8828.63万元，占84.41%；221住房保障支出521.03万元，占4.98%；具体安排情况如下：</w:t>
            </w:r>
          </w:p>
        </w:tc>
      </w:tr>
      <w:tr w14:paraId="284B8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29DB87D">
            <w:pPr>
              <w:spacing w:beforeLines="0" w:afterLines="0" w:line="375" w:lineRule="exact"/>
              <w:ind w:left="20"/>
              <w:rPr>
                <w:rFonts w:hint="eastAsia" w:ascii="宋体" w:hAnsi="宋体" w:eastAsia="宋体"/>
                <w:sz w:val="32"/>
              </w:rPr>
            </w:pPr>
            <w:r>
              <w:rPr>
                <w:rFonts w:hint="eastAsia" w:ascii="宋体" w:hAnsi="宋体" w:eastAsia="宋体"/>
                <w:sz w:val="32"/>
              </w:rPr>
              <w:t xml:space="preserve">  （一）基本支出：2026年基本支出年初预算数为9687.68万元（数据来源见表23），是指为保障单位机构正常运转、完成日常工作任务而发生的各项支出，包括用于基本工资、津贴补贴等人员经费以及办公费、印刷费、水电费、差旅费等日常公用经费。</w:t>
            </w:r>
          </w:p>
        </w:tc>
      </w:tr>
      <w:tr w14:paraId="045DB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22"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10E62F4">
            <w:pPr>
              <w:spacing w:beforeLines="0" w:afterLines="0" w:line="375" w:lineRule="exact"/>
              <w:ind w:left="20"/>
              <w:rPr>
                <w:rFonts w:hint="eastAsia" w:ascii="宋体" w:hAnsi="宋体" w:eastAsia="宋体"/>
                <w:sz w:val="32"/>
              </w:rPr>
            </w:pPr>
            <w:r>
              <w:rPr>
                <w:rFonts w:hint="eastAsia" w:ascii="宋体" w:hAnsi="宋体" w:eastAsia="宋体"/>
                <w:sz w:val="32"/>
              </w:rPr>
              <w:t xml:space="preserve">  （二）项目支出：2026年项目支出年初预算数为771.40万元（数据来源见表20），是指部门为完成特定行政工作任务或事业发展目标而发生的支出，包括有关业务工作经费、运行维护经费、其他事业发展资金等。其中：2026年办案费专项支出5.00万元，主要用于</w:t>
            </w:r>
            <w:r>
              <w:rPr>
                <w:rFonts w:hint="default" w:ascii="宋体" w:hAnsi="宋体" w:eastAsia="宋体"/>
                <w:sz w:val="32"/>
                <w:highlight w:val="none"/>
                <w:lang w:val="en-US" w:eastAsia="zh-CN"/>
              </w:rPr>
              <w:t>打击非法采砂、保护水生态环境</w:t>
            </w:r>
            <w:r>
              <w:rPr>
                <w:rFonts w:hint="eastAsia" w:ascii="宋体" w:hAnsi="宋体" w:eastAsia="宋体"/>
                <w:sz w:val="32"/>
              </w:rPr>
              <w:t>方面,2026年非税征管经费专项支出3.00万元，主要用于强化生产建设项目水土保持全链条全流程闭环管理</w:t>
            </w:r>
            <w:r>
              <w:rPr>
                <w:rFonts w:hint="eastAsia" w:ascii="宋体" w:hAnsi="宋体"/>
                <w:sz w:val="32"/>
                <w:lang w:eastAsia="zh-CN"/>
              </w:rPr>
              <w:t>、</w:t>
            </w:r>
            <w:r>
              <w:rPr>
                <w:rFonts w:hint="eastAsia" w:ascii="宋体" w:hAnsi="宋体" w:eastAsia="宋体"/>
                <w:sz w:val="32"/>
              </w:rPr>
              <w:t>切实抓好水土流失治理</w:t>
            </w:r>
            <w:r>
              <w:rPr>
                <w:rFonts w:hint="eastAsia" w:ascii="宋体" w:hAnsi="宋体"/>
                <w:sz w:val="32"/>
                <w:lang w:eastAsia="zh-CN"/>
              </w:rPr>
              <w:t>、</w:t>
            </w:r>
            <w:r>
              <w:rPr>
                <w:rFonts w:hint="eastAsia" w:ascii="宋体" w:hAnsi="宋体" w:eastAsia="宋体"/>
                <w:sz w:val="32"/>
              </w:rPr>
              <w:t>做好水土保持宣传工作方面,2026水利专项专项支出92.80万元，主要用于确保工程枢纽工程汛期、枯水期安全运行、确保电排安全运行</w:t>
            </w:r>
            <w:r>
              <w:rPr>
                <w:rFonts w:hint="eastAsia" w:ascii="宋体" w:hAnsi="宋体"/>
                <w:sz w:val="32"/>
                <w:lang w:eastAsia="zh-CN"/>
              </w:rPr>
              <w:t>、</w:t>
            </w:r>
            <w:r>
              <w:rPr>
                <w:rFonts w:hint="eastAsia" w:ascii="宋体" w:hAnsi="宋体" w:eastAsia="宋体"/>
                <w:sz w:val="32"/>
              </w:rPr>
              <w:t>确保城区安全度汛方面,非税征管经费专项支出213.00万元，</w:t>
            </w:r>
            <w:r>
              <w:rPr>
                <w:rFonts w:hint="eastAsia" w:ascii="宋体" w:hAnsi="Times New Roman" w:eastAsia="宋体" w:cs="宋体"/>
                <w:sz w:val="32"/>
                <w:szCs w:val="32"/>
              </w:rPr>
              <w:t>主要用于渠道运行维护等方面</w:t>
            </w:r>
            <w:r>
              <w:rPr>
                <w:rFonts w:hint="default" w:ascii="宋体" w:hAnsi="Times New Roman" w:eastAsia="宋体" w:cs="宋体"/>
                <w:sz w:val="32"/>
                <w:szCs w:val="32"/>
              </w:rPr>
              <w:t>,</w:t>
            </w:r>
            <w:r>
              <w:rPr>
                <w:rFonts w:hint="eastAsia" w:ascii="宋体" w:hAnsi="Times New Roman" w:eastAsia="宋体" w:cs="宋体"/>
                <w:sz w:val="32"/>
                <w:szCs w:val="32"/>
              </w:rPr>
              <w:t>其他人员类支出专项支出457.60万元，主要用于备案制管理人员开支等方面。</w:t>
            </w:r>
          </w:p>
        </w:tc>
      </w:tr>
      <w:tr w14:paraId="1BFF6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65BDB12">
            <w:pPr>
              <w:spacing w:beforeLines="0" w:afterLines="0" w:line="375" w:lineRule="exact"/>
              <w:ind w:left="20"/>
              <w:rPr>
                <w:rFonts w:hint="eastAsia" w:ascii="Dialog" w:hAnsi="Dialog"/>
                <w:sz w:val="32"/>
              </w:rPr>
            </w:pPr>
            <w:r>
              <w:rPr>
                <w:rFonts w:hint="eastAsia" w:ascii="Dialog" w:hAnsi="Dialog"/>
                <w:sz w:val="32"/>
              </w:rPr>
              <w:t xml:space="preserve">  五、政府性基金预算支出</w:t>
            </w:r>
          </w:p>
        </w:tc>
      </w:tr>
      <w:tr w14:paraId="3A82D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9F4C0BD">
            <w:pPr>
              <w:spacing w:beforeLines="0" w:afterLines="0" w:line="375" w:lineRule="exact"/>
              <w:ind w:left="20"/>
              <w:rPr>
                <w:rFonts w:hint="eastAsia" w:ascii="宋体" w:hAnsi="宋体" w:eastAsia="宋体"/>
                <w:sz w:val="32"/>
              </w:rPr>
            </w:pPr>
            <w:r>
              <w:rPr>
                <w:rFonts w:hint="eastAsia" w:ascii="宋体" w:hAnsi="宋体" w:eastAsia="宋体"/>
                <w:sz w:val="32"/>
              </w:rPr>
              <w:t xml:space="preserve">  2026年度本部门无政府性基金安排的支出，所以公开的附件15-17（政府性基金预算）为空。</w:t>
            </w:r>
          </w:p>
        </w:tc>
      </w:tr>
      <w:tr w14:paraId="22D5B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03FF84E">
            <w:pPr>
              <w:spacing w:beforeLines="0" w:afterLines="0" w:line="375" w:lineRule="exact"/>
              <w:ind w:left="20"/>
              <w:rPr>
                <w:rFonts w:hint="eastAsia" w:ascii="Dialog" w:hAnsi="Dialog"/>
                <w:sz w:val="32"/>
              </w:rPr>
            </w:pPr>
            <w:r>
              <w:rPr>
                <w:rFonts w:hint="eastAsia" w:ascii="Dialog" w:hAnsi="Dialog"/>
                <w:sz w:val="32"/>
              </w:rPr>
              <w:t xml:space="preserve">  六、其他重要事项的情况说明</w:t>
            </w:r>
          </w:p>
        </w:tc>
      </w:tr>
      <w:tr w14:paraId="3847D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4D7F026">
            <w:pPr>
              <w:spacing w:beforeLines="0" w:afterLines="0" w:line="375" w:lineRule="exact"/>
              <w:ind w:left="20"/>
              <w:rPr>
                <w:rFonts w:hint="eastAsia" w:ascii="Dialog" w:hAnsi="Dialog"/>
                <w:sz w:val="32"/>
              </w:rPr>
            </w:pPr>
            <w:r>
              <w:rPr>
                <w:rFonts w:hint="eastAsia" w:ascii="Dialog" w:hAnsi="Dialog"/>
                <w:sz w:val="32"/>
              </w:rPr>
              <w:t xml:space="preserve">  （一）机关运行经费</w:t>
            </w:r>
          </w:p>
        </w:tc>
      </w:tr>
      <w:tr w14:paraId="256A8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1"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55BD733">
            <w:pPr>
              <w:spacing w:beforeLines="0" w:afterLines="0" w:line="375" w:lineRule="exact"/>
              <w:ind w:left="20"/>
              <w:rPr>
                <w:rFonts w:hint="default" w:ascii="宋体" w:hAnsi="宋体" w:eastAsia="宋体"/>
                <w:sz w:val="32"/>
                <w:lang w:val="en-US" w:eastAsia="zh-CN"/>
              </w:rPr>
            </w:pPr>
            <w:r>
              <w:rPr>
                <w:rFonts w:hint="eastAsia" w:ascii="宋体" w:hAnsi="宋体" w:eastAsia="宋体"/>
                <w:sz w:val="32"/>
              </w:rPr>
              <w:t xml:space="preserve">  本部门2026年机关运行经费当年一般公共预算拨款</w:t>
            </w:r>
            <w:r>
              <w:rPr>
                <w:rFonts w:hint="eastAsia" w:ascii="宋体" w:hAnsi="宋体"/>
                <w:sz w:val="32"/>
                <w:lang w:val="en-US" w:eastAsia="zh-CN"/>
              </w:rPr>
              <w:t>1525.82</w:t>
            </w:r>
            <w:r>
              <w:rPr>
                <w:rFonts w:hint="eastAsia" w:ascii="宋体" w:hAnsi="宋体" w:eastAsia="宋体"/>
                <w:sz w:val="32"/>
              </w:rPr>
              <w:t>万元（数据来源见表12），比上一年增加</w:t>
            </w:r>
            <w:r>
              <w:rPr>
                <w:rFonts w:hint="eastAsia" w:ascii="宋体" w:hAnsi="宋体"/>
                <w:sz w:val="32"/>
                <w:lang w:val="en-US" w:eastAsia="zh-CN"/>
              </w:rPr>
              <w:t>377.19</w:t>
            </w:r>
            <w:r>
              <w:rPr>
                <w:rFonts w:hint="eastAsia" w:ascii="宋体" w:hAnsi="宋体" w:eastAsia="宋体"/>
                <w:sz w:val="32"/>
              </w:rPr>
              <w:t>万元，上升</w:t>
            </w:r>
            <w:r>
              <w:rPr>
                <w:rFonts w:hint="eastAsia" w:ascii="宋体" w:hAnsi="宋体"/>
                <w:sz w:val="32"/>
                <w:lang w:val="en-US" w:eastAsia="zh-CN"/>
              </w:rPr>
              <w:t>32.84</w:t>
            </w:r>
            <w:r>
              <w:rPr>
                <w:rFonts w:hint="eastAsia" w:ascii="宋体" w:hAnsi="宋体" w:eastAsia="宋体"/>
                <w:sz w:val="32"/>
              </w:rPr>
              <w:t>%，主要原因是</w:t>
            </w:r>
            <w:r>
              <w:rPr>
                <w:rFonts w:hint="eastAsia" w:ascii="宋体" w:hAnsi="宋体"/>
                <w:sz w:val="32"/>
                <w:lang w:eastAsia="zh-CN"/>
              </w:rPr>
              <w:t>预算编制发生结构性调整。</w:t>
            </w:r>
          </w:p>
        </w:tc>
      </w:tr>
      <w:tr w14:paraId="578B1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5A9D7FD">
            <w:pPr>
              <w:spacing w:beforeLines="0" w:afterLines="0" w:line="375" w:lineRule="exact"/>
              <w:ind w:left="20"/>
              <w:rPr>
                <w:rFonts w:hint="eastAsia" w:ascii="Dialog" w:hAnsi="Dialog"/>
                <w:sz w:val="32"/>
              </w:rPr>
            </w:pPr>
            <w:r>
              <w:rPr>
                <w:rFonts w:hint="eastAsia" w:ascii="Dialog" w:hAnsi="Dialog"/>
                <w:sz w:val="32"/>
              </w:rPr>
              <w:t xml:space="preserve">  （二）“三公”经费预算</w:t>
            </w:r>
          </w:p>
        </w:tc>
      </w:tr>
      <w:tr w14:paraId="28F52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B2C1006">
            <w:pPr>
              <w:spacing w:beforeLines="0" w:afterLines="0" w:line="375" w:lineRule="exact"/>
              <w:ind w:left="20"/>
              <w:rPr>
                <w:rFonts w:hint="eastAsia" w:ascii="宋体" w:hAnsi="宋体" w:eastAsia="宋体"/>
                <w:sz w:val="32"/>
              </w:rPr>
            </w:pPr>
            <w:r>
              <w:rPr>
                <w:rFonts w:hint="eastAsia" w:ascii="宋体" w:hAnsi="宋体" w:eastAsia="宋体"/>
                <w:sz w:val="32"/>
              </w:rPr>
              <w:t xml:space="preserve">  本部门2026年“三公”经费预算数85.40万元（数据来源见表14），其中，公务接待费5.40万元，因公出国（境）费0.00万元，公务用车购置及运行费80.00万元（其中，公务用车购置费36.00万元，公务用车运行费44.00万元）。2026年三公经费预算较上年增加</w:t>
            </w:r>
            <w:r>
              <w:rPr>
                <w:rFonts w:hint="eastAsia" w:ascii="宋体" w:hAnsi="宋体"/>
                <w:sz w:val="32"/>
                <w:lang w:val="en-US" w:eastAsia="zh-CN"/>
              </w:rPr>
              <w:t>44.40</w:t>
            </w:r>
            <w:r>
              <w:rPr>
                <w:rFonts w:hint="eastAsia" w:ascii="宋体" w:hAnsi="宋体" w:eastAsia="宋体"/>
                <w:sz w:val="32"/>
              </w:rPr>
              <w:t>万元，上升</w:t>
            </w:r>
            <w:r>
              <w:rPr>
                <w:rFonts w:hint="eastAsia" w:ascii="宋体" w:hAnsi="宋体"/>
                <w:sz w:val="32"/>
                <w:lang w:val="en-US" w:eastAsia="zh-CN"/>
              </w:rPr>
              <w:t>108.29</w:t>
            </w:r>
            <w:r>
              <w:rPr>
                <w:rFonts w:hint="eastAsia" w:ascii="宋体" w:hAnsi="宋体" w:eastAsia="宋体"/>
                <w:sz w:val="32"/>
              </w:rPr>
              <w:t>%，主要原因是</w:t>
            </w:r>
            <w:r>
              <w:rPr>
                <w:rFonts w:hint="eastAsia" w:ascii="宋体" w:hAnsi="宋体"/>
                <w:sz w:val="32"/>
                <w:lang w:eastAsia="zh-CN"/>
              </w:rPr>
              <w:t>铁山中心</w:t>
            </w:r>
            <w:r>
              <w:rPr>
                <w:rFonts w:hint="eastAsia" w:ascii="宋体" w:hAnsi="Times New Roman" w:eastAsia="宋体" w:cs="宋体"/>
                <w:sz w:val="32"/>
                <w:szCs w:val="32"/>
              </w:rPr>
              <w:t>增加采购3台公务用车</w:t>
            </w:r>
            <w:r>
              <w:rPr>
                <w:rFonts w:hint="eastAsia" w:ascii="宋体" w:hAnsi="Times New Roman" w:cs="宋体"/>
                <w:sz w:val="32"/>
                <w:szCs w:val="32"/>
                <w:lang w:eastAsia="zh-CN"/>
              </w:rPr>
              <w:t>费用开支</w:t>
            </w:r>
            <w:r>
              <w:rPr>
                <w:rFonts w:hint="eastAsia" w:ascii="宋体" w:hAnsi="Times New Roman" w:eastAsia="宋体" w:cs="宋体"/>
                <w:sz w:val="32"/>
                <w:szCs w:val="32"/>
              </w:rPr>
              <w:t>，及每台小车</w:t>
            </w:r>
            <w:r>
              <w:rPr>
                <w:rFonts w:hint="eastAsia" w:ascii="宋体" w:hAnsi="Times New Roman" w:cs="宋体"/>
                <w:sz w:val="32"/>
                <w:szCs w:val="32"/>
                <w:lang w:eastAsia="zh-CN"/>
              </w:rPr>
              <w:t>运行维护费用</w:t>
            </w:r>
            <w:r>
              <w:rPr>
                <w:rFonts w:hint="eastAsia" w:ascii="宋体" w:hAnsi="Times New Roman" w:eastAsia="宋体" w:cs="宋体"/>
                <w:sz w:val="32"/>
                <w:szCs w:val="32"/>
              </w:rPr>
              <w:t>费用</w:t>
            </w:r>
            <w:r>
              <w:rPr>
                <w:rFonts w:hint="eastAsia" w:ascii="宋体" w:hAnsi="Times New Roman" w:cs="宋体"/>
                <w:sz w:val="32"/>
                <w:szCs w:val="32"/>
                <w:lang w:eastAsia="zh-CN"/>
              </w:rPr>
              <w:t>提标</w:t>
            </w:r>
            <w:r>
              <w:rPr>
                <w:rFonts w:hint="eastAsia" w:ascii="宋体" w:hAnsi="Times New Roman" w:eastAsia="宋体" w:cs="宋体"/>
                <w:sz w:val="32"/>
                <w:szCs w:val="32"/>
              </w:rPr>
              <w:t>1万元</w:t>
            </w:r>
            <w:r>
              <w:rPr>
                <w:rFonts w:hint="eastAsia" w:ascii="宋体" w:hAnsi="Times New Roman" w:cs="宋体"/>
                <w:sz w:val="32"/>
                <w:szCs w:val="32"/>
                <w:lang w:val="en-US" w:eastAsia="zh-CN"/>
              </w:rPr>
              <w:t>/</w:t>
            </w:r>
            <w:r>
              <w:rPr>
                <w:rFonts w:hint="eastAsia" w:ascii="宋体" w:hAnsi="Times New Roman" w:eastAsia="宋体" w:cs="宋体"/>
                <w:sz w:val="32"/>
                <w:szCs w:val="32"/>
              </w:rPr>
              <w:t>年。</w:t>
            </w:r>
          </w:p>
        </w:tc>
      </w:tr>
      <w:tr w14:paraId="2E872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703796C">
            <w:pPr>
              <w:spacing w:beforeLines="0" w:afterLines="0" w:line="375" w:lineRule="exact"/>
              <w:ind w:left="20"/>
              <w:rPr>
                <w:rFonts w:hint="eastAsia" w:ascii="Dialog" w:hAnsi="Dialog"/>
                <w:sz w:val="32"/>
              </w:rPr>
            </w:pPr>
            <w:r>
              <w:rPr>
                <w:rFonts w:hint="eastAsia" w:ascii="Dialog" w:hAnsi="Dialog"/>
                <w:sz w:val="32"/>
              </w:rPr>
              <w:t xml:space="preserve">  （三）一般性支出情况</w:t>
            </w:r>
          </w:p>
        </w:tc>
      </w:tr>
      <w:tr w14:paraId="003CB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75"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3A94181">
            <w:pPr>
              <w:spacing w:beforeLines="0" w:afterLines="0" w:line="375" w:lineRule="exact"/>
              <w:ind w:left="20"/>
              <w:rPr>
                <w:rFonts w:hint="eastAsia" w:ascii="宋体" w:hAnsi="宋体" w:eastAsia="宋体"/>
                <w:sz w:val="32"/>
              </w:rPr>
            </w:pPr>
            <w:r>
              <w:rPr>
                <w:rFonts w:hint="eastAsia" w:ascii="宋体" w:hAnsi="宋体" w:eastAsia="宋体"/>
                <w:sz w:val="32"/>
              </w:rPr>
              <w:t xml:space="preserve">  本部门2026年会议费预算9.00万元（数据来源见表13会议费、培训费），</w:t>
            </w:r>
            <w:r>
              <w:rPr>
                <w:rFonts w:hint="default" w:ascii="宋体" w:hAnsi="宋体" w:eastAsia="宋体"/>
                <w:sz w:val="32"/>
                <w:lang w:val="en-US" w:eastAsia="zh-CN"/>
              </w:rPr>
              <w:t>拟召开</w:t>
            </w:r>
            <w:r>
              <w:rPr>
                <w:rFonts w:hint="eastAsia" w:ascii="宋体" w:hAnsi="宋体"/>
                <w:sz w:val="32"/>
                <w:lang w:val="en-US" w:eastAsia="zh-CN"/>
              </w:rPr>
              <w:t>15</w:t>
            </w:r>
            <w:r>
              <w:rPr>
                <w:rFonts w:hint="default" w:ascii="宋体" w:hAnsi="宋体" w:eastAsia="宋体"/>
                <w:sz w:val="32"/>
                <w:lang w:val="en-US" w:eastAsia="zh-CN"/>
              </w:rPr>
              <w:t>次会议，人数</w:t>
            </w:r>
            <w:r>
              <w:rPr>
                <w:rFonts w:hint="eastAsia" w:ascii="宋体" w:hAnsi="宋体"/>
                <w:sz w:val="32"/>
                <w:lang w:val="en-US" w:eastAsia="zh-CN"/>
              </w:rPr>
              <w:t>4</w:t>
            </w:r>
            <w:r>
              <w:rPr>
                <w:rFonts w:hint="default" w:ascii="宋体" w:hAnsi="宋体" w:eastAsia="宋体"/>
                <w:sz w:val="32"/>
                <w:lang w:val="en-US" w:eastAsia="zh-CN"/>
              </w:rPr>
              <w:t>00余人，内容为全市</w:t>
            </w:r>
            <w:r>
              <w:rPr>
                <w:rFonts w:hint="eastAsia" w:ascii="宋体" w:hAnsi="宋体"/>
                <w:sz w:val="32"/>
                <w:lang w:val="en-US" w:eastAsia="zh-CN"/>
              </w:rPr>
              <w:t>防汛抗旱</w:t>
            </w:r>
            <w:r>
              <w:rPr>
                <w:rFonts w:hint="default" w:ascii="宋体" w:hAnsi="宋体" w:eastAsia="宋体"/>
                <w:sz w:val="32"/>
                <w:lang w:val="en-US" w:eastAsia="zh-CN"/>
              </w:rPr>
              <w:t>、</w:t>
            </w:r>
            <w:r>
              <w:rPr>
                <w:rFonts w:hint="eastAsia" w:ascii="宋体" w:hAnsi="Times New Roman" w:eastAsia="宋体" w:cs="宋体"/>
                <w:sz w:val="32"/>
                <w:szCs w:val="32"/>
              </w:rPr>
              <w:t>党建</w:t>
            </w:r>
            <w:r>
              <w:rPr>
                <w:rFonts w:hint="eastAsia" w:ascii="宋体" w:hAnsi="Times New Roman" w:cs="宋体"/>
                <w:sz w:val="32"/>
                <w:szCs w:val="32"/>
                <w:lang w:eastAsia="zh-CN"/>
              </w:rPr>
              <w:t>工作</w:t>
            </w:r>
            <w:r>
              <w:rPr>
                <w:rFonts w:hint="eastAsia" w:ascii="宋体" w:hAnsi="Times New Roman" w:eastAsia="宋体" w:cs="宋体"/>
                <w:sz w:val="32"/>
                <w:szCs w:val="32"/>
              </w:rPr>
              <w:t>协调等工作会</w:t>
            </w:r>
            <w:r>
              <w:rPr>
                <w:rFonts w:hint="eastAsia" w:ascii="宋体" w:hAnsi="宋体" w:eastAsia="宋体"/>
                <w:sz w:val="32"/>
              </w:rPr>
              <w:t>；培训费预算8.50万元，拟开展</w:t>
            </w:r>
            <w:r>
              <w:rPr>
                <w:rFonts w:hint="eastAsia" w:ascii="宋体" w:hAnsi="宋体"/>
                <w:sz w:val="32"/>
                <w:lang w:val="en-US" w:eastAsia="zh-CN"/>
              </w:rPr>
              <w:t>11</w:t>
            </w:r>
            <w:r>
              <w:rPr>
                <w:rFonts w:hint="eastAsia" w:ascii="宋体" w:hAnsi="宋体" w:eastAsia="宋体"/>
                <w:sz w:val="32"/>
              </w:rPr>
              <w:t>次培训，人数</w:t>
            </w:r>
            <w:r>
              <w:rPr>
                <w:rFonts w:hint="eastAsia" w:ascii="宋体" w:hAnsi="宋体"/>
                <w:sz w:val="32"/>
                <w:lang w:val="en-US" w:eastAsia="zh-CN"/>
              </w:rPr>
              <w:t>200余</w:t>
            </w:r>
            <w:r>
              <w:rPr>
                <w:rFonts w:hint="eastAsia" w:ascii="宋体" w:hAnsi="宋体" w:eastAsia="宋体"/>
                <w:sz w:val="32"/>
              </w:rPr>
              <w:t>人，内容为</w:t>
            </w:r>
            <w:r>
              <w:rPr>
                <w:rFonts w:hint="eastAsia" w:ascii="宋体" w:hAnsi="宋体"/>
                <w:sz w:val="32"/>
                <w:lang w:val="en-US" w:eastAsia="zh-CN"/>
              </w:rPr>
              <w:t>饮</w:t>
            </w:r>
            <w:r>
              <w:rPr>
                <w:rFonts w:hint="default" w:ascii="宋体" w:hAnsi="宋体" w:eastAsia="宋体"/>
                <w:sz w:val="32"/>
                <w:lang w:val="en-US" w:eastAsia="zh-CN"/>
              </w:rPr>
              <w:t>水</w:t>
            </w:r>
            <w:r>
              <w:rPr>
                <w:rFonts w:hint="eastAsia" w:ascii="宋体" w:hAnsi="宋体"/>
                <w:sz w:val="32"/>
                <w:lang w:val="en-US" w:eastAsia="zh-CN"/>
              </w:rPr>
              <w:t>安全</w:t>
            </w:r>
            <w:r>
              <w:rPr>
                <w:rFonts w:hint="default" w:ascii="宋体" w:hAnsi="宋体" w:eastAsia="宋体"/>
                <w:sz w:val="32"/>
                <w:lang w:val="en-US" w:eastAsia="zh-CN"/>
              </w:rPr>
              <w:t>、河长制工作等业务培训</w:t>
            </w:r>
            <w:r>
              <w:rPr>
                <w:rFonts w:hint="eastAsia" w:ascii="宋体" w:hAnsi="宋体" w:eastAsia="宋体"/>
                <w:sz w:val="32"/>
              </w:rPr>
              <w:t>；计划举办节庆、</w:t>
            </w:r>
            <w:r>
              <w:rPr>
                <w:rFonts w:hint="default" w:ascii="宋体" w:hAnsi="宋体" w:eastAsia="宋体"/>
                <w:sz w:val="32"/>
                <w:lang w:val="en-US" w:eastAsia="zh-CN"/>
              </w:rPr>
              <w:t>计划举办节庆、晚会、论坛、赛事活动0万元，</w:t>
            </w:r>
            <w:r>
              <w:rPr>
                <w:rFonts w:hint="eastAsia" w:ascii="宋体" w:hAnsi="宋体" w:eastAsia="宋体"/>
                <w:sz w:val="32"/>
              </w:rPr>
              <w:t>2026年度本部门未计划举办节庆、晚会、论坛、赛事活动。</w:t>
            </w:r>
          </w:p>
        </w:tc>
      </w:tr>
      <w:tr w14:paraId="11528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16A6FB8">
            <w:pPr>
              <w:spacing w:beforeLines="0" w:afterLines="0" w:line="375" w:lineRule="exact"/>
              <w:ind w:left="20"/>
              <w:rPr>
                <w:rFonts w:hint="eastAsia" w:ascii="Dialog" w:hAnsi="Dialog"/>
                <w:sz w:val="32"/>
              </w:rPr>
            </w:pPr>
            <w:r>
              <w:rPr>
                <w:rFonts w:hint="eastAsia" w:ascii="Dialog" w:hAnsi="Dialog"/>
                <w:sz w:val="32"/>
              </w:rPr>
              <w:t xml:space="preserve">  （四）委托业务费情况</w:t>
            </w:r>
          </w:p>
        </w:tc>
      </w:tr>
      <w:tr w14:paraId="3303F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3973843">
            <w:pPr>
              <w:spacing w:beforeLines="0" w:afterLines="0" w:line="375" w:lineRule="exact"/>
              <w:ind w:left="20"/>
              <w:rPr>
                <w:rFonts w:hint="eastAsia" w:ascii="宋体" w:hAnsi="宋体" w:eastAsia="宋体"/>
                <w:sz w:val="32"/>
              </w:rPr>
            </w:pPr>
            <w:r>
              <w:rPr>
                <w:rFonts w:hint="eastAsia" w:ascii="宋体" w:hAnsi="宋体" w:eastAsia="宋体"/>
                <w:sz w:val="32"/>
              </w:rPr>
              <w:t xml:space="preserve">  本部门2026年本级等</w:t>
            </w:r>
            <w:r>
              <w:rPr>
                <w:rFonts w:hint="eastAsia" w:ascii="宋体" w:hAnsi="宋体"/>
                <w:sz w:val="32"/>
                <w:lang w:val="en-US" w:eastAsia="zh-CN"/>
              </w:rPr>
              <w:t>2</w:t>
            </w:r>
            <w:r>
              <w:rPr>
                <w:rFonts w:hint="eastAsia" w:ascii="宋体" w:hAnsi="宋体" w:eastAsia="宋体"/>
                <w:sz w:val="32"/>
              </w:rPr>
              <w:t>家行政事业单位委托业务费</w:t>
            </w:r>
            <w:r>
              <w:rPr>
                <w:rFonts w:hint="eastAsia" w:ascii="宋体" w:hAnsi="宋体"/>
                <w:sz w:val="32"/>
                <w:lang w:val="en-US" w:eastAsia="zh-CN"/>
              </w:rPr>
              <w:t>125.00</w:t>
            </w:r>
            <w:r>
              <w:rPr>
                <w:rFonts w:hint="eastAsia" w:ascii="宋体" w:hAnsi="宋体" w:eastAsia="宋体"/>
                <w:sz w:val="32"/>
              </w:rPr>
              <w:t>万元，比上年预算增加</w:t>
            </w:r>
            <w:r>
              <w:rPr>
                <w:rFonts w:hint="eastAsia" w:ascii="宋体" w:hAnsi="宋体"/>
                <w:sz w:val="32"/>
                <w:lang w:val="en-US" w:eastAsia="zh-CN"/>
              </w:rPr>
              <w:t>115</w:t>
            </w:r>
            <w:r>
              <w:rPr>
                <w:rFonts w:hint="eastAsia" w:ascii="宋体" w:hAnsi="宋体" w:eastAsia="宋体"/>
                <w:sz w:val="32"/>
              </w:rPr>
              <w:t>万元，</w:t>
            </w:r>
            <w:bookmarkStart w:id="0" w:name="_GoBack"/>
            <w:bookmarkEnd w:id="0"/>
            <w:r>
              <w:rPr>
                <w:rFonts w:hint="eastAsia" w:ascii="宋体" w:hAnsi="宋体" w:eastAsia="宋体"/>
                <w:sz w:val="32"/>
              </w:rPr>
              <w:t>主要原因是</w:t>
            </w:r>
            <w:r>
              <w:rPr>
                <w:rFonts w:hint="eastAsia" w:ascii="宋体" w:hAnsi="宋体"/>
                <w:sz w:val="32"/>
                <w:lang w:eastAsia="zh-CN"/>
              </w:rPr>
              <w:t>预算编制发生结构性调整。</w:t>
            </w:r>
          </w:p>
        </w:tc>
      </w:tr>
      <w:tr w14:paraId="5A3D9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6AA4099">
            <w:pPr>
              <w:spacing w:beforeLines="0" w:afterLines="0" w:line="375" w:lineRule="exact"/>
              <w:ind w:left="20"/>
              <w:rPr>
                <w:rFonts w:hint="eastAsia" w:ascii="Dialog" w:hAnsi="Dialog"/>
                <w:sz w:val="32"/>
              </w:rPr>
            </w:pPr>
            <w:r>
              <w:rPr>
                <w:rFonts w:hint="eastAsia" w:ascii="Dialog" w:hAnsi="Dialog"/>
                <w:sz w:val="32"/>
              </w:rPr>
              <w:t xml:space="preserve">  （五）政府采购情况</w:t>
            </w:r>
          </w:p>
        </w:tc>
      </w:tr>
      <w:tr w14:paraId="1F61A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A3E57B0">
            <w:pPr>
              <w:spacing w:beforeLines="0" w:afterLines="0" w:line="375" w:lineRule="exact"/>
              <w:ind w:left="20"/>
              <w:rPr>
                <w:rFonts w:hint="eastAsia" w:ascii="宋体" w:hAnsi="宋体" w:eastAsia="宋体"/>
                <w:sz w:val="32"/>
              </w:rPr>
            </w:pPr>
            <w:r>
              <w:rPr>
                <w:rFonts w:hint="eastAsia" w:ascii="宋体" w:hAnsi="宋体" w:eastAsia="宋体"/>
                <w:sz w:val="32"/>
              </w:rPr>
              <w:t xml:space="preserve">  本部门2026年政府采购预算总额</w:t>
            </w:r>
            <w:r>
              <w:rPr>
                <w:rFonts w:hint="eastAsia" w:ascii="宋体" w:hAnsi="宋体"/>
                <w:sz w:val="32"/>
                <w:lang w:val="en-US" w:eastAsia="zh-CN"/>
              </w:rPr>
              <w:t>6991.11</w:t>
            </w:r>
            <w:r>
              <w:rPr>
                <w:rFonts w:hint="eastAsia" w:ascii="宋体" w:hAnsi="宋体" w:eastAsia="宋体"/>
                <w:sz w:val="32"/>
              </w:rPr>
              <w:t>万元，其中工程类</w:t>
            </w:r>
            <w:r>
              <w:rPr>
                <w:rFonts w:hint="eastAsia" w:ascii="宋体" w:hAnsi="宋体"/>
                <w:sz w:val="32"/>
                <w:lang w:val="en-US" w:eastAsia="zh-CN"/>
              </w:rPr>
              <w:t>5942.59</w:t>
            </w:r>
            <w:r>
              <w:rPr>
                <w:rFonts w:hint="eastAsia" w:ascii="宋体" w:hAnsi="宋体" w:eastAsia="宋体"/>
                <w:sz w:val="32"/>
              </w:rPr>
              <w:t>万元，货物类</w:t>
            </w:r>
            <w:r>
              <w:rPr>
                <w:rFonts w:hint="eastAsia" w:ascii="宋体" w:hAnsi="宋体"/>
                <w:sz w:val="32"/>
                <w:lang w:val="en-US" w:eastAsia="zh-CN"/>
              </w:rPr>
              <w:t>237.48</w:t>
            </w:r>
            <w:r>
              <w:rPr>
                <w:rFonts w:hint="eastAsia" w:ascii="宋体" w:hAnsi="宋体" w:eastAsia="宋体"/>
                <w:sz w:val="32"/>
              </w:rPr>
              <w:t>万元，服务类</w:t>
            </w:r>
            <w:r>
              <w:rPr>
                <w:rFonts w:hint="eastAsia" w:ascii="宋体" w:hAnsi="宋体"/>
                <w:sz w:val="32"/>
                <w:lang w:val="en-US" w:eastAsia="zh-CN"/>
              </w:rPr>
              <w:t>811.04</w:t>
            </w:r>
            <w:r>
              <w:rPr>
                <w:rFonts w:hint="eastAsia" w:ascii="宋体" w:hAnsi="宋体" w:eastAsia="宋体"/>
                <w:sz w:val="32"/>
              </w:rPr>
              <w:t>万元。</w:t>
            </w:r>
          </w:p>
        </w:tc>
      </w:tr>
      <w:tr w14:paraId="4CA0A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2891CC6">
            <w:pPr>
              <w:spacing w:beforeLines="0" w:afterLines="0" w:line="375" w:lineRule="exact"/>
              <w:ind w:left="20"/>
              <w:rPr>
                <w:rFonts w:hint="eastAsia" w:ascii="Dialog" w:hAnsi="Dialog"/>
                <w:sz w:val="32"/>
              </w:rPr>
            </w:pPr>
            <w:r>
              <w:rPr>
                <w:rFonts w:hint="eastAsia" w:ascii="Dialog" w:hAnsi="Dialog"/>
                <w:sz w:val="32"/>
              </w:rPr>
              <w:t xml:space="preserve">  （六）国有资产占有使用及新增资产配置情况</w:t>
            </w:r>
          </w:p>
        </w:tc>
      </w:tr>
      <w:tr w14:paraId="5C5AC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10"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B3B12A1">
            <w:pPr>
              <w:spacing w:beforeLines="0" w:afterLines="0" w:line="375" w:lineRule="exact"/>
              <w:ind w:left="20"/>
              <w:rPr>
                <w:rFonts w:hint="eastAsia" w:ascii="宋体" w:hAnsi="宋体" w:eastAsia="宋体"/>
                <w:sz w:val="32"/>
              </w:rPr>
            </w:pPr>
            <w:r>
              <w:rPr>
                <w:rFonts w:hint="eastAsia" w:ascii="宋体" w:hAnsi="宋体" w:eastAsia="宋体"/>
                <w:sz w:val="32"/>
              </w:rPr>
              <w:t xml:space="preserve">  截至上年底，本部门共有车辆</w:t>
            </w:r>
            <w:r>
              <w:rPr>
                <w:rFonts w:hint="eastAsia" w:ascii="宋体" w:hAnsi="宋体"/>
                <w:sz w:val="32"/>
                <w:lang w:val="en-US" w:eastAsia="zh-CN"/>
              </w:rPr>
              <w:t>9</w:t>
            </w:r>
            <w:r>
              <w:rPr>
                <w:rFonts w:hint="eastAsia" w:ascii="宋体" w:hAnsi="宋体" w:eastAsia="宋体"/>
                <w:sz w:val="32"/>
              </w:rPr>
              <w:t>辆，其中领导干部用车</w:t>
            </w:r>
            <w:r>
              <w:rPr>
                <w:rFonts w:hint="eastAsia" w:ascii="宋体" w:hAnsi="宋体"/>
                <w:sz w:val="32"/>
                <w:lang w:val="en-US" w:eastAsia="zh-CN"/>
              </w:rPr>
              <w:t>0</w:t>
            </w:r>
            <w:r>
              <w:rPr>
                <w:rFonts w:hint="eastAsia" w:ascii="宋体" w:hAnsi="宋体" w:eastAsia="宋体"/>
                <w:sz w:val="32"/>
              </w:rPr>
              <w:t>辆，一般公务用车</w:t>
            </w:r>
            <w:r>
              <w:rPr>
                <w:rFonts w:hint="eastAsia" w:ascii="宋体" w:hAnsi="宋体"/>
                <w:sz w:val="32"/>
                <w:lang w:val="en-US" w:eastAsia="zh-CN"/>
              </w:rPr>
              <w:t>3</w:t>
            </w:r>
            <w:r>
              <w:rPr>
                <w:rFonts w:hint="eastAsia" w:ascii="宋体" w:hAnsi="宋体" w:eastAsia="宋体"/>
                <w:sz w:val="32"/>
              </w:rPr>
              <w:t>辆，其他用车</w:t>
            </w:r>
            <w:r>
              <w:rPr>
                <w:rFonts w:hint="eastAsia" w:ascii="宋体" w:hAnsi="宋体"/>
                <w:sz w:val="32"/>
                <w:lang w:val="en-US" w:eastAsia="zh-CN"/>
              </w:rPr>
              <w:t>6</w:t>
            </w:r>
            <w:r>
              <w:rPr>
                <w:rFonts w:hint="eastAsia" w:ascii="宋体" w:hAnsi="宋体" w:eastAsia="宋体"/>
                <w:sz w:val="32"/>
              </w:rPr>
              <w:t>辆。单位价值50万元以上通用设备</w:t>
            </w:r>
            <w:r>
              <w:rPr>
                <w:rFonts w:hint="eastAsia" w:ascii="宋体" w:hAnsi="宋体"/>
                <w:sz w:val="32"/>
                <w:lang w:val="en-US" w:eastAsia="zh-CN"/>
              </w:rPr>
              <w:t>2</w:t>
            </w:r>
            <w:r>
              <w:rPr>
                <w:rFonts w:hint="eastAsia" w:ascii="宋体" w:hAnsi="宋体" w:eastAsia="宋体"/>
                <w:sz w:val="32"/>
              </w:rPr>
              <w:t>台，单位价值</w:t>
            </w:r>
            <w:r>
              <w:rPr>
                <w:rFonts w:hint="eastAsia" w:ascii="宋体" w:hAnsi="宋体"/>
                <w:sz w:val="32"/>
                <w:lang w:val="en-US" w:eastAsia="zh-CN"/>
              </w:rPr>
              <w:t>5</w:t>
            </w:r>
            <w:r>
              <w:rPr>
                <w:rFonts w:hint="eastAsia" w:ascii="宋体" w:hAnsi="宋体" w:eastAsia="宋体"/>
                <w:sz w:val="32"/>
              </w:rPr>
              <w:t>万元以上专用设备</w:t>
            </w:r>
            <w:r>
              <w:rPr>
                <w:rFonts w:hint="eastAsia" w:ascii="宋体" w:hAnsi="宋体"/>
                <w:sz w:val="32"/>
                <w:lang w:val="en-US" w:eastAsia="zh-CN"/>
              </w:rPr>
              <w:t>0</w:t>
            </w:r>
            <w:r>
              <w:rPr>
                <w:rFonts w:hint="eastAsia" w:ascii="宋体" w:hAnsi="宋体" w:eastAsia="宋体"/>
                <w:sz w:val="32"/>
              </w:rPr>
              <w:t xml:space="preserve">台。 </w:t>
            </w:r>
          </w:p>
          <w:p w14:paraId="54C26919">
            <w:pPr>
              <w:spacing w:beforeLines="0" w:afterLines="0" w:line="375" w:lineRule="exact"/>
              <w:ind w:left="20"/>
              <w:rPr>
                <w:rFonts w:hint="default" w:ascii="宋体" w:hAnsi="Times New Roman" w:eastAsia="宋体" w:cs="宋体"/>
                <w:sz w:val="32"/>
                <w:szCs w:val="32"/>
              </w:rPr>
            </w:pPr>
            <w:r>
              <w:rPr>
                <w:rFonts w:hint="eastAsia" w:ascii="宋体" w:hAnsi="宋体" w:eastAsia="宋体"/>
                <w:sz w:val="32"/>
              </w:rPr>
              <w:t xml:space="preserve">  </w:t>
            </w:r>
            <w:r>
              <w:rPr>
                <w:rFonts w:hint="eastAsia" w:ascii="宋体" w:hAnsi="Times New Roman" w:eastAsia="宋体" w:cs="宋体"/>
                <w:sz w:val="32"/>
                <w:szCs w:val="32"/>
              </w:rPr>
              <w:t>2026年拟报废处置车辆</w:t>
            </w:r>
            <w:r>
              <w:rPr>
                <w:rFonts w:hint="default" w:ascii="宋体" w:hAnsi="Times New Roman" w:eastAsia="宋体" w:cs="宋体"/>
                <w:sz w:val="32"/>
                <w:szCs w:val="32"/>
              </w:rPr>
              <w:t>0</w:t>
            </w:r>
            <w:r>
              <w:rPr>
                <w:rFonts w:hint="eastAsia" w:ascii="宋体" w:hAnsi="Times New Roman" w:eastAsia="宋体" w:cs="宋体"/>
                <w:sz w:val="32"/>
                <w:szCs w:val="32"/>
              </w:rPr>
              <w:t>辆，其中：报废处置领导干部用车</w:t>
            </w:r>
            <w:r>
              <w:rPr>
                <w:rFonts w:hint="default" w:ascii="宋体" w:hAnsi="Times New Roman" w:eastAsia="宋体" w:cs="宋体"/>
                <w:sz w:val="32"/>
                <w:szCs w:val="32"/>
              </w:rPr>
              <w:t>0</w:t>
            </w:r>
            <w:r>
              <w:rPr>
                <w:rFonts w:hint="eastAsia" w:ascii="宋体" w:hAnsi="Times New Roman" w:eastAsia="宋体" w:cs="宋体"/>
                <w:sz w:val="32"/>
                <w:szCs w:val="32"/>
              </w:rPr>
              <w:t>辆，报废处置一般公务用车</w:t>
            </w:r>
            <w:r>
              <w:rPr>
                <w:rFonts w:hint="default" w:ascii="宋体" w:hAnsi="Times New Roman" w:eastAsia="宋体" w:cs="宋体"/>
                <w:sz w:val="32"/>
                <w:szCs w:val="32"/>
              </w:rPr>
              <w:t>0</w:t>
            </w:r>
            <w:r>
              <w:rPr>
                <w:rFonts w:hint="eastAsia" w:ascii="宋体" w:hAnsi="Times New Roman" w:eastAsia="宋体" w:cs="宋体"/>
                <w:sz w:val="32"/>
                <w:szCs w:val="32"/>
              </w:rPr>
              <w:t>辆，报废处置其他用车</w:t>
            </w:r>
            <w:r>
              <w:rPr>
                <w:rFonts w:hint="default" w:ascii="宋体" w:hAnsi="Times New Roman" w:eastAsia="宋体" w:cs="宋体"/>
                <w:sz w:val="32"/>
                <w:szCs w:val="32"/>
              </w:rPr>
              <w:t>0</w:t>
            </w:r>
            <w:r>
              <w:rPr>
                <w:rFonts w:hint="eastAsia" w:ascii="宋体" w:hAnsi="Times New Roman" w:eastAsia="宋体" w:cs="宋体"/>
                <w:sz w:val="32"/>
                <w:szCs w:val="32"/>
              </w:rPr>
              <w:t>辆，报废处置单位价值50万元以上通用设备</w:t>
            </w:r>
            <w:r>
              <w:rPr>
                <w:rFonts w:hint="default" w:ascii="宋体" w:hAnsi="Times New Roman" w:eastAsia="宋体" w:cs="宋体"/>
                <w:sz w:val="32"/>
                <w:szCs w:val="32"/>
              </w:rPr>
              <w:t>0</w:t>
            </w:r>
            <w:r>
              <w:rPr>
                <w:rFonts w:hint="eastAsia" w:ascii="宋体" w:hAnsi="Times New Roman" w:eastAsia="宋体" w:cs="宋体"/>
                <w:sz w:val="32"/>
                <w:szCs w:val="32"/>
              </w:rPr>
              <w:t>台，报废处置单位价值100万元以上通用设备</w:t>
            </w:r>
            <w:r>
              <w:rPr>
                <w:rFonts w:hint="default" w:ascii="宋体" w:hAnsi="Times New Roman" w:eastAsia="宋体" w:cs="宋体"/>
                <w:sz w:val="32"/>
                <w:szCs w:val="32"/>
              </w:rPr>
              <w:t>0</w:t>
            </w:r>
            <w:r>
              <w:rPr>
                <w:rFonts w:hint="eastAsia" w:ascii="宋体" w:hAnsi="Times New Roman" w:eastAsia="宋体" w:cs="宋体"/>
                <w:sz w:val="32"/>
                <w:szCs w:val="32"/>
              </w:rPr>
              <w:t>台。拟新增配置车辆3辆，其中领导干部用车</w:t>
            </w:r>
            <w:r>
              <w:rPr>
                <w:rFonts w:hint="default" w:ascii="宋体" w:hAnsi="Times New Roman" w:eastAsia="宋体" w:cs="宋体"/>
                <w:sz w:val="32"/>
                <w:szCs w:val="32"/>
              </w:rPr>
              <w:t>0</w:t>
            </w:r>
            <w:r>
              <w:rPr>
                <w:rFonts w:hint="eastAsia" w:ascii="宋体" w:hAnsi="Times New Roman" w:eastAsia="宋体" w:cs="宋体"/>
                <w:sz w:val="32"/>
                <w:szCs w:val="32"/>
              </w:rPr>
              <w:t>辆，一般公务用车</w:t>
            </w:r>
            <w:r>
              <w:rPr>
                <w:rFonts w:hint="default" w:ascii="宋体" w:hAnsi="Times New Roman" w:eastAsia="宋体" w:cs="宋体"/>
                <w:sz w:val="32"/>
                <w:szCs w:val="32"/>
              </w:rPr>
              <w:t>0</w:t>
            </w:r>
            <w:r>
              <w:rPr>
                <w:rFonts w:hint="eastAsia" w:ascii="宋体" w:hAnsi="Times New Roman" w:eastAsia="宋体" w:cs="宋体"/>
                <w:sz w:val="32"/>
                <w:szCs w:val="32"/>
              </w:rPr>
              <w:t>辆，其他用车3辆，主要用于渠道运行维护，资金来源为自筹。</w:t>
            </w:r>
          </w:p>
          <w:p w14:paraId="3A4876B6">
            <w:pPr>
              <w:spacing w:beforeLines="0" w:afterLines="0" w:line="375" w:lineRule="exact"/>
              <w:ind w:left="20"/>
              <w:rPr>
                <w:rFonts w:hint="eastAsia" w:ascii="宋体" w:hAnsi="宋体" w:eastAsia="宋体"/>
                <w:sz w:val="32"/>
              </w:rPr>
            </w:pPr>
            <w:r>
              <w:rPr>
                <w:rFonts w:hint="eastAsia" w:ascii="宋体" w:hAnsi="Times New Roman" w:eastAsia="宋体" w:cs="宋体"/>
                <w:sz w:val="32"/>
                <w:szCs w:val="32"/>
              </w:rPr>
              <w:t xml:space="preserve">  2026年拟新增配备领导干部用车</w:t>
            </w:r>
            <w:r>
              <w:rPr>
                <w:rFonts w:hint="default" w:ascii="宋体" w:hAnsi="Times New Roman" w:eastAsia="宋体" w:cs="宋体"/>
                <w:sz w:val="32"/>
                <w:szCs w:val="32"/>
              </w:rPr>
              <w:t>0</w:t>
            </w:r>
            <w:r>
              <w:rPr>
                <w:rFonts w:hint="eastAsia" w:ascii="宋体" w:hAnsi="Times New Roman" w:eastAsia="宋体" w:cs="宋体"/>
                <w:sz w:val="32"/>
                <w:szCs w:val="32"/>
              </w:rPr>
              <w:t>辆，一般公务用车</w:t>
            </w:r>
            <w:r>
              <w:rPr>
                <w:rFonts w:hint="default" w:ascii="宋体" w:hAnsi="Times New Roman" w:eastAsia="宋体" w:cs="宋体"/>
                <w:sz w:val="32"/>
                <w:szCs w:val="32"/>
              </w:rPr>
              <w:t>0</w:t>
            </w:r>
            <w:r>
              <w:rPr>
                <w:rFonts w:hint="eastAsia" w:ascii="宋体" w:hAnsi="Times New Roman" w:eastAsia="宋体" w:cs="宋体"/>
                <w:sz w:val="32"/>
                <w:szCs w:val="32"/>
              </w:rPr>
              <w:t>辆，其他用车3辆，新增配备单位价值50万元以上通用设备</w:t>
            </w:r>
            <w:r>
              <w:rPr>
                <w:rFonts w:hint="default" w:ascii="宋体" w:hAnsi="Times New Roman" w:eastAsia="宋体" w:cs="宋体"/>
                <w:sz w:val="32"/>
                <w:szCs w:val="32"/>
              </w:rPr>
              <w:t>0</w:t>
            </w:r>
            <w:r>
              <w:rPr>
                <w:rFonts w:hint="eastAsia" w:ascii="宋体" w:hAnsi="Times New Roman" w:eastAsia="宋体" w:cs="宋体"/>
                <w:sz w:val="32"/>
                <w:szCs w:val="32"/>
              </w:rPr>
              <w:t>台，单位价值100万元以上专用设备</w:t>
            </w:r>
            <w:r>
              <w:rPr>
                <w:rFonts w:hint="default" w:ascii="宋体" w:hAnsi="Times New Roman" w:eastAsia="宋体" w:cs="宋体"/>
                <w:sz w:val="32"/>
                <w:szCs w:val="32"/>
              </w:rPr>
              <w:t>0</w:t>
            </w:r>
            <w:r>
              <w:rPr>
                <w:rFonts w:hint="eastAsia" w:ascii="宋体" w:hAnsi="Times New Roman" w:eastAsia="宋体" w:cs="宋体"/>
                <w:sz w:val="32"/>
                <w:szCs w:val="32"/>
              </w:rPr>
              <w:t>台。</w:t>
            </w:r>
          </w:p>
        </w:tc>
      </w:tr>
      <w:tr w14:paraId="27251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68950CD">
            <w:pPr>
              <w:spacing w:beforeLines="0" w:afterLines="0" w:line="375" w:lineRule="exact"/>
              <w:ind w:left="20"/>
              <w:rPr>
                <w:rFonts w:hint="eastAsia" w:ascii="Dialog" w:hAnsi="Dialog"/>
                <w:sz w:val="32"/>
              </w:rPr>
            </w:pPr>
            <w:r>
              <w:rPr>
                <w:rFonts w:hint="eastAsia" w:ascii="Dialog" w:hAnsi="Dialog"/>
                <w:sz w:val="32"/>
              </w:rPr>
              <w:t xml:space="preserve">  （七）预算绩效目标说明</w:t>
            </w:r>
          </w:p>
        </w:tc>
      </w:tr>
      <w:tr w14:paraId="72C2D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1"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19B08E5">
            <w:pPr>
              <w:spacing w:beforeLines="0" w:afterLines="0" w:line="375" w:lineRule="exact"/>
              <w:ind w:left="20"/>
              <w:rPr>
                <w:rFonts w:hint="eastAsia" w:ascii="宋体" w:hAnsi="宋体" w:eastAsia="宋体"/>
                <w:sz w:val="32"/>
              </w:rPr>
            </w:pPr>
            <w:r>
              <w:rPr>
                <w:rFonts w:hint="eastAsia" w:ascii="宋体" w:hAnsi="宋体" w:eastAsia="宋体"/>
                <w:sz w:val="32"/>
              </w:rPr>
              <w:t xml:space="preserve">    本部门所有支出实行绩效目标管理。纳入2026年部门整体支出绩效目标的金额为10459.08万元，其中，基本支出9687.68万元，项目支出771.40万元，详见文尾附表中部门预算公开表格的表21-22。</w:t>
            </w:r>
          </w:p>
        </w:tc>
      </w:tr>
      <w:tr w14:paraId="1C895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DCF144D">
            <w:pPr>
              <w:spacing w:beforeLines="0" w:afterLines="0" w:line="375" w:lineRule="exact"/>
              <w:ind w:left="20"/>
              <w:rPr>
                <w:rFonts w:hint="eastAsia" w:ascii="Dialog" w:hAnsi="Dialog"/>
                <w:sz w:val="32"/>
              </w:rPr>
            </w:pPr>
            <w:r>
              <w:rPr>
                <w:rFonts w:hint="eastAsia" w:ascii="Dialog" w:hAnsi="Dialog"/>
                <w:sz w:val="32"/>
              </w:rPr>
              <w:t xml:space="preserve">  七、名词解释</w:t>
            </w:r>
          </w:p>
        </w:tc>
      </w:tr>
      <w:tr w14:paraId="349E7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05"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9B41FF3">
            <w:pPr>
              <w:spacing w:beforeLines="0" w:afterLines="0" w:line="375" w:lineRule="exact"/>
              <w:ind w:left="20"/>
              <w:rPr>
                <w:rFonts w:hint="eastAsia" w:ascii="宋体" w:hAnsi="宋体" w:eastAsia="宋体"/>
                <w:sz w:val="32"/>
              </w:rPr>
            </w:pPr>
            <w:r>
              <w:rPr>
                <w:rFonts w:hint="eastAsia" w:ascii="宋体" w:hAnsi="宋体" w:eastAsia="宋体"/>
                <w:sz w:val="32"/>
              </w:rPr>
              <w:t xml:space="preserve">  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tc>
      </w:tr>
      <w:tr w14:paraId="5F5B8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05"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7EF1B68">
            <w:pPr>
              <w:spacing w:beforeLines="0" w:afterLines="0" w:line="375" w:lineRule="exact"/>
              <w:ind w:left="20"/>
              <w:rPr>
                <w:rFonts w:hint="eastAsia" w:ascii="宋体" w:hAnsi="宋体" w:eastAsia="宋体"/>
                <w:sz w:val="32"/>
              </w:rPr>
            </w:pPr>
            <w:r>
              <w:rPr>
                <w:rFonts w:hint="eastAsia" w:ascii="宋体" w:hAnsi="宋体" w:eastAsia="宋体"/>
                <w:sz w:val="32"/>
              </w:rPr>
              <w:t xml:space="preserve">  2、“三公”经费：纳入财政预算管理的“三公“经费，是指用一般公共预算拨款安排的公务接待费、公务用车购置及运行维护费和因公出国（境）费。其中，公务接待费反映部门按规定开支的各类公务接待支出；公务用车购置及运行费反映部门公务用车车辆购置支出（含车辆购置税），以及燃料费、维修费、保险费等支出；因公出国（境）费反映部门公务出国（境）的国际旅费、国外城市间交通费、食宿费等支出。</w:t>
            </w:r>
          </w:p>
        </w:tc>
      </w:tr>
      <w:tr w14:paraId="72BD5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57B63A49">
            <w:pPr>
              <w:spacing w:beforeLines="0" w:afterLines="0"/>
              <w:rPr>
                <w:rFonts w:hint="default"/>
                <w:sz w:val="24"/>
              </w:rPr>
            </w:pPr>
          </w:p>
        </w:tc>
      </w:tr>
      <w:tr w14:paraId="00DD1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6462E29B">
            <w:pPr>
              <w:spacing w:beforeLines="0" w:afterLines="0"/>
              <w:rPr>
                <w:rFonts w:hint="default"/>
                <w:sz w:val="24"/>
              </w:rPr>
            </w:pPr>
          </w:p>
        </w:tc>
      </w:tr>
    </w:tbl>
    <w:p w14:paraId="20096DFE">
      <w:pPr>
        <w:spacing w:beforeLines="0" w:afterLines="0"/>
        <w:rPr>
          <w:rFonts w:hint="default"/>
          <w:sz w:val="24"/>
        </w:rPr>
      </w:pPr>
      <w:r>
        <w:rPr>
          <w:rFonts w:hint="default"/>
          <w:sz w:val="24"/>
        </w:rPr>
        <w:br w:type="page"/>
      </w:r>
    </w:p>
    <w:tbl>
      <w:tblPr>
        <w:tblStyle w:val="8"/>
        <w:tblW w:w="15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5306"/>
      </w:tblGrid>
      <w:tr w14:paraId="72FF9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1FB49A77">
            <w:pPr>
              <w:spacing w:beforeLines="0" w:afterLines="0"/>
              <w:rPr>
                <w:rFonts w:hint="default"/>
                <w:sz w:val="24"/>
              </w:rPr>
            </w:pPr>
          </w:p>
        </w:tc>
      </w:tr>
      <w:tr w14:paraId="32519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A95BCAB">
            <w:pPr>
              <w:spacing w:beforeLines="0" w:afterLines="0" w:line="375" w:lineRule="exact"/>
              <w:ind w:left="20"/>
              <w:jc w:val="center"/>
              <w:rPr>
                <w:rFonts w:hint="eastAsia" w:ascii="Dialog" w:hAnsi="Dialog"/>
                <w:sz w:val="32"/>
              </w:rPr>
            </w:pPr>
            <w:r>
              <w:rPr>
                <w:rFonts w:hint="eastAsia" w:ascii="Dialog" w:hAnsi="Dialog"/>
                <w:sz w:val="32"/>
              </w:rPr>
              <w:t>第二部分  2026年部门预算公开表格</w:t>
            </w:r>
          </w:p>
        </w:tc>
      </w:tr>
      <w:tr w14:paraId="5C26C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97A4287">
            <w:pPr>
              <w:spacing w:beforeLines="0" w:afterLines="0" w:line="375" w:lineRule="exact"/>
              <w:ind w:left="20"/>
              <w:rPr>
                <w:rFonts w:hint="eastAsia" w:ascii="宋体" w:hAnsi="宋体" w:eastAsia="宋体"/>
                <w:sz w:val="32"/>
              </w:rPr>
            </w:pPr>
            <w:r>
              <w:rPr>
                <w:rFonts w:hint="eastAsia" w:ascii="宋体" w:hAnsi="宋体" w:eastAsia="宋体"/>
                <w:sz w:val="32"/>
              </w:rPr>
              <w:t>1、收支总表</w:t>
            </w:r>
          </w:p>
        </w:tc>
      </w:tr>
      <w:tr w14:paraId="5EFE9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B37980F">
            <w:pPr>
              <w:spacing w:beforeLines="0" w:afterLines="0" w:line="375" w:lineRule="exact"/>
              <w:ind w:left="20"/>
              <w:rPr>
                <w:rFonts w:hint="eastAsia" w:ascii="宋体" w:hAnsi="宋体" w:eastAsia="宋体"/>
                <w:sz w:val="32"/>
              </w:rPr>
            </w:pPr>
            <w:r>
              <w:rPr>
                <w:rFonts w:hint="eastAsia" w:ascii="宋体" w:hAnsi="宋体" w:eastAsia="宋体"/>
                <w:sz w:val="32"/>
              </w:rPr>
              <w:t>2、收入总表</w:t>
            </w:r>
          </w:p>
        </w:tc>
      </w:tr>
      <w:tr w14:paraId="397B1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C50FCF1">
            <w:pPr>
              <w:spacing w:beforeLines="0" w:afterLines="0" w:line="375" w:lineRule="exact"/>
              <w:ind w:left="20"/>
              <w:rPr>
                <w:rFonts w:hint="eastAsia" w:ascii="宋体" w:hAnsi="宋体" w:eastAsia="宋体"/>
                <w:sz w:val="32"/>
              </w:rPr>
            </w:pPr>
            <w:r>
              <w:rPr>
                <w:rFonts w:hint="eastAsia" w:ascii="宋体" w:hAnsi="宋体" w:eastAsia="宋体"/>
                <w:sz w:val="32"/>
              </w:rPr>
              <w:t>3、支出总表</w:t>
            </w:r>
          </w:p>
        </w:tc>
      </w:tr>
      <w:tr w14:paraId="0CDF0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F66D0E3">
            <w:pPr>
              <w:spacing w:beforeLines="0" w:afterLines="0" w:line="375" w:lineRule="exact"/>
              <w:ind w:left="20"/>
              <w:rPr>
                <w:rFonts w:hint="eastAsia" w:ascii="宋体" w:hAnsi="宋体" w:eastAsia="宋体"/>
                <w:sz w:val="32"/>
              </w:rPr>
            </w:pPr>
            <w:r>
              <w:rPr>
                <w:rFonts w:hint="eastAsia" w:ascii="宋体" w:hAnsi="宋体" w:eastAsia="宋体"/>
                <w:sz w:val="32"/>
              </w:rPr>
              <w:t>4、支出预算分类汇总表（按政府预算经济分类）</w:t>
            </w:r>
          </w:p>
        </w:tc>
      </w:tr>
      <w:tr w14:paraId="68BFE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887E04C">
            <w:pPr>
              <w:spacing w:beforeLines="0" w:afterLines="0" w:line="375" w:lineRule="exact"/>
              <w:ind w:left="20"/>
              <w:rPr>
                <w:rFonts w:hint="eastAsia" w:ascii="宋体" w:hAnsi="宋体" w:eastAsia="宋体"/>
                <w:sz w:val="32"/>
              </w:rPr>
            </w:pPr>
            <w:r>
              <w:rPr>
                <w:rFonts w:hint="eastAsia" w:ascii="宋体" w:hAnsi="宋体" w:eastAsia="宋体"/>
                <w:sz w:val="32"/>
              </w:rPr>
              <w:t>5、支出预算分类汇总表（按部门预算经济分类）</w:t>
            </w:r>
          </w:p>
        </w:tc>
      </w:tr>
      <w:tr w14:paraId="0F559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C9FE095">
            <w:pPr>
              <w:spacing w:beforeLines="0" w:afterLines="0" w:line="375" w:lineRule="exact"/>
              <w:ind w:left="20"/>
              <w:rPr>
                <w:rFonts w:hint="eastAsia" w:ascii="宋体" w:hAnsi="宋体" w:eastAsia="宋体"/>
                <w:sz w:val="32"/>
              </w:rPr>
            </w:pPr>
            <w:r>
              <w:rPr>
                <w:rFonts w:hint="eastAsia" w:ascii="宋体" w:hAnsi="宋体" w:eastAsia="宋体"/>
                <w:sz w:val="32"/>
              </w:rPr>
              <w:t>6、财政拨款收支总表</w:t>
            </w:r>
          </w:p>
        </w:tc>
      </w:tr>
      <w:tr w14:paraId="77E5B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B00DA2B">
            <w:pPr>
              <w:spacing w:beforeLines="0" w:afterLines="0" w:line="375" w:lineRule="exact"/>
              <w:ind w:left="20"/>
              <w:rPr>
                <w:rFonts w:hint="eastAsia" w:ascii="宋体" w:hAnsi="宋体" w:eastAsia="宋体"/>
                <w:sz w:val="32"/>
              </w:rPr>
            </w:pPr>
            <w:r>
              <w:rPr>
                <w:rFonts w:hint="eastAsia" w:ascii="宋体" w:hAnsi="宋体" w:eastAsia="宋体"/>
                <w:sz w:val="32"/>
              </w:rPr>
              <w:t>7、一般公共预算支出表</w:t>
            </w:r>
          </w:p>
        </w:tc>
      </w:tr>
      <w:tr w14:paraId="33033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30E887B">
            <w:pPr>
              <w:spacing w:beforeLines="0" w:afterLines="0" w:line="375" w:lineRule="exact"/>
              <w:ind w:left="20"/>
              <w:rPr>
                <w:rFonts w:hint="eastAsia" w:ascii="宋体" w:hAnsi="宋体" w:eastAsia="宋体"/>
                <w:sz w:val="32"/>
              </w:rPr>
            </w:pPr>
            <w:r>
              <w:rPr>
                <w:rFonts w:hint="eastAsia" w:ascii="宋体" w:hAnsi="宋体" w:eastAsia="宋体"/>
                <w:sz w:val="32"/>
              </w:rPr>
              <w:t>8、一般公共预算基本支出表-人员经费（工资福利支出）（按政府预算经济分类）</w:t>
            </w:r>
          </w:p>
        </w:tc>
      </w:tr>
      <w:tr w14:paraId="63141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F6F120B">
            <w:pPr>
              <w:spacing w:beforeLines="0" w:afterLines="0" w:line="375" w:lineRule="exact"/>
              <w:ind w:left="20"/>
              <w:rPr>
                <w:rFonts w:hint="eastAsia" w:ascii="宋体" w:hAnsi="宋体" w:eastAsia="宋体"/>
                <w:sz w:val="32"/>
              </w:rPr>
            </w:pPr>
            <w:r>
              <w:rPr>
                <w:rFonts w:hint="eastAsia" w:ascii="宋体" w:hAnsi="宋体" w:eastAsia="宋体"/>
                <w:sz w:val="32"/>
              </w:rPr>
              <w:t>9、一般公共预算基本支出表-人员经费（工资福利支出）（按部门预算经济分类）</w:t>
            </w:r>
          </w:p>
        </w:tc>
      </w:tr>
      <w:tr w14:paraId="1A1BF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DE52D00">
            <w:pPr>
              <w:spacing w:beforeLines="0" w:afterLines="0" w:line="375" w:lineRule="exact"/>
              <w:ind w:left="20"/>
              <w:rPr>
                <w:rFonts w:hint="eastAsia" w:ascii="宋体" w:hAnsi="宋体" w:eastAsia="宋体"/>
                <w:sz w:val="32"/>
              </w:rPr>
            </w:pPr>
            <w:r>
              <w:rPr>
                <w:rFonts w:hint="eastAsia" w:ascii="宋体" w:hAnsi="宋体" w:eastAsia="宋体"/>
                <w:sz w:val="32"/>
              </w:rPr>
              <w:t>10、一般公共预算基本支出表-人员经费（对个人和家庭的补助）（按政府预算经济分类）</w:t>
            </w:r>
          </w:p>
        </w:tc>
      </w:tr>
      <w:tr w14:paraId="5368A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F7DDAF8">
            <w:pPr>
              <w:spacing w:beforeLines="0" w:afterLines="0" w:line="375" w:lineRule="exact"/>
              <w:ind w:left="20"/>
              <w:rPr>
                <w:rFonts w:hint="eastAsia" w:ascii="宋体" w:hAnsi="宋体" w:eastAsia="宋体"/>
                <w:sz w:val="32"/>
              </w:rPr>
            </w:pPr>
            <w:r>
              <w:rPr>
                <w:rFonts w:hint="eastAsia" w:ascii="宋体" w:hAnsi="宋体" w:eastAsia="宋体"/>
                <w:sz w:val="32"/>
              </w:rPr>
              <w:t>11、一般公共预算基本支出表-人员经费（对个人和家庭的补助）（按部门预算经济分类）</w:t>
            </w:r>
          </w:p>
        </w:tc>
      </w:tr>
      <w:tr w14:paraId="5FF1B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58D598A">
            <w:pPr>
              <w:spacing w:beforeLines="0" w:afterLines="0" w:line="375" w:lineRule="exact"/>
              <w:ind w:left="20"/>
              <w:rPr>
                <w:rFonts w:hint="eastAsia" w:ascii="宋体" w:hAnsi="宋体" w:eastAsia="宋体"/>
                <w:sz w:val="32"/>
              </w:rPr>
            </w:pPr>
            <w:r>
              <w:rPr>
                <w:rFonts w:hint="eastAsia" w:ascii="宋体" w:hAnsi="宋体" w:eastAsia="宋体"/>
                <w:sz w:val="32"/>
              </w:rPr>
              <w:t>12、一般公共预算基本支出表-公用经费（商品和服务支出）（按政府预算经济分类）</w:t>
            </w:r>
          </w:p>
        </w:tc>
      </w:tr>
      <w:tr w14:paraId="5E268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852DE3D">
            <w:pPr>
              <w:spacing w:beforeLines="0" w:afterLines="0" w:line="375" w:lineRule="exact"/>
              <w:ind w:left="20"/>
              <w:rPr>
                <w:rFonts w:hint="eastAsia" w:ascii="宋体" w:hAnsi="宋体" w:eastAsia="宋体"/>
                <w:sz w:val="32"/>
              </w:rPr>
            </w:pPr>
            <w:r>
              <w:rPr>
                <w:rFonts w:hint="eastAsia" w:ascii="宋体" w:hAnsi="宋体" w:eastAsia="宋体"/>
                <w:sz w:val="32"/>
              </w:rPr>
              <w:t>13、一般公共预算基本支出表-公用经费（商品和服务支出）（按部门预算经济分类）</w:t>
            </w:r>
          </w:p>
        </w:tc>
      </w:tr>
      <w:tr w14:paraId="1654D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C0160E4">
            <w:pPr>
              <w:spacing w:beforeLines="0" w:afterLines="0" w:line="375" w:lineRule="exact"/>
              <w:ind w:left="20"/>
              <w:rPr>
                <w:rFonts w:hint="eastAsia" w:ascii="宋体" w:hAnsi="宋体" w:eastAsia="宋体"/>
                <w:sz w:val="32"/>
              </w:rPr>
            </w:pPr>
            <w:r>
              <w:rPr>
                <w:rFonts w:hint="eastAsia" w:ascii="宋体" w:hAnsi="宋体" w:eastAsia="宋体"/>
                <w:sz w:val="32"/>
              </w:rPr>
              <w:t>14、一般公共预算“三公”经费支出表</w:t>
            </w:r>
          </w:p>
        </w:tc>
      </w:tr>
      <w:tr w14:paraId="5CC29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5B6D968">
            <w:pPr>
              <w:spacing w:beforeLines="0" w:afterLines="0" w:line="375" w:lineRule="exact"/>
              <w:ind w:left="20"/>
              <w:rPr>
                <w:rFonts w:hint="eastAsia" w:ascii="宋体" w:hAnsi="宋体" w:eastAsia="宋体"/>
                <w:sz w:val="32"/>
              </w:rPr>
            </w:pPr>
            <w:r>
              <w:rPr>
                <w:rFonts w:hint="eastAsia" w:ascii="宋体" w:hAnsi="宋体" w:eastAsia="宋体"/>
                <w:sz w:val="32"/>
              </w:rPr>
              <w:t>15、政府性基金预算支出表</w:t>
            </w:r>
          </w:p>
        </w:tc>
      </w:tr>
      <w:tr w14:paraId="2D3C0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3D32001">
            <w:pPr>
              <w:spacing w:beforeLines="0" w:afterLines="0" w:line="375" w:lineRule="exact"/>
              <w:ind w:left="20"/>
              <w:rPr>
                <w:rFonts w:hint="eastAsia" w:ascii="宋体" w:hAnsi="宋体" w:eastAsia="宋体"/>
                <w:sz w:val="32"/>
              </w:rPr>
            </w:pPr>
            <w:r>
              <w:rPr>
                <w:rFonts w:hint="eastAsia" w:ascii="宋体" w:hAnsi="宋体" w:eastAsia="宋体"/>
                <w:sz w:val="32"/>
              </w:rPr>
              <w:t>16、政府性基金预算支出分类汇总表（按政府预算经济分类）</w:t>
            </w:r>
          </w:p>
        </w:tc>
      </w:tr>
      <w:tr w14:paraId="105F6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A155BE2">
            <w:pPr>
              <w:spacing w:beforeLines="0" w:afterLines="0" w:line="375" w:lineRule="exact"/>
              <w:ind w:left="20"/>
              <w:rPr>
                <w:rFonts w:hint="eastAsia" w:ascii="宋体" w:hAnsi="宋体" w:eastAsia="宋体"/>
                <w:sz w:val="32"/>
              </w:rPr>
            </w:pPr>
            <w:r>
              <w:rPr>
                <w:rFonts w:hint="eastAsia" w:ascii="宋体" w:hAnsi="宋体" w:eastAsia="宋体"/>
                <w:sz w:val="32"/>
              </w:rPr>
              <w:t>17、政府性基金预算支出分类汇总表（按部门预算经济分类）</w:t>
            </w:r>
          </w:p>
        </w:tc>
      </w:tr>
      <w:tr w14:paraId="2CBE8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4F19BD1">
            <w:pPr>
              <w:spacing w:beforeLines="0" w:afterLines="0" w:line="375" w:lineRule="exact"/>
              <w:ind w:left="20"/>
              <w:rPr>
                <w:rFonts w:hint="eastAsia" w:ascii="宋体" w:hAnsi="宋体" w:eastAsia="宋体"/>
                <w:sz w:val="32"/>
              </w:rPr>
            </w:pPr>
            <w:r>
              <w:rPr>
                <w:rFonts w:hint="eastAsia" w:ascii="宋体" w:hAnsi="宋体" w:eastAsia="宋体"/>
                <w:sz w:val="32"/>
              </w:rPr>
              <w:t>18、国有资本经营预算支出表</w:t>
            </w:r>
          </w:p>
        </w:tc>
      </w:tr>
      <w:tr w14:paraId="716C9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11328F0">
            <w:pPr>
              <w:spacing w:beforeLines="0" w:afterLines="0" w:line="375" w:lineRule="exact"/>
              <w:ind w:left="20"/>
              <w:rPr>
                <w:rFonts w:hint="eastAsia" w:ascii="宋体" w:hAnsi="宋体" w:eastAsia="宋体"/>
                <w:sz w:val="32"/>
              </w:rPr>
            </w:pPr>
            <w:r>
              <w:rPr>
                <w:rFonts w:hint="eastAsia" w:ascii="宋体" w:hAnsi="宋体" w:eastAsia="宋体"/>
                <w:sz w:val="32"/>
              </w:rPr>
              <w:t>19、财政专户管理资金预算支出表</w:t>
            </w:r>
          </w:p>
        </w:tc>
      </w:tr>
      <w:tr w14:paraId="7870E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40C6756">
            <w:pPr>
              <w:spacing w:beforeLines="0" w:afterLines="0" w:line="375" w:lineRule="exact"/>
              <w:ind w:left="20"/>
              <w:rPr>
                <w:rFonts w:hint="eastAsia" w:ascii="宋体" w:hAnsi="宋体" w:eastAsia="宋体"/>
                <w:sz w:val="32"/>
              </w:rPr>
            </w:pPr>
            <w:r>
              <w:rPr>
                <w:rFonts w:hint="eastAsia" w:ascii="宋体" w:hAnsi="宋体" w:eastAsia="宋体"/>
                <w:sz w:val="32"/>
              </w:rPr>
              <w:t>20、专项资金预算汇总表</w:t>
            </w:r>
          </w:p>
        </w:tc>
      </w:tr>
      <w:tr w14:paraId="582CC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E9A4270">
            <w:pPr>
              <w:spacing w:beforeLines="0" w:afterLines="0" w:line="375" w:lineRule="exact"/>
              <w:ind w:left="20"/>
              <w:rPr>
                <w:rFonts w:hint="eastAsia" w:ascii="宋体" w:hAnsi="宋体" w:eastAsia="宋体"/>
                <w:sz w:val="32"/>
              </w:rPr>
            </w:pPr>
            <w:r>
              <w:rPr>
                <w:rFonts w:hint="eastAsia" w:ascii="宋体" w:hAnsi="宋体" w:eastAsia="宋体"/>
                <w:sz w:val="32"/>
              </w:rPr>
              <w:t>21、项目支出绩效目标表</w:t>
            </w:r>
          </w:p>
        </w:tc>
      </w:tr>
      <w:tr w14:paraId="15C54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AC5FA42">
            <w:pPr>
              <w:spacing w:beforeLines="0" w:afterLines="0" w:line="375" w:lineRule="exact"/>
              <w:ind w:left="20"/>
              <w:rPr>
                <w:rFonts w:hint="eastAsia" w:ascii="宋体" w:hAnsi="宋体" w:eastAsia="宋体"/>
                <w:sz w:val="32"/>
              </w:rPr>
            </w:pPr>
            <w:r>
              <w:rPr>
                <w:rFonts w:hint="eastAsia" w:ascii="宋体" w:hAnsi="宋体" w:eastAsia="宋体"/>
                <w:sz w:val="32"/>
              </w:rPr>
              <w:t>22、部门整体支出绩效目标表</w:t>
            </w:r>
          </w:p>
        </w:tc>
      </w:tr>
      <w:tr w14:paraId="3806F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3568BDC">
            <w:pPr>
              <w:spacing w:beforeLines="0" w:afterLines="0" w:line="375" w:lineRule="exact"/>
              <w:ind w:left="20"/>
              <w:rPr>
                <w:rFonts w:hint="eastAsia" w:ascii="宋体" w:hAnsi="宋体" w:eastAsia="宋体"/>
                <w:sz w:val="32"/>
              </w:rPr>
            </w:pPr>
            <w:r>
              <w:rPr>
                <w:rFonts w:hint="eastAsia" w:ascii="宋体" w:hAnsi="宋体" w:eastAsia="宋体"/>
                <w:sz w:val="32"/>
              </w:rPr>
              <w:t>23、一般公共预算基本支出表</w:t>
            </w:r>
          </w:p>
        </w:tc>
      </w:tr>
      <w:tr w14:paraId="1C1EC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F345281">
            <w:pPr>
              <w:spacing w:beforeLines="0" w:afterLines="0" w:line="375" w:lineRule="exact"/>
              <w:ind w:left="20"/>
              <w:rPr>
                <w:rFonts w:hint="eastAsia" w:ascii="宋体" w:hAnsi="宋体" w:eastAsia="宋体"/>
                <w:color w:val="FF0000"/>
                <w:sz w:val="32"/>
              </w:rPr>
            </w:pPr>
            <w:r>
              <w:rPr>
                <w:rFonts w:hint="eastAsia" w:ascii="宋体" w:hAnsi="宋体" w:eastAsia="宋体"/>
                <w:b/>
                <w:color w:val="FF0000"/>
                <w:sz w:val="32"/>
              </w:rPr>
              <w:t>注：以上部门预算公开报表中，空表表示本部门无相关收支情况。</w:t>
            </w:r>
          </w:p>
        </w:tc>
      </w:tr>
    </w:tbl>
    <w:p w14:paraId="44C3EEFB"/>
    <w:sectPr>
      <w:pgSz w:w="18708" w:h="15840"/>
      <w:pgMar w:top="388" w:right="1080" w:bottom="388" w:left="108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roman"/>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Dialog">
    <w:altName w:val="DejaVu Sans"/>
    <w:panose1 w:val="00000000000000000000"/>
    <w:charset w:val="86"/>
    <w:family w:val="roman"/>
    <w:pitch w:val="default"/>
    <w:sig w:usb0="00000000" w:usb1="00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3DFF6A5A"/>
    <w:rsid w:val="5BCE46CC"/>
    <w:rsid w:val="5F1221C0"/>
    <w:rsid w:val="5FEE0826"/>
    <w:rsid w:val="6CE7191E"/>
    <w:rsid w:val="751BBA46"/>
    <w:rsid w:val="937A8001"/>
    <w:rsid w:val="B3FF3F6F"/>
    <w:rsid w:val="B57D6D3A"/>
    <w:rsid w:val="CF3E896A"/>
    <w:rsid w:val="D2FA4C6B"/>
    <w:rsid w:val="D9D6A889"/>
    <w:rsid w:val="DEBD7140"/>
    <w:rsid w:val="DF9DCB0C"/>
    <w:rsid w:val="DFF563B5"/>
    <w:rsid w:val="E9FF5B29"/>
    <w:rsid w:val="EBEA405C"/>
    <w:rsid w:val="EFDA6B78"/>
    <w:rsid w:val="F3FD191C"/>
    <w:rsid w:val="F7AFA3DC"/>
    <w:rsid w:val="F7FECB1F"/>
    <w:rsid w:val="FB162784"/>
    <w:rsid w:val="FEFF5BED"/>
    <w:rsid w:val="FFBF043C"/>
    <w:rsid w:val="FFCA5139"/>
    <w:rsid w:val="FFFE0C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iPriority="99" w:semiHidden="0" w:name="heading 1"/>
    <w:lsdException w:qFormat="1" w:uiPriority="99" w:semiHidden="0" w:name="heading 2"/>
    <w:lsdException w:qFormat="1" w:uiPriority="99"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qFormat="1" w:uiPriority="0" w:semiHidden="0"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iPriority="99" w:name="Title"/>
    <w:lsdException w:uiPriority="99" w:name="Closing"/>
    <w:lsdException w:uiPriority="99" w:name="Signature"/>
    <w:lsdException w:qFormat="1" w:uiPriority="99"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iPriority="99" w:name="Strong"/>
    <w:lsdException w:uiPriority="99"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rPr>
  </w:style>
  <w:style w:type="paragraph" w:styleId="2">
    <w:name w:val="heading 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4">
    <w:name w:val="heading 3"/>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26"/>
    </w:rPr>
  </w:style>
  <w:style w:type="character" w:default="1" w:styleId="9">
    <w:name w:val="Default Paragraph Font"/>
    <w:semiHidden/>
    <w:unhideWhenUsed/>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unhideWhenUsed/>
    <w:qFormat/>
    <w:uiPriority w:val="0"/>
    <w:pPr>
      <w:spacing w:before="100" w:beforeLines="0" w:beforeAutospacing="1" w:after="120" w:afterLines="0"/>
    </w:pPr>
    <w:rPr>
      <w:rFonts w:hint="default"/>
      <w:sz w:val="24"/>
      <w:szCs w:val="24"/>
    </w:rPr>
  </w:style>
  <w:style w:type="paragraph" w:styleId="6">
    <w:name w:val="toc 5"/>
    <w:basedOn w:val="1"/>
    <w:next w:val="1"/>
    <w:unhideWhenUsed/>
    <w:qFormat/>
    <w:uiPriority w:val="0"/>
    <w:pPr>
      <w:adjustRightInd/>
      <w:spacing w:beforeLines="0" w:afterLines="0"/>
      <w:ind w:left="1680" w:leftChars="800"/>
      <w:jc w:val="both"/>
    </w:pPr>
    <w:rPr>
      <w:rFonts w:hint="default" w:ascii="Calibri" w:hAnsi="Calibri"/>
      <w:kern w:val="2"/>
      <w:sz w:val="21"/>
      <w:szCs w:val="24"/>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TotalTime>32</TotalTime>
  <ScaleCrop>false</ScaleCrop>
  <LinksUpToDate>false</LinksUpToDate>
  <Application>WPS Office_12.8.2.21176_F1E327BC-269C-435d-A152-05C5408002CA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2026-04-14T17:15:00Z</dcterms:created>
  <dc:creator>Administrator</dc:creator>
  <cp:lastModifiedBy>张艺娜</cp:lastModifiedBy>
  <dcterms:modified xsi:type="dcterms:W3CDTF">2026-04-17T15:35:15Z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9E6724D619166B4C2BF6DE6962694F19_42</vt:lpwstr>
  </property>
</Properties>
</file>