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CFF1">
      <w:pPr>
        <w:pStyle w:val="14"/>
        <w:jc w:val="center"/>
        <w:rPr>
          <w:sz w:val="56"/>
          <w:szCs w:val="56"/>
        </w:rPr>
      </w:pPr>
    </w:p>
    <w:p w14:paraId="3BDF5AB8">
      <w:pPr>
        <w:pStyle w:val="14"/>
        <w:jc w:val="center"/>
        <w:rPr>
          <w:sz w:val="56"/>
          <w:szCs w:val="56"/>
        </w:rPr>
      </w:pPr>
    </w:p>
    <w:p w14:paraId="60CA4575">
      <w:pPr>
        <w:pStyle w:val="14"/>
        <w:jc w:val="center"/>
        <w:rPr>
          <w:sz w:val="84"/>
          <w:szCs w:val="84"/>
        </w:rPr>
      </w:pPr>
    </w:p>
    <w:p w14:paraId="215EB31D">
      <w:pPr>
        <w:pStyle w:val="14"/>
        <w:jc w:val="center"/>
        <w:rPr>
          <w:sz w:val="84"/>
          <w:szCs w:val="84"/>
        </w:rPr>
      </w:pPr>
    </w:p>
    <w:p w14:paraId="3584AAE0">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14:paraId="06BB1522">
      <w:pPr>
        <w:pStyle w:val="14"/>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16068EBE">
      <w:pPr>
        <w:pStyle w:val="14"/>
        <w:jc w:val="center"/>
        <w:rPr>
          <w:sz w:val="56"/>
          <w:szCs w:val="56"/>
        </w:rPr>
      </w:pPr>
      <w:r>
        <w:rPr>
          <w:rFonts w:hint="eastAsia" w:ascii="方正小标宋_GBK" w:hAnsi="方正小标宋_GBK" w:eastAsia="方正小标宋_GBK" w:cs="方正小标宋_GBK"/>
          <w:sz w:val="84"/>
          <w:szCs w:val="84"/>
        </w:rPr>
        <w:t>部门决算</w:t>
      </w:r>
    </w:p>
    <w:p w14:paraId="25018D25">
      <w:pPr>
        <w:pStyle w:val="14"/>
        <w:jc w:val="center"/>
        <w:rPr>
          <w:sz w:val="56"/>
          <w:szCs w:val="56"/>
        </w:rPr>
      </w:pPr>
    </w:p>
    <w:p w14:paraId="5EE73A38">
      <w:pPr>
        <w:pStyle w:val="14"/>
        <w:jc w:val="center"/>
        <w:rPr>
          <w:sz w:val="56"/>
          <w:szCs w:val="56"/>
        </w:rPr>
      </w:pPr>
    </w:p>
    <w:p w14:paraId="297571C5">
      <w:pPr>
        <w:pStyle w:val="14"/>
        <w:jc w:val="center"/>
        <w:rPr>
          <w:sz w:val="32"/>
          <w:szCs w:val="32"/>
        </w:rPr>
      </w:pPr>
    </w:p>
    <w:p w14:paraId="08493D1E">
      <w:pPr>
        <w:pStyle w:val="14"/>
        <w:jc w:val="center"/>
        <w:rPr>
          <w:sz w:val="32"/>
          <w:szCs w:val="32"/>
        </w:rPr>
      </w:pPr>
    </w:p>
    <w:p w14:paraId="5BD6E8BD">
      <w:pPr>
        <w:pStyle w:val="14"/>
        <w:jc w:val="center"/>
        <w:rPr>
          <w:sz w:val="32"/>
          <w:szCs w:val="32"/>
        </w:rPr>
      </w:pPr>
    </w:p>
    <w:p w14:paraId="1062A3B4">
      <w:pPr>
        <w:pStyle w:val="14"/>
        <w:jc w:val="center"/>
        <w:rPr>
          <w:sz w:val="32"/>
          <w:szCs w:val="32"/>
        </w:rPr>
      </w:pPr>
    </w:p>
    <w:p w14:paraId="6311DFC7">
      <w:pPr>
        <w:pStyle w:val="14"/>
        <w:jc w:val="center"/>
        <w:rPr>
          <w:sz w:val="32"/>
          <w:szCs w:val="32"/>
        </w:rPr>
      </w:pPr>
    </w:p>
    <w:p w14:paraId="50228290">
      <w:pPr>
        <w:pStyle w:val="14"/>
        <w:spacing w:line="540" w:lineRule="exact"/>
        <w:jc w:val="center"/>
        <w:rPr>
          <w:sz w:val="56"/>
          <w:szCs w:val="56"/>
        </w:rPr>
      </w:pPr>
    </w:p>
    <w:p w14:paraId="459C483D">
      <w:pPr>
        <w:pStyle w:val="14"/>
        <w:spacing w:line="500" w:lineRule="exact"/>
        <w:jc w:val="both"/>
        <w:rPr>
          <w:b/>
          <w:sz w:val="36"/>
          <w:szCs w:val="28"/>
        </w:rPr>
      </w:pPr>
    </w:p>
    <w:p w14:paraId="24F3309B">
      <w:pPr>
        <w:pStyle w:val="14"/>
        <w:spacing w:line="500" w:lineRule="exact"/>
        <w:jc w:val="center"/>
        <w:rPr>
          <w:b/>
          <w:sz w:val="36"/>
          <w:szCs w:val="28"/>
        </w:rPr>
      </w:pPr>
      <w:r>
        <w:rPr>
          <w:rFonts w:hint="eastAsia"/>
          <w:b/>
          <w:sz w:val="36"/>
          <w:szCs w:val="28"/>
        </w:rPr>
        <w:t>目录</w:t>
      </w:r>
    </w:p>
    <w:p w14:paraId="6CBD0C22">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岳阳市检验检测中心</w:t>
      </w:r>
      <w:r>
        <w:rPr>
          <w:rFonts w:hint="eastAsia" w:ascii="黑体" w:hAnsi="黑体" w:eastAsia="黑体" w:cs="黑体"/>
          <w:b w:val="0"/>
          <w:bCs/>
          <w:sz w:val="28"/>
          <w:szCs w:val="28"/>
        </w:rPr>
        <w:t>概况</w:t>
      </w:r>
    </w:p>
    <w:p w14:paraId="060CB1DC">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315E49DA">
      <w:pPr>
        <w:pStyle w:val="14"/>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3CE431DD">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B1DE222">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28DAEA9B">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4189E141">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0621647E">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28E0B171">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0A1DA969">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62E9A333">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16661B6">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23827588">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69B4707F">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30D2819C">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2F99AFEC">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69796A8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42F5763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4551B6B2">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0BC2CE30">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11D85543">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5F6B554B">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14:paraId="71D9102A">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371B64F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1624E73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6C86A3E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5E15A64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5BD7D26C">
      <w:pPr>
        <w:pStyle w:val="14"/>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14:paraId="51852483">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7D866A9C">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2E7F14A9">
      <w:pPr>
        <w:pStyle w:val="14"/>
        <w:jc w:val="center"/>
        <w:rPr>
          <w:rFonts w:hint="eastAsia" w:ascii="方正小标宋_GBK" w:hAnsi="方正小标宋_GBK" w:eastAsia="方正小标宋_GBK" w:cs="方正小标宋_GBK"/>
          <w:sz w:val="84"/>
          <w:szCs w:val="84"/>
        </w:rPr>
      </w:pPr>
    </w:p>
    <w:p w14:paraId="1095DEAB">
      <w:pPr>
        <w:pStyle w:val="14"/>
        <w:jc w:val="center"/>
        <w:rPr>
          <w:rFonts w:hint="eastAsia" w:ascii="方正小标宋_GBK" w:hAnsi="方正小标宋_GBK" w:eastAsia="方正小标宋_GBK" w:cs="方正小标宋_GBK"/>
          <w:sz w:val="84"/>
          <w:szCs w:val="84"/>
        </w:rPr>
      </w:pPr>
    </w:p>
    <w:p w14:paraId="056204FE">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670EA893">
      <w:pPr>
        <w:pStyle w:val="14"/>
        <w:jc w:val="center"/>
        <w:rPr>
          <w:rFonts w:hint="eastAsia" w:ascii="方正小标宋_GBK" w:hAnsi="方正小标宋_GBK" w:eastAsia="方正小标宋_GBK" w:cs="方正小标宋_GBK"/>
          <w:sz w:val="84"/>
          <w:szCs w:val="84"/>
        </w:rPr>
      </w:pPr>
    </w:p>
    <w:p w14:paraId="6B3014E3">
      <w:pPr>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岳阳市检验检测中心</w:t>
      </w:r>
    </w:p>
    <w:p w14:paraId="4A685C91">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单位</w:t>
      </w:r>
      <w:r>
        <w:rPr>
          <w:rFonts w:hint="eastAsia" w:ascii="方正小标宋_GBK" w:hAnsi="方正小标宋_GBK" w:eastAsia="方正小标宋_GBK" w:cs="方正小标宋_GBK"/>
          <w:sz w:val="84"/>
          <w:szCs w:val="84"/>
        </w:rPr>
        <w:t>概况</w:t>
      </w:r>
    </w:p>
    <w:p w14:paraId="31F45238">
      <w:pPr>
        <w:jc w:val="center"/>
        <w:rPr>
          <w:rFonts w:hint="eastAsia" w:ascii="方正小标宋_GBK" w:hAnsi="方正小标宋_GBK" w:eastAsia="方正小标宋_GBK" w:cs="方正小标宋_GBK"/>
          <w:sz w:val="84"/>
          <w:szCs w:val="84"/>
        </w:rPr>
      </w:pPr>
    </w:p>
    <w:p w14:paraId="77A0C778">
      <w:pPr>
        <w:pStyle w:val="8"/>
        <w:rPr>
          <w:rFonts w:hint="eastAsia" w:ascii="方正小标宋_GBK" w:hAnsi="方正小标宋_GBK" w:eastAsia="方正小标宋_GBK" w:cs="方正小标宋_GBK"/>
          <w:sz w:val="84"/>
          <w:szCs w:val="84"/>
        </w:rPr>
      </w:pPr>
    </w:p>
    <w:p w14:paraId="397AC3FB">
      <w:pPr>
        <w:pStyle w:val="4"/>
        <w:rPr>
          <w:rFonts w:hint="eastAsia" w:ascii="方正小标宋_GBK" w:hAnsi="方正小标宋_GBK" w:eastAsia="方正小标宋_GBK" w:cs="方正小标宋_GBK"/>
          <w:sz w:val="84"/>
          <w:szCs w:val="84"/>
        </w:rPr>
      </w:pPr>
    </w:p>
    <w:p w14:paraId="1469560B">
      <w:pPr>
        <w:pStyle w:val="4"/>
        <w:ind w:left="0" w:leftChars="0" w:firstLine="0" w:firstLineChars="0"/>
        <w:rPr>
          <w:rFonts w:hint="eastAsia" w:ascii="方正小标宋_GBK" w:hAnsi="方正小标宋_GBK" w:eastAsia="方正小标宋_GBK" w:cs="方正小标宋_GBK"/>
          <w:sz w:val="84"/>
          <w:szCs w:val="84"/>
        </w:rPr>
      </w:pPr>
    </w:p>
    <w:p w14:paraId="55E857AF">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5D4316CA">
      <w:pPr>
        <w:pStyle w:val="15"/>
        <w:pageBreakBefore w:val="0"/>
        <w:widowControl w:val="0"/>
        <w:numPr>
          <w:ilvl w:val="0"/>
          <w:numId w:val="0"/>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(一 )为机关提供支持保障的职能</w:t>
      </w:r>
    </w:p>
    <w:p w14:paraId="26C9C0A7">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负责市场监督管理部门委托的产品、重要工业产品的 监督抽查抽样、检验工作;负责管辖范围内纤维制品、棉花质量监督工作;负责棉花、国家储备棉质量公证检验工作; 承担市场监督管理部门委托的食品安全抽样、检验工作;负责依法实施药品监督管理所需的检验工作;负责市场监督管 理部门委托的化妆品、医疗器械检验工作。</w:t>
      </w:r>
    </w:p>
    <w:p w14:paraId="6E7EB4BB">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负责卫生行政部门和市场监督管理部门委托的食品安全风险监测工作;参与食品安全风险评估信息和食品安全监督管理信息工作。</w:t>
      </w:r>
    </w:p>
    <w:p w14:paraId="6B67AA03">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承担农业行政管理部门委托的农产品质量安全监督抽查检测工作。</w:t>
      </w:r>
    </w:p>
    <w:p w14:paraId="0B807BA8">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承担粮食行政管理部门委托的粮食质量安全的扦样和检验工作。</w:t>
      </w:r>
    </w:p>
    <w:p w14:paraId="141DDE9B">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负责研究建立计量基准、社会公用计量标准,进行量值传递;执行强制检定和法律规定的其他检定、测试任务; 起草技术规范,为实施计量监督提供技术保证;承办有关计量监督工作。</w:t>
      </w:r>
    </w:p>
    <w:p w14:paraId="32FB8694">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向国务院标准化行政主管部门提出强制性国家标准的立项建议。</w:t>
      </w:r>
    </w:p>
    <w:p w14:paraId="0CE49065">
      <w:pPr>
        <w:pStyle w:val="15"/>
        <w:pageBreakBefore w:val="0"/>
        <w:widowControl w:val="0"/>
        <w:numPr>
          <w:ilvl w:val="0"/>
          <w:numId w:val="2"/>
        </w:numPr>
        <w:kinsoku/>
        <w:wordWrap/>
        <w:overflowPunct/>
        <w:topLinePunct w:val="0"/>
        <w:autoSpaceDE/>
        <w:autoSpaceDN/>
        <w:bidi w:val="0"/>
        <w:adjustRightInd/>
        <w:snapToGrid/>
        <w:spacing w:line="560" w:lineRule="exact"/>
        <w:ind w:leftChars="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负责为市市场监督管理局、市农业农村局、市商务粮食局等政府其他职能部门履行产品质量监管职责提供技术支撑工作。</w:t>
      </w:r>
    </w:p>
    <w:p w14:paraId="4E8A107A">
      <w:pPr>
        <w:pStyle w:val="15"/>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(二 )面向社会提供公益服务的职能</w:t>
      </w:r>
    </w:p>
    <w:p w14:paraId="478A28DC">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1.接受有关部门、社会组织、法人及公民委托,依法开展检验检测工作,提供计量检定、校准、测试证书和质检报 告等质量证明。</w:t>
      </w:r>
    </w:p>
    <w:p w14:paraId="38BDE637">
      <w:pPr>
        <w:keepNext/>
        <w:keepLines/>
        <w:pageBreakBefore w:val="0"/>
        <w:widowControl w:val="0"/>
        <w:shd w:val="clear" w:color="auto" w:fill="FFFFFF"/>
        <w:kinsoku/>
        <w:wordWrap/>
        <w:overflowPunct/>
        <w:topLinePunct w:val="0"/>
        <w:autoSpaceDE/>
        <w:autoSpaceDN/>
        <w:bidi w:val="0"/>
        <w:adjustRightInd/>
        <w:snapToGrid/>
        <w:spacing w:beforeLines="0" w:afterLines="0" w:line="560" w:lineRule="exact"/>
        <w:ind w:firstLine="640"/>
        <w:jc w:val="left"/>
        <w:textAlignment w:val="auto"/>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2.为县(市)检验检测技术机构开展新标准、新技术的推广工作提供技术支持,为 检验检测技术机构和相关行业、企业提供检验专业技术人员培训和技术服务。</w:t>
      </w:r>
    </w:p>
    <w:p w14:paraId="5772ACBC">
      <w:pPr>
        <w:widowControl/>
        <w:spacing w:line="600" w:lineRule="exact"/>
        <w:rPr>
          <w:rFonts w:hint="eastAsia" w:ascii="Times New Roman" w:hAnsi="Times New Roman" w:eastAsia="仿宋_GB2312" w:cs="仿宋_GB2312"/>
          <w:bCs/>
          <w:kern w:val="0"/>
          <w:sz w:val="32"/>
          <w:szCs w:val="32"/>
          <w:lang w:val="en-US" w:eastAsia="zh-CN" w:bidi="ar-SA"/>
        </w:rPr>
      </w:pPr>
      <w:r>
        <w:rPr>
          <w:rFonts w:hint="eastAsia" w:ascii="Times New Roman" w:hAnsi="Times New Roman" w:eastAsia="仿宋_GB2312" w:cs="仿宋_GB2312"/>
          <w:bCs/>
          <w:kern w:val="0"/>
          <w:sz w:val="32"/>
          <w:szCs w:val="32"/>
          <w:lang w:val="en-US" w:eastAsia="zh-CN" w:bidi="ar-SA"/>
        </w:rPr>
        <w:t>(三 )完成市市场监管局交办的其他任务。</w:t>
      </w:r>
    </w:p>
    <w:p w14:paraId="038F5233">
      <w:pPr>
        <w:widowControl/>
        <w:spacing w:line="600" w:lineRule="exact"/>
        <w:rPr>
          <w:rFonts w:hint="eastAsia" w:ascii="黑体" w:hAnsi="黑体" w:eastAsia="黑体" w:cs="黑体"/>
          <w:b w:val="0"/>
          <w:bCs/>
          <w:kern w:val="0"/>
          <w:sz w:val="32"/>
          <w:szCs w:val="32"/>
        </w:rPr>
      </w:pPr>
    </w:p>
    <w:p w14:paraId="1589D136">
      <w:pPr>
        <w:widowControl/>
        <w:spacing w:line="600" w:lineRule="exact"/>
        <w:rPr>
          <w:rFonts w:hint="eastAsia" w:ascii="黑体" w:hAnsi="黑体" w:eastAsia="黑体" w:cs="黑体"/>
          <w:b w:val="0"/>
          <w:bCs/>
          <w:kern w:val="0"/>
          <w:sz w:val="32"/>
          <w:szCs w:val="32"/>
        </w:rPr>
      </w:pPr>
    </w:p>
    <w:p w14:paraId="2DC82B10">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560581EA">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岳阳市检验检测中心</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仿宋_GB2312"/>
          <w:bCs/>
          <w:kern w:val="0"/>
          <w:sz w:val="32"/>
          <w:szCs w:val="32"/>
          <w:lang w:eastAsia="zh-CN"/>
        </w:rPr>
        <w:t>综合部、质量控制部、技术保障部、抽检部、业务发展部、标准化工作部、农产品检验部、粮食质量检验监测部、人事部、计划财务部。</w:t>
      </w:r>
      <w:r>
        <w:rPr>
          <w:rFonts w:hint="eastAsia" w:ascii="Times New Roman" w:hAnsi="Times New Roman" w:eastAsia="仿宋_GB2312" w:cs="仿宋_GB2312"/>
          <w:bCs/>
          <w:kern w:val="0"/>
          <w:sz w:val="32"/>
          <w:szCs w:val="32"/>
          <w:lang w:val="en-US" w:eastAsia="zh-CN"/>
        </w:rPr>
        <w:t>3个分支机构：市产品质量检验所、市计量测试检定所、市食品药品检验所。</w:t>
      </w:r>
    </w:p>
    <w:p w14:paraId="7D48F6C6">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本单位无独立核算的下属单位，202</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lang w:eastAsia="zh-CN"/>
        </w:rPr>
        <w:t>年度部门决算汇总公开单位仅包括岳阳市检验检测中心单位本级。</w:t>
      </w:r>
    </w:p>
    <w:p w14:paraId="3CE56614">
      <w:pPr>
        <w:pStyle w:val="8"/>
      </w:pPr>
    </w:p>
    <w:p w14:paraId="70B4D569">
      <w:pPr>
        <w:pStyle w:val="4"/>
      </w:pPr>
    </w:p>
    <w:p w14:paraId="5B1D6CBC"/>
    <w:p w14:paraId="7D6C31E4">
      <w:pPr>
        <w:pStyle w:val="8"/>
      </w:pPr>
    </w:p>
    <w:p w14:paraId="056E4ECA">
      <w:pPr>
        <w:pStyle w:val="4"/>
      </w:pPr>
    </w:p>
    <w:p w14:paraId="3288C9C5"/>
    <w:p w14:paraId="14507043">
      <w:pPr>
        <w:pStyle w:val="8"/>
      </w:pPr>
    </w:p>
    <w:p w14:paraId="465EA8BD">
      <w:pPr>
        <w:pStyle w:val="4"/>
      </w:pPr>
    </w:p>
    <w:p w14:paraId="49E51758"/>
    <w:p w14:paraId="3DC8C6CD">
      <w:pPr>
        <w:pStyle w:val="8"/>
      </w:pPr>
    </w:p>
    <w:p w14:paraId="36E702E5">
      <w:pPr>
        <w:pStyle w:val="4"/>
      </w:pPr>
    </w:p>
    <w:p w14:paraId="0416550A"/>
    <w:p w14:paraId="28B49BCE">
      <w:pPr>
        <w:pStyle w:val="8"/>
      </w:pPr>
    </w:p>
    <w:p w14:paraId="43291855">
      <w:pPr>
        <w:pStyle w:val="4"/>
      </w:pPr>
    </w:p>
    <w:p w14:paraId="7CD92489"/>
    <w:p w14:paraId="5267F12B">
      <w:pPr>
        <w:pStyle w:val="8"/>
      </w:pPr>
    </w:p>
    <w:p w14:paraId="28828498">
      <w:pPr>
        <w:pStyle w:val="4"/>
      </w:pPr>
    </w:p>
    <w:p w14:paraId="04E62672"/>
    <w:p w14:paraId="1D6D7A8B">
      <w:pPr>
        <w:pStyle w:val="8"/>
      </w:pPr>
    </w:p>
    <w:p w14:paraId="2E47952B">
      <w:pPr>
        <w:pStyle w:val="4"/>
      </w:pPr>
    </w:p>
    <w:p w14:paraId="18A19BE5"/>
    <w:p w14:paraId="7CCBF86D">
      <w:pPr>
        <w:pStyle w:val="8"/>
      </w:pPr>
    </w:p>
    <w:p w14:paraId="0017F5EC">
      <w:pPr>
        <w:pStyle w:val="4"/>
      </w:pPr>
    </w:p>
    <w:p w14:paraId="76181D4E"/>
    <w:p w14:paraId="1A174866">
      <w:pPr>
        <w:pStyle w:val="14"/>
        <w:jc w:val="center"/>
        <w:rPr>
          <w:rFonts w:hint="eastAsia" w:ascii="方正小标宋_GBK" w:hAnsi="方正小标宋_GBK" w:eastAsia="方正小标宋_GBK" w:cs="方正小标宋_GBK"/>
          <w:sz w:val="84"/>
          <w:szCs w:val="84"/>
        </w:rPr>
      </w:pPr>
    </w:p>
    <w:p w14:paraId="2B49F2B7">
      <w:pPr>
        <w:pStyle w:val="14"/>
        <w:jc w:val="center"/>
        <w:rPr>
          <w:rFonts w:hint="eastAsia" w:ascii="方正小标宋_GBK" w:hAnsi="方正小标宋_GBK" w:eastAsia="方正小标宋_GBK" w:cs="方正小标宋_GBK"/>
          <w:sz w:val="84"/>
          <w:szCs w:val="84"/>
        </w:rPr>
      </w:pPr>
    </w:p>
    <w:p w14:paraId="661BBFC8">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5FB02ED5">
      <w:pPr>
        <w:pStyle w:val="14"/>
        <w:jc w:val="center"/>
        <w:rPr>
          <w:rFonts w:hint="eastAsia" w:ascii="方正小标宋_GBK" w:hAnsi="方正小标宋_GBK" w:eastAsia="方正小标宋_GBK" w:cs="方正小标宋_GBK"/>
          <w:sz w:val="84"/>
          <w:szCs w:val="84"/>
        </w:rPr>
      </w:pPr>
    </w:p>
    <w:p w14:paraId="3860F185">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0A5962C">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325AF5B5">
      <w:pPr>
        <w:pStyle w:val="14"/>
        <w:jc w:val="center"/>
        <w:rPr>
          <w:rFonts w:hint="eastAsia" w:ascii="仿宋_GB2312" w:hAnsi="仿宋_GB2312" w:eastAsia="仿宋_GB2312" w:cs="仿宋_GB2312"/>
          <w:b w:val="0"/>
          <w:bCs w:val="0"/>
          <w:sz w:val="72"/>
          <w:szCs w:val="72"/>
          <w:lang w:eastAsia="zh-CN"/>
        </w:rPr>
      </w:pPr>
    </w:p>
    <w:p w14:paraId="0568D1B8">
      <w:pPr>
        <w:pStyle w:val="14"/>
        <w:jc w:val="center"/>
        <w:rPr>
          <w:rFonts w:hint="eastAsia" w:ascii="仿宋_GB2312" w:hAnsi="仿宋_GB2312" w:eastAsia="仿宋_GB2312" w:cs="仿宋_GB2312"/>
          <w:b w:val="0"/>
          <w:bCs w:val="0"/>
          <w:sz w:val="72"/>
          <w:szCs w:val="72"/>
          <w:lang w:eastAsia="zh-CN"/>
        </w:rPr>
      </w:pPr>
    </w:p>
    <w:p w14:paraId="5C65B646">
      <w:pPr>
        <w:pStyle w:val="14"/>
        <w:jc w:val="center"/>
        <w:rPr>
          <w:rFonts w:hint="eastAsia" w:ascii="仿宋_GB2312" w:hAnsi="仿宋_GB2312" w:eastAsia="仿宋_GB2312" w:cs="仿宋_GB2312"/>
          <w:b w:val="0"/>
          <w:bCs w:val="0"/>
          <w:sz w:val="72"/>
          <w:szCs w:val="72"/>
          <w:lang w:eastAsia="zh-CN"/>
        </w:rPr>
      </w:pPr>
    </w:p>
    <w:p w14:paraId="62EA5E89">
      <w:pPr>
        <w:pStyle w:val="14"/>
        <w:jc w:val="center"/>
        <w:rPr>
          <w:rFonts w:hint="eastAsia" w:ascii="仿宋_GB2312" w:hAnsi="仿宋_GB2312" w:eastAsia="仿宋_GB2312" w:cs="仿宋_GB2312"/>
          <w:b w:val="0"/>
          <w:bCs w:val="0"/>
          <w:sz w:val="72"/>
          <w:szCs w:val="72"/>
          <w:lang w:eastAsia="zh-CN"/>
        </w:rPr>
      </w:pPr>
    </w:p>
    <w:p w14:paraId="63BFFD84">
      <w:pPr>
        <w:pStyle w:val="14"/>
        <w:jc w:val="center"/>
        <w:rPr>
          <w:rFonts w:hint="eastAsia" w:ascii="仿宋_GB2312" w:hAnsi="仿宋_GB2312" w:eastAsia="仿宋_GB2312" w:cs="仿宋_GB2312"/>
          <w:b w:val="0"/>
          <w:bCs w:val="0"/>
          <w:sz w:val="72"/>
          <w:szCs w:val="72"/>
          <w:lang w:eastAsia="zh-CN"/>
        </w:rPr>
      </w:pPr>
    </w:p>
    <w:p w14:paraId="4565BABE">
      <w:pPr>
        <w:pStyle w:val="14"/>
        <w:jc w:val="center"/>
        <w:rPr>
          <w:rFonts w:hint="eastAsia" w:ascii="仿宋_GB2312" w:hAnsi="仿宋_GB2312" w:eastAsia="仿宋_GB2312" w:cs="仿宋_GB2312"/>
          <w:b w:val="0"/>
          <w:bCs w:val="0"/>
          <w:sz w:val="72"/>
          <w:szCs w:val="72"/>
          <w:lang w:eastAsia="zh-CN"/>
        </w:rPr>
      </w:pPr>
    </w:p>
    <w:p w14:paraId="6EEAB3EF">
      <w:pPr>
        <w:pStyle w:val="14"/>
        <w:jc w:val="center"/>
        <w:rPr>
          <w:rFonts w:hint="eastAsia" w:ascii="仿宋_GB2312" w:hAnsi="仿宋_GB2312" w:eastAsia="仿宋_GB2312" w:cs="仿宋_GB2312"/>
          <w:b w:val="0"/>
          <w:bCs w:val="0"/>
          <w:sz w:val="72"/>
          <w:szCs w:val="72"/>
          <w:lang w:eastAsia="zh-CN"/>
        </w:rPr>
      </w:pPr>
    </w:p>
    <w:p w14:paraId="603C04A7">
      <w:pPr>
        <w:pStyle w:val="14"/>
        <w:jc w:val="center"/>
        <w:rPr>
          <w:rFonts w:hint="eastAsia" w:ascii="方正小标宋_GBK" w:hAnsi="方正小标宋_GBK" w:eastAsia="方正小标宋_GBK" w:cs="方正小标宋_GBK"/>
          <w:sz w:val="72"/>
          <w:szCs w:val="72"/>
        </w:rPr>
      </w:pPr>
    </w:p>
    <w:p w14:paraId="7A44A82E">
      <w:pPr>
        <w:pStyle w:val="14"/>
        <w:jc w:val="center"/>
        <w:rPr>
          <w:rFonts w:hint="eastAsia" w:ascii="方正小标宋_GBK" w:hAnsi="方正小标宋_GBK" w:eastAsia="方正小标宋_GBK" w:cs="方正小标宋_GBK"/>
          <w:sz w:val="72"/>
          <w:szCs w:val="72"/>
        </w:rPr>
      </w:pPr>
    </w:p>
    <w:p w14:paraId="06211665">
      <w:pPr>
        <w:pStyle w:val="14"/>
        <w:jc w:val="both"/>
        <w:rPr>
          <w:rFonts w:hint="eastAsia" w:ascii="方正小标宋_GBK" w:hAnsi="方正小标宋_GBK" w:eastAsia="方正小标宋_GBK" w:cs="方正小标宋_GBK"/>
          <w:sz w:val="72"/>
          <w:szCs w:val="72"/>
        </w:rPr>
      </w:pPr>
    </w:p>
    <w:p w14:paraId="7804FBAA">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7D53C949">
      <w:pPr>
        <w:pStyle w:val="14"/>
        <w:jc w:val="center"/>
        <w:rPr>
          <w:rFonts w:hint="eastAsia" w:ascii="方正小标宋_GBK" w:hAnsi="方正小标宋_GBK" w:eastAsia="方正小标宋_GBK" w:cs="方正小标宋_GBK"/>
          <w:sz w:val="70"/>
          <w:szCs w:val="70"/>
        </w:rPr>
      </w:pPr>
    </w:p>
    <w:p w14:paraId="4F77A5A6">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14:paraId="17862F93">
      <w:pPr>
        <w:pStyle w:val="14"/>
        <w:jc w:val="center"/>
        <w:rPr>
          <w:rFonts w:hint="eastAsia" w:ascii="方正小标宋_GBK" w:hAnsi="方正小标宋_GBK" w:eastAsia="方正小标宋_GBK" w:cs="方正小标宋_GBK"/>
          <w:sz w:val="70"/>
          <w:szCs w:val="70"/>
        </w:rPr>
      </w:pPr>
    </w:p>
    <w:p w14:paraId="6EEC30AB">
      <w:pPr>
        <w:pStyle w:val="14"/>
        <w:jc w:val="center"/>
        <w:rPr>
          <w:rFonts w:hint="eastAsia" w:ascii="方正小标宋_GBK" w:hAnsi="方正小标宋_GBK" w:eastAsia="方正小标宋_GBK" w:cs="方正小标宋_GBK"/>
          <w:sz w:val="70"/>
          <w:szCs w:val="70"/>
        </w:rPr>
      </w:pPr>
    </w:p>
    <w:p w14:paraId="417367C1">
      <w:pPr>
        <w:pStyle w:val="14"/>
        <w:jc w:val="center"/>
        <w:rPr>
          <w:rFonts w:hint="eastAsia" w:ascii="方正小标宋_GBK" w:hAnsi="方正小标宋_GBK" w:eastAsia="方正小标宋_GBK" w:cs="方正小标宋_GBK"/>
          <w:sz w:val="70"/>
          <w:szCs w:val="70"/>
        </w:rPr>
      </w:pPr>
    </w:p>
    <w:p w14:paraId="514C0722">
      <w:pPr>
        <w:pStyle w:val="14"/>
        <w:jc w:val="both"/>
        <w:rPr>
          <w:rFonts w:hint="eastAsia" w:ascii="方正小标宋_GBK" w:hAnsi="方正小标宋_GBK" w:eastAsia="方正小标宋_GBK" w:cs="方正小标宋_GBK"/>
          <w:sz w:val="70"/>
          <w:szCs w:val="70"/>
        </w:rPr>
      </w:pPr>
    </w:p>
    <w:p w14:paraId="074ED938">
      <w:pPr>
        <w:pStyle w:val="14"/>
        <w:jc w:val="both"/>
        <w:rPr>
          <w:rFonts w:hint="eastAsia" w:ascii="方正小标宋_GBK" w:hAnsi="方正小标宋_GBK" w:eastAsia="方正小标宋_GBK" w:cs="方正小标宋_GBK"/>
          <w:sz w:val="70"/>
          <w:szCs w:val="70"/>
        </w:rPr>
      </w:pPr>
    </w:p>
    <w:p w14:paraId="6AC1182E">
      <w:pPr>
        <w:pStyle w:val="14"/>
        <w:jc w:val="both"/>
        <w:rPr>
          <w:rFonts w:hint="eastAsia" w:ascii="方正小标宋_GBK" w:hAnsi="方正小标宋_GBK" w:eastAsia="方正小标宋_GBK" w:cs="方正小标宋_GBK"/>
          <w:sz w:val="70"/>
          <w:szCs w:val="70"/>
        </w:rPr>
      </w:pPr>
    </w:p>
    <w:p w14:paraId="05EDAAC9">
      <w:pPr>
        <w:pStyle w:val="14"/>
        <w:jc w:val="both"/>
        <w:rPr>
          <w:rFonts w:hint="eastAsia" w:ascii="方正小标宋_GBK" w:hAnsi="方正小标宋_GBK" w:eastAsia="方正小标宋_GBK" w:cs="方正小标宋_GBK"/>
          <w:sz w:val="70"/>
          <w:szCs w:val="70"/>
        </w:rPr>
      </w:pPr>
    </w:p>
    <w:p w14:paraId="33BCB126">
      <w:pPr>
        <w:pStyle w:val="14"/>
        <w:jc w:val="both"/>
        <w:rPr>
          <w:rFonts w:hint="eastAsia" w:ascii="方正小标宋_GBK" w:hAnsi="方正小标宋_GBK" w:eastAsia="方正小标宋_GBK" w:cs="方正小标宋_GBK"/>
          <w:sz w:val="70"/>
          <w:szCs w:val="70"/>
        </w:rPr>
      </w:pPr>
    </w:p>
    <w:p w14:paraId="111D7AB8">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2411C081">
      <w:pPr>
        <w:pStyle w:val="14"/>
        <w:keepNext w:val="0"/>
        <w:keepLines w:val="0"/>
        <w:pageBreakBefore w:val="0"/>
        <w:widowControl w:val="0"/>
        <w:kinsoku/>
        <w:wordWrap/>
        <w:overflowPunct/>
        <w:topLinePunct w:val="0"/>
        <w:bidi w:val="0"/>
        <w:snapToGrid/>
        <w:spacing w:line="600" w:lineRule="exac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E0052D8">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2688.74</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518.58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16.17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项目资金拨款减少。</w:t>
      </w:r>
    </w:p>
    <w:p w14:paraId="07DA9E3F">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3128467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2654.51</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2639.73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99.44</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14.79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0.56</w:t>
      </w:r>
      <w:r>
        <w:rPr>
          <w:rFonts w:hint="eastAsia" w:ascii="仿宋_GB2312" w:hAnsi="仿宋_GB2312" w:eastAsia="仿宋_GB2312" w:cs="仿宋_GB2312"/>
          <w:sz w:val="32"/>
          <w:szCs w:val="32"/>
        </w:rPr>
        <w:t>%。</w:t>
      </w:r>
    </w:p>
    <w:p w14:paraId="2D1A2B4D">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28222937">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2673.96</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1838.46</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68.75</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835.50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31.25</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14:paraId="69857526">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4ED35F49">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2639.73</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509.18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16.17</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项目资金拨款减少。</w:t>
      </w:r>
    </w:p>
    <w:p w14:paraId="4BB30A6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6023283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76CAEDE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2639.73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98.72</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50.66</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1.88</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项目支出减少。</w:t>
      </w:r>
    </w:p>
    <w:p w14:paraId="36F15B18">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i/>
          <w:iCs/>
          <w:color w:val="FF0000"/>
          <w:sz w:val="32"/>
          <w:szCs w:val="32"/>
          <w:lang w:eastAsia="zh-CN"/>
        </w:rPr>
      </w:pPr>
    </w:p>
    <w:p w14:paraId="66C54C85">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100B560A">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2639.73</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2092.18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79.26</w:t>
      </w:r>
      <w:r>
        <w:rPr>
          <w:rFonts w:hint="eastAsia" w:ascii="仿宋_GB2312" w:hAnsi="仿宋_GB2312" w:eastAsia="仿宋_GB2312" w:cs="仿宋_GB2312"/>
          <w:sz w:val="32"/>
          <w:szCs w:val="32"/>
        </w:rPr>
        <w:t>%；教育（类）支出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科学技术（类）支出</w:t>
      </w:r>
      <w:r>
        <w:rPr>
          <w:rFonts w:hint="eastAsia" w:ascii="仿宋_GB2312" w:hAnsi="仿宋_GB2312" w:eastAsia="仿宋_GB2312" w:cs="仿宋_GB2312"/>
          <w:sz w:val="32"/>
          <w:szCs w:val="32"/>
          <w:lang w:val="en-US" w:eastAsia="zh-CN"/>
        </w:rPr>
        <w:t>62.25万元，占2.36%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社会保障和就业（类）支出</w:t>
      </w:r>
      <w:r>
        <w:rPr>
          <w:rFonts w:hint="eastAsia" w:ascii="仿宋_GB2312" w:hAnsi="仿宋_GB2312" w:eastAsia="仿宋_GB2312" w:cs="仿宋_GB2312"/>
          <w:sz w:val="32"/>
          <w:szCs w:val="32"/>
          <w:lang w:val="en-US" w:eastAsia="zh-CN"/>
        </w:rPr>
        <w:t>277万元，占10.49%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卫生健康（类）支出</w:t>
      </w:r>
      <w:r>
        <w:rPr>
          <w:rFonts w:hint="eastAsia" w:ascii="仿宋_GB2312" w:hAnsi="仿宋_GB2312" w:eastAsia="仿宋_GB2312" w:cs="仿宋_GB2312"/>
          <w:sz w:val="32"/>
          <w:szCs w:val="32"/>
          <w:lang w:val="en-US" w:eastAsia="zh-CN"/>
        </w:rPr>
        <w:t>98.78万元，占3.74%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社会保障（类）支出</w:t>
      </w:r>
      <w:r>
        <w:rPr>
          <w:rFonts w:hint="eastAsia" w:ascii="仿宋_GB2312" w:hAnsi="仿宋_GB2312" w:eastAsia="仿宋_GB2312" w:cs="仿宋_GB2312"/>
          <w:sz w:val="32"/>
          <w:szCs w:val="32"/>
          <w:lang w:val="en-US" w:eastAsia="zh-CN"/>
        </w:rPr>
        <w:t>109.5万元，占4.15%。</w:t>
      </w:r>
    </w:p>
    <w:p w14:paraId="5CDBADF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5B07DAE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2103.5</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2639.73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125.49</w:t>
      </w:r>
      <w:r>
        <w:rPr>
          <w:rFonts w:hint="eastAsia" w:ascii="仿宋_GB2312" w:hAnsi="仿宋_GB2312" w:eastAsia="仿宋_GB2312" w:cs="仿宋_GB2312"/>
          <w:sz w:val="32"/>
          <w:szCs w:val="32"/>
        </w:rPr>
        <w:t>%，其中：</w:t>
      </w:r>
    </w:p>
    <w:p w14:paraId="210A262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事业运行</w:t>
      </w:r>
      <w:r>
        <w:rPr>
          <w:rFonts w:hint="eastAsia" w:ascii="仿宋_GB2312" w:hAnsi="仿宋_GB2312" w:eastAsia="仿宋_GB2312" w:cs="仿宋_GB2312"/>
          <w:sz w:val="32"/>
          <w:szCs w:val="32"/>
        </w:rPr>
        <w:t>（项）。</w:t>
      </w:r>
    </w:p>
    <w:p w14:paraId="15D7AA1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1624.85</w:t>
      </w:r>
      <w:r>
        <w:rPr>
          <w:rFonts w:hint="eastAsia" w:ascii="仿宋_GB2312" w:hAnsi="仿宋_GB2312" w:eastAsia="仿宋_GB2312" w:cs="仿宋_GB2312"/>
          <w:sz w:val="32"/>
          <w:szCs w:val="32"/>
        </w:rPr>
        <w:t>万元，支出决算为1</w:t>
      </w:r>
      <w:r>
        <w:rPr>
          <w:rFonts w:hint="eastAsia" w:ascii="仿宋_GB2312" w:hAnsi="仿宋_GB2312" w:eastAsia="仿宋_GB2312" w:cs="仿宋_GB2312"/>
          <w:sz w:val="32"/>
          <w:szCs w:val="32"/>
          <w:lang w:val="en-US" w:eastAsia="zh-CN"/>
        </w:rPr>
        <w:t>242.31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76.46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有一部份项目支出做在其它项目里。</w:t>
      </w:r>
    </w:p>
    <w:p w14:paraId="409E17A2">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行政运行</w:t>
      </w:r>
      <w:r>
        <w:rPr>
          <w:rFonts w:hint="eastAsia" w:ascii="仿宋_GB2312" w:hAnsi="仿宋_GB2312" w:eastAsia="仿宋_GB2312" w:cs="仿宋_GB2312"/>
          <w:sz w:val="32"/>
          <w:szCs w:val="32"/>
        </w:rPr>
        <w:t>（项）。</w:t>
      </w:r>
    </w:p>
    <w:p w14:paraId="71DBF67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25.22</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追加了人员经费支出。</w:t>
      </w:r>
    </w:p>
    <w:p w14:paraId="2D0D0A8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一般行政管理事务</w:t>
      </w:r>
      <w:r>
        <w:rPr>
          <w:rFonts w:hint="eastAsia" w:ascii="仿宋_GB2312" w:hAnsi="仿宋_GB2312" w:eastAsia="仿宋_GB2312" w:cs="仿宋_GB2312"/>
          <w:sz w:val="32"/>
          <w:szCs w:val="32"/>
        </w:rPr>
        <w:t>（项）。</w:t>
      </w:r>
    </w:p>
    <w:p w14:paraId="7B2629F0">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135.05</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检验专项资金安排。</w:t>
      </w:r>
    </w:p>
    <w:p w14:paraId="33F7CF7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质量基础</w:t>
      </w:r>
      <w:r>
        <w:rPr>
          <w:rFonts w:hint="eastAsia" w:ascii="仿宋_GB2312" w:hAnsi="仿宋_GB2312" w:eastAsia="仿宋_GB2312" w:cs="仿宋_GB2312"/>
          <w:sz w:val="32"/>
          <w:szCs w:val="32"/>
        </w:rPr>
        <w:t>（项）。</w:t>
      </w:r>
    </w:p>
    <w:p w14:paraId="7BD533DD">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384.76</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检验专项资金安排。</w:t>
      </w:r>
    </w:p>
    <w:p w14:paraId="16F4DB5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药品事务</w:t>
      </w:r>
      <w:r>
        <w:rPr>
          <w:rFonts w:hint="eastAsia" w:ascii="仿宋_GB2312" w:hAnsi="仿宋_GB2312" w:eastAsia="仿宋_GB2312" w:cs="仿宋_GB2312"/>
          <w:sz w:val="32"/>
          <w:szCs w:val="32"/>
        </w:rPr>
        <w:t>（项）。</w:t>
      </w:r>
    </w:p>
    <w:p w14:paraId="26EF171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35.77</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检验专项资金安排。</w:t>
      </w:r>
    </w:p>
    <w:p w14:paraId="2507765E">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eastAsia="zh-CN"/>
        </w:rPr>
        <w:t>市场监督管理事务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其他市场监督管理事务</w:t>
      </w:r>
      <w:r>
        <w:rPr>
          <w:rFonts w:hint="eastAsia" w:ascii="仿宋_GB2312" w:hAnsi="仿宋_GB2312" w:eastAsia="仿宋_GB2312" w:cs="仿宋_GB2312"/>
          <w:sz w:val="32"/>
          <w:szCs w:val="32"/>
        </w:rPr>
        <w:t>（项）。</w:t>
      </w:r>
    </w:p>
    <w:p w14:paraId="71F4B6F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269.07</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检验专项资金安排。</w:t>
      </w:r>
    </w:p>
    <w:p w14:paraId="77CB2E7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科学技术支出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eastAsia="zh-CN"/>
        </w:rPr>
        <w:t>其他科学技术支出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eastAsia="zh-CN"/>
        </w:rPr>
        <w:t>其他科学技术支出</w:t>
      </w:r>
      <w:r>
        <w:rPr>
          <w:rFonts w:hint="eastAsia" w:ascii="仿宋_GB2312" w:hAnsi="仿宋_GB2312" w:eastAsia="仿宋_GB2312" w:cs="仿宋_GB2312"/>
          <w:sz w:val="32"/>
          <w:szCs w:val="32"/>
        </w:rPr>
        <w:t>（项）。</w:t>
      </w:r>
    </w:p>
    <w:p w14:paraId="67123F8C">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62.25</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科研专项资金安排。</w:t>
      </w:r>
    </w:p>
    <w:p w14:paraId="7DC00031">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、社会保障和就业支出（类）行政事业单位养老支出（款）事业单位离退休（项）。</w:t>
      </w:r>
    </w:p>
    <w:p w14:paraId="548A17E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104.88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103.41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98.6</w:t>
      </w:r>
      <w:r>
        <w:rPr>
          <w:rFonts w:hint="eastAsia" w:ascii="仿宋_GB2312" w:hAnsi="仿宋_GB2312" w:eastAsia="仿宋_GB2312" w:cs="仿宋_GB2312"/>
          <w:sz w:val="32"/>
          <w:szCs w:val="32"/>
        </w:rPr>
        <w:t>%。决算</w:t>
      </w:r>
      <w:r>
        <w:rPr>
          <w:rFonts w:hint="eastAsia" w:ascii="仿宋_GB2312" w:hAnsi="仿宋_GB2312" w:eastAsia="仿宋_GB2312" w:cs="仿宋_GB2312"/>
          <w:sz w:val="32"/>
          <w:szCs w:val="32"/>
          <w:lang w:eastAsia="zh-CN"/>
        </w:rPr>
        <w:t>数小于</w:t>
      </w:r>
      <w:r>
        <w:rPr>
          <w:rFonts w:hint="eastAsia" w:ascii="仿宋_GB2312" w:hAnsi="仿宋_GB2312" w:eastAsia="仿宋_GB2312" w:cs="仿宋_GB2312"/>
          <w:sz w:val="32"/>
          <w:szCs w:val="32"/>
        </w:rPr>
        <w:t>年初预算数的主要原因是严格控制支出。</w:t>
      </w:r>
    </w:p>
    <w:p w14:paraId="6F880FE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、社会保障和就业支出（类）行政事业单位养老支出（款）机关事业单位基本养老保险缴费支出（项）。</w:t>
      </w:r>
    </w:p>
    <w:p w14:paraId="647BF5A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151.88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142.1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93.56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决算数小于年初预算数的主要原因是严格控制支出。</w:t>
      </w:r>
    </w:p>
    <w:p w14:paraId="75E4C10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10、社会保障和就业支出（类）其他社会保障和就业支出（款）其他社会保障和就业支出（项）。</w:t>
      </w:r>
    </w:p>
    <w:p w14:paraId="5421462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年初预算为2.73万元，支出决算为2.73万元，完成年初预算的100%。决算数等于年初预算数的主要原因是严格控制支出。</w:t>
      </w:r>
    </w:p>
    <w:p w14:paraId="78FFC116">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、卫生健康支出（类）行政事业单位医疗（款）事业单位医疗（项）。</w:t>
      </w:r>
    </w:p>
    <w:p w14:paraId="000D85D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98.78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98.78</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3EAED129">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12、住房保障支出</w:t>
      </w:r>
      <w:r>
        <w:rPr>
          <w:rFonts w:hint="eastAsia" w:ascii="仿宋_GB2312" w:hAnsi="仿宋_GB2312" w:eastAsia="仿宋_GB2312" w:cs="仿宋_GB2312"/>
          <w:sz w:val="32"/>
          <w:szCs w:val="32"/>
        </w:rPr>
        <w:t>（类）住房改革支出（款）住房公积金（项）。</w:t>
      </w:r>
    </w:p>
    <w:p w14:paraId="5209B10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109.5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严格控制支出</w:t>
      </w:r>
      <w:r>
        <w:rPr>
          <w:rFonts w:hint="eastAsia" w:ascii="仿宋_GB2312" w:hAnsi="仿宋_GB2312" w:eastAsia="仿宋_GB2312" w:cs="仿宋_GB2312"/>
          <w:sz w:val="32"/>
          <w:szCs w:val="32"/>
        </w:rPr>
        <w:t>。</w:t>
      </w:r>
    </w:p>
    <w:p w14:paraId="27A2862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13、社会保障和就业支出（类）残疾人事业（款）其他残疾人事业支出（项）</w:t>
      </w:r>
    </w:p>
    <w:p w14:paraId="63322F8B">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10.88</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51.47</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已安排残疾人就业</w:t>
      </w:r>
      <w:r>
        <w:rPr>
          <w:rFonts w:hint="eastAsia" w:ascii="仿宋_GB2312" w:hAnsi="仿宋_GB2312" w:eastAsia="仿宋_GB2312" w:cs="仿宋_GB2312"/>
          <w:sz w:val="32"/>
          <w:szCs w:val="32"/>
        </w:rPr>
        <w:t>。</w:t>
      </w:r>
    </w:p>
    <w:p w14:paraId="75ECA5AF">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14、社会保障和就业支出（类）抚恤（款）其他优抚支出（项）</w:t>
      </w:r>
    </w:p>
    <w:p w14:paraId="62E37A74">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23.16</w:t>
      </w:r>
      <w:r>
        <w:rPr>
          <w:rFonts w:hint="eastAsia" w:ascii="仿宋_GB2312" w:hAnsi="仿宋_GB2312" w:eastAsia="仿宋_GB2312" w:cs="仿宋_GB2312"/>
          <w:sz w:val="32"/>
          <w:szCs w:val="32"/>
        </w:rPr>
        <w:t>万元，决算数</w:t>
      </w:r>
      <w:r>
        <w:rPr>
          <w:rFonts w:hint="eastAsia" w:ascii="仿宋_GB2312" w:hAnsi="仿宋_GB2312" w:eastAsia="仿宋_GB2312" w:cs="仿宋_GB2312"/>
          <w:sz w:val="32"/>
          <w:szCs w:val="32"/>
          <w:lang w:eastAsia="zh-CN"/>
        </w:rPr>
        <w:t>大于</w:t>
      </w:r>
      <w:r>
        <w:rPr>
          <w:rFonts w:hint="eastAsia" w:ascii="仿宋_GB2312" w:hAnsi="仿宋_GB2312" w:eastAsia="仿宋_GB2312" w:cs="仿宋_GB2312"/>
          <w:sz w:val="32"/>
          <w:szCs w:val="32"/>
        </w:rPr>
        <w:t>年初预算数的主要原因是：</w:t>
      </w:r>
      <w:r>
        <w:rPr>
          <w:rFonts w:hint="eastAsia" w:ascii="仿宋_GB2312" w:hAnsi="仿宋_GB2312" w:eastAsia="仿宋_GB2312" w:cs="仿宋_GB2312"/>
          <w:sz w:val="32"/>
          <w:szCs w:val="32"/>
          <w:lang w:eastAsia="zh-CN"/>
        </w:rPr>
        <w:t>财政安排资金。</w:t>
      </w:r>
    </w:p>
    <w:p w14:paraId="373E8BA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293AEB61">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1838.45</w:t>
      </w:r>
      <w:r>
        <w:rPr>
          <w:rFonts w:hint="eastAsia" w:ascii="仿宋_GB2312" w:hAnsi="仿宋_GB2312" w:eastAsia="仿宋_GB2312" w:cs="仿宋_GB2312"/>
          <w:sz w:val="32"/>
          <w:szCs w:val="32"/>
        </w:rPr>
        <w:t>万元，其中：</w:t>
      </w:r>
    </w:p>
    <w:p w14:paraId="763B7849">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1724.08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93.78</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、绩效工资、机关事业单位基本养老保险缴费、职工基本医疗保险缴费、其他社会保障缴费、住房公积金、退休费、抚恤金、医疗费补助、奖励金、其他对个人和家庭的补助。</w:t>
      </w:r>
    </w:p>
    <w:p w14:paraId="4A2A5E3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114.37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6.22</w:t>
      </w:r>
      <w:r>
        <w:rPr>
          <w:rFonts w:hint="eastAsia" w:ascii="仿宋_GB2312" w:hAnsi="仿宋_GB2312" w:eastAsia="仿宋_GB2312" w:cs="仿宋_GB2312"/>
          <w:sz w:val="32"/>
          <w:szCs w:val="32"/>
        </w:rPr>
        <w:t>%，主要包括办公费、印刷费、水费</w:t>
      </w:r>
      <w:r>
        <w:rPr>
          <w:rFonts w:hint="eastAsia" w:ascii="仿宋_GB2312" w:hAnsi="仿宋_GB2312" w:eastAsia="仿宋_GB2312" w:cs="仿宋_GB2312"/>
          <w:sz w:val="32"/>
          <w:szCs w:val="32"/>
          <w:lang w:eastAsia="zh-CN"/>
        </w:rPr>
        <w:t>、电费、邮电费、物业管理费、差旅费、维修（护）费、培训费、公务接待费、工会经费、公务用车运行维护费、其他交通费用、</w:t>
      </w:r>
      <w:r>
        <w:rPr>
          <w:rFonts w:hint="eastAsia" w:ascii="仿宋_GB2312" w:hAnsi="仿宋_GB2312" w:eastAsia="仿宋_GB2312" w:cs="仿宋_GB2312"/>
          <w:sz w:val="32"/>
          <w:szCs w:val="32"/>
        </w:rPr>
        <w:t>其他商品和服务支出。</w:t>
      </w:r>
    </w:p>
    <w:p w14:paraId="238B276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12592558">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14:paraId="28BDC771">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64D19482">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highlight w:val="none"/>
          <w:lang w:val="en-US" w:eastAsia="zh-CN" w:bidi="ar-SA"/>
        </w:rPr>
        <w:t>；年末结转和结余0万元。</w:t>
      </w:r>
    </w:p>
    <w:p w14:paraId="5876C25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6298EF1D">
      <w:pPr>
        <w:pStyle w:val="14"/>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14:paraId="730E9443">
      <w:pPr>
        <w:pStyle w:val="14"/>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27</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23.99</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88.85</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3.32</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12.16</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eastAsia="zh-CN"/>
        </w:rPr>
        <w:t>公务用车运行维护及招待费减少</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cs="Times New Roman"/>
          <w:sz w:val="32"/>
          <w:szCs w:val="32"/>
          <w:lang w:eastAsia="zh-CN"/>
        </w:rPr>
        <w:t>公务用车运行维护及招待费减少</w:t>
      </w:r>
      <w:r>
        <w:rPr>
          <w:rFonts w:ascii="Times New Roman" w:hAnsi="Times New Roman" w:eastAsia="仿宋_GB2312" w:cs="Times New Roman"/>
          <w:sz w:val="32"/>
          <w:szCs w:val="32"/>
        </w:rPr>
        <w:t>。</w:t>
      </w:r>
    </w:p>
    <w:p w14:paraId="352D03A7">
      <w:pPr>
        <w:pStyle w:val="14"/>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14:paraId="1CF083E8">
      <w:pPr>
        <w:pStyle w:val="14"/>
        <w:overflowPunct w:val="0"/>
        <w:autoSpaceDE/>
        <w:autoSpaceDN/>
        <w:spacing w:line="600" w:lineRule="exact"/>
        <w:ind w:firstLine="640" w:firstLineChars="200"/>
        <w:jc w:val="both"/>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1.因公出国（境）费支出预算为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决算数等于年初预算数</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主要原因是我单位严格按预算执行决算；与上年一致，无增减变动，主要原因是未安排因公出国（境）活动。</w:t>
      </w:r>
      <w:r>
        <w:rPr>
          <w:rFonts w:hint="eastAsia" w:ascii="Times New Roman" w:hAnsi="Times New Roman" w:eastAsia="仿宋_GB2312" w:cs="Times New Roman"/>
          <w:sz w:val="32"/>
          <w:szCs w:val="32"/>
          <w:lang w:val="en-US" w:eastAsia="zh-CN"/>
        </w:rPr>
        <w:t>2024年度安排因公出（境）团组0个，累计0人次。</w:t>
      </w:r>
    </w:p>
    <w:p w14:paraId="65978CAB">
      <w:pPr>
        <w:pStyle w:val="14"/>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25</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22.71</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90.84</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3.31</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12.72</w:t>
      </w:r>
      <w:r>
        <w:rPr>
          <w:rFonts w:ascii="Times New Roman" w:hAnsi="Times New Roman" w:eastAsia="仿宋_GB2312" w:cs="Times New Roman"/>
          <w:sz w:val="32"/>
          <w:szCs w:val="32"/>
        </w:rPr>
        <w:t>%。其中：</w:t>
      </w:r>
    </w:p>
    <w:p w14:paraId="32B5DFC8">
      <w:pPr>
        <w:pStyle w:val="14"/>
        <w:overflowPunct w:val="0"/>
        <w:autoSpaceDE/>
        <w:autoSpaceDN/>
        <w:spacing w:line="600" w:lineRule="exact"/>
        <w:ind w:firstLine="640" w:firstLineChars="200"/>
        <w:jc w:val="both"/>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决算数等于年初预算数，主要原因是我单位严格按预算执行决算；与上年一致，无增减变动，主要原因是两年均未购置公务用车。本单位更新公务用车</w:t>
      </w:r>
      <w:r>
        <w:rPr>
          <w:rFonts w:hint="eastAsia" w:ascii="Times New Roman" w:hAnsi="Times New Roman" w:eastAsia="仿宋_GB2312" w:cs="Times New Roman"/>
          <w:sz w:val="32"/>
          <w:szCs w:val="32"/>
          <w:lang w:val="en-US" w:eastAsia="zh-CN"/>
        </w:rPr>
        <w:t>0辆。</w:t>
      </w:r>
    </w:p>
    <w:p w14:paraId="1D422951">
      <w:pPr>
        <w:pStyle w:val="14"/>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公务用车运行维护费支出预算为</w:t>
      </w:r>
      <w:r>
        <w:rPr>
          <w:rFonts w:hint="eastAsia" w:ascii="Times New Roman" w:hAnsi="Times New Roman" w:eastAsia="仿宋_GB2312" w:cs="Times New Roman"/>
          <w:sz w:val="32"/>
          <w:szCs w:val="32"/>
          <w:lang w:val="en-US" w:eastAsia="zh-CN"/>
        </w:rPr>
        <w:t>25</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22.71</w:t>
      </w:r>
      <w:r>
        <w:rPr>
          <w:rFonts w:ascii="Times New Roman" w:hAnsi="Times New Roman" w:eastAsia="仿宋_GB2312" w:cs="Times New Roman"/>
          <w:sz w:val="32"/>
          <w:szCs w:val="32"/>
        </w:rPr>
        <w:t>万元，</w:t>
      </w:r>
    </w:p>
    <w:p w14:paraId="75A272CE">
      <w:pPr>
        <w:pStyle w:val="14"/>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eastAsia="zh-CN"/>
        </w:rPr>
        <w:t>用于汽车汽油费、维修费和过路费</w:t>
      </w:r>
      <w:r>
        <w:rPr>
          <w:rFonts w:ascii="Times New Roman" w:hAnsi="Times New Roman" w:eastAsia="仿宋_GB2312" w:cs="Times New Roman"/>
          <w:sz w:val="32"/>
          <w:szCs w:val="32"/>
        </w:rPr>
        <w:t>支出，完成预算的</w:t>
      </w:r>
      <w:r>
        <w:rPr>
          <w:rFonts w:hint="eastAsia" w:ascii="Times New Roman" w:hAnsi="Times New Roman" w:eastAsia="仿宋_GB2312" w:cs="Times New Roman"/>
          <w:sz w:val="32"/>
          <w:szCs w:val="32"/>
          <w:lang w:val="en-US" w:eastAsia="zh-CN"/>
        </w:rPr>
        <w:t>90.84</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3.31</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12.72</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eastAsia="zh-CN"/>
        </w:rPr>
        <w:t>车辆维护费用控制减少支出</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cs="Times New Roman"/>
          <w:sz w:val="32"/>
          <w:szCs w:val="32"/>
          <w:lang w:eastAsia="zh-CN"/>
        </w:rPr>
        <w:t>车辆维护费用控制减少支出</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rPr>
        <w:t>2024年12月31日，我单位开支财政拨款的公务用车保有量为</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辆。</w:t>
      </w:r>
    </w:p>
    <w:p w14:paraId="039328FA">
      <w:pPr>
        <w:numPr>
          <w:ilvl w:val="0"/>
          <w:numId w:val="3"/>
        </w:numPr>
        <w:ind w:firstLine="640" w:firstLineChars="200"/>
        <w:rPr>
          <w:rFonts w:hint="eastAsia" w:ascii="Times New Roman" w:hAnsi="Times New Roman" w:eastAsia="仿宋_GB2312"/>
          <w:b/>
          <w:color w:val="auto"/>
          <w:sz w:val="32"/>
          <w:szCs w:val="32"/>
          <w:lang w:eastAsia="zh-CN"/>
        </w:rPr>
      </w:pP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1.29</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64.5</w:t>
      </w:r>
      <w:r>
        <w:rPr>
          <w:rFonts w:ascii="Times New Roman" w:hAnsi="Times New Roman" w:eastAsia="仿宋_GB2312" w:cs="Times New Roman"/>
          <w:sz w:val="32"/>
          <w:szCs w:val="32"/>
        </w:rPr>
        <w:t>%；与上年相比</w:t>
      </w:r>
      <w:r>
        <w:rPr>
          <w:rFonts w:hint="eastAsia" w:ascii="Times New Roman" w:hAnsi="Times New Roman" w:eastAsia="仿宋_GB2312" w:cs="Times New Roman"/>
          <w:sz w:val="32"/>
          <w:szCs w:val="32"/>
          <w:lang w:eastAsia="zh-CN"/>
        </w:rPr>
        <w:t>持平，</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严格控制三公经费</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eastAsia="zh-CN"/>
        </w:rPr>
        <w:t>招待人数和次数减少</w:t>
      </w:r>
      <w:r>
        <w:rPr>
          <w:rFonts w:ascii="Times New Roman" w:hAnsi="Times New Roman" w:eastAsia="仿宋_GB2312" w:cs="Times New Roman"/>
          <w:sz w:val="32"/>
          <w:szCs w:val="32"/>
        </w:rPr>
        <w:t>。决算数</w:t>
      </w:r>
      <w:r>
        <w:rPr>
          <w:rFonts w:hint="eastAsia" w:ascii="Times New Roman" w:hAnsi="Times New Roman" w:eastAsia="仿宋_GB2312" w:cs="Times New Roman"/>
          <w:sz w:val="32"/>
          <w:szCs w:val="32"/>
          <w:lang w:eastAsia="zh-CN"/>
        </w:rPr>
        <w:t>与</w:t>
      </w:r>
      <w:r>
        <w:rPr>
          <w:rFonts w:ascii="Times New Roman" w:hAnsi="Times New Roman" w:eastAsia="仿宋_GB2312" w:cs="Times New Roman"/>
          <w:sz w:val="32"/>
          <w:szCs w:val="32"/>
        </w:rPr>
        <w:t>上年数</w:t>
      </w:r>
      <w:r>
        <w:rPr>
          <w:rFonts w:hint="eastAsia" w:ascii="Times New Roman" w:hAnsi="Times New Roman" w:eastAsia="仿宋_GB2312" w:cs="Times New Roman"/>
          <w:sz w:val="32"/>
          <w:szCs w:val="32"/>
          <w:lang w:eastAsia="zh-CN"/>
        </w:rPr>
        <w:t>持平，</w:t>
      </w:r>
      <w:r>
        <w:rPr>
          <w:rFonts w:ascii="Times New Roman" w:hAnsi="Times New Roman" w:eastAsia="仿宋_GB2312" w:cs="Times New Roman"/>
          <w:sz w:val="32"/>
          <w:szCs w:val="32"/>
        </w:rPr>
        <w:t>主要原因是</w:t>
      </w:r>
      <w:r>
        <w:rPr>
          <w:rFonts w:hint="eastAsia" w:ascii="Times New Roman" w:hAnsi="Times New Roman" w:eastAsia="仿宋_GB2312" w:cs="Times New Roman"/>
          <w:sz w:val="32"/>
          <w:szCs w:val="32"/>
          <w:lang w:eastAsia="zh-CN"/>
        </w:rPr>
        <w:t>严格控制三公经费</w:t>
      </w:r>
      <w:r>
        <w:rPr>
          <w:rFonts w:ascii="Times New Roman" w:hAnsi="Times New Roman" w:eastAsia="仿宋_GB2312" w:cs="Times New Roman"/>
          <w:sz w:val="32"/>
          <w:szCs w:val="32"/>
        </w:rPr>
        <w:t>。2024年度共接待来访团组</w:t>
      </w:r>
      <w:r>
        <w:rPr>
          <w:rFonts w:hint="eastAsia" w:ascii="Times New Roman" w:hAnsi="Times New Roman" w:eastAsia="仿宋_GB2312" w:cs="Times New Roman"/>
          <w:sz w:val="32"/>
          <w:szCs w:val="32"/>
          <w:lang w:val="en-US" w:eastAsia="zh-CN"/>
        </w:rPr>
        <w:t>18</w:t>
      </w:r>
      <w:r>
        <w:rPr>
          <w:rFonts w:ascii="Times New Roman" w:hAnsi="Times New Roman" w:eastAsia="仿宋_GB2312" w:cs="Times New Roman"/>
          <w:sz w:val="32"/>
          <w:szCs w:val="32"/>
        </w:rPr>
        <w:t>个、来宾</w:t>
      </w:r>
      <w:r>
        <w:rPr>
          <w:rFonts w:hint="eastAsia" w:ascii="Times New Roman" w:hAnsi="Times New Roman" w:eastAsia="仿宋_GB2312" w:cs="Times New Roman"/>
          <w:sz w:val="32"/>
          <w:szCs w:val="32"/>
          <w:lang w:val="en-US" w:eastAsia="zh-CN"/>
        </w:rPr>
        <w:t>130</w:t>
      </w:r>
      <w:r>
        <w:rPr>
          <w:rFonts w:ascii="Times New Roman" w:hAnsi="Times New Roman" w:eastAsia="仿宋_GB2312" w:cs="Times New Roman"/>
          <w:sz w:val="32"/>
          <w:szCs w:val="32"/>
        </w:rPr>
        <w:t>人次，主要是</w:t>
      </w:r>
      <w:r>
        <w:rPr>
          <w:rFonts w:hint="eastAsia" w:ascii="Times New Roman" w:hAnsi="Times New Roman" w:eastAsia="仿宋_GB2312" w:cs="Times New Roman"/>
          <w:sz w:val="32"/>
          <w:szCs w:val="32"/>
          <w:lang w:eastAsia="zh-CN"/>
        </w:rPr>
        <w:t>用于检验业务活动协调开支</w:t>
      </w:r>
      <w:r>
        <w:rPr>
          <w:rFonts w:ascii="Times New Roman" w:hAnsi="Times New Roman" w:eastAsia="仿宋_GB2312" w:cs="Times New Roman"/>
          <w:sz w:val="32"/>
          <w:szCs w:val="32"/>
        </w:rPr>
        <w:t>发生的接待支出。</w:t>
      </w:r>
    </w:p>
    <w:p w14:paraId="3D06ACE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38BA3ACD">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114.37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比年初预算数减少</w:t>
      </w:r>
      <w:r>
        <w:rPr>
          <w:rFonts w:hint="eastAsia" w:ascii="仿宋_GB2312" w:hAnsi="仿宋_GB2312" w:eastAsia="仿宋_GB2312" w:cs="仿宋_GB2312"/>
          <w:sz w:val="32"/>
          <w:szCs w:val="32"/>
          <w:highlight w:val="none"/>
          <w:lang w:val="en-US" w:eastAsia="zh-CN"/>
        </w:rPr>
        <w:t>44.59</w:t>
      </w:r>
      <w:r>
        <w:rPr>
          <w:rFonts w:hint="eastAsia" w:ascii="仿宋_GB2312" w:hAnsi="仿宋_GB2312" w:eastAsia="仿宋_GB2312" w:cs="仿宋_GB2312"/>
          <w:sz w:val="32"/>
          <w:szCs w:val="32"/>
          <w:highlight w:val="none"/>
        </w:rPr>
        <w:t xml:space="preserve"> 万元，降低</w:t>
      </w:r>
      <w:r>
        <w:rPr>
          <w:rFonts w:hint="eastAsia" w:ascii="仿宋_GB2312" w:hAnsi="仿宋_GB2312" w:eastAsia="仿宋_GB2312" w:cs="仿宋_GB2312"/>
          <w:sz w:val="32"/>
          <w:szCs w:val="32"/>
          <w:highlight w:val="none"/>
          <w:lang w:val="en-US" w:eastAsia="zh-CN"/>
        </w:rPr>
        <w:t>28.05</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eastAsia="zh-CN"/>
        </w:rPr>
        <w:t>人员减少及控制公用经费开支</w:t>
      </w:r>
      <w:r>
        <w:rPr>
          <w:rFonts w:hint="eastAsia" w:ascii="楷体" w:hAnsi="楷体" w:eastAsia="楷体" w:cs="楷体"/>
          <w:sz w:val="32"/>
          <w:szCs w:val="32"/>
        </w:rPr>
        <w:t>。</w:t>
      </w:r>
    </w:p>
    <w:p w14:paraId="39684EF2">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5E588319">
      <w:pPr>
        <w:pStyle w:val="14"/>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w:t>
      </w:r>
      <w:r>
        <w:rPr>
          <w:rFonts w:hint="eastAsia" w:ascii="Times New Roman" w:hAnsi="Times New Roman" w:eastAsia="仿宋_GB2312" w:cs="Times New Roman"/>
          <w:sz w:val="32"/>
          <w:szCs w:val="32"/>
          <w:lang w:eastAsia="zh-CN"/>
        </w:rPr>
        <w:t>决算数等于年初预算数的主要原因是本单位无会议费的预算和支出决算数</w:t>
      </w:r>
      <w:r>
        <w:rPr>
          <w:rFonts w:hint="eastAsia" w:ascii="仿宋_GB2312" w:hAnsi="仿宋_GB2312" w:eastAsia="仿宋_GB2312" w:cs="仿宋_GB2312"/>
          <w:sz w:val="32"/>
          <w:szCs w:val="32"/>
          <w:lang w:val="en-US" w:eastAsia="zh-CN"/>
        </w:rPr>
        <w:t>。</w:t>
      </w:r>
    </w:p>
    <w:p w14:paraId="6BF19328">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培训费年初预算0万元，支出决算为6.5万元，决算数大于年初预算数的主要原因是年初预算没有安排培训费支出。用于开展计量食药纤检等业务知识方面的培训，</w:t>
      </w:r>
      <w:r>
        <w:rPr>
          <w:rFonts w:hint="eastAsia" w:ascii="仿宋_GB2312" w:hAnsi="仿宋_GB2312" w:eastAsia="仿宋_GB2312" w:cs="仿宋_GB2312"/>
          <w:color w:val="auto"/>
          <w:kern w:val="0"/>
          <w:sz w:val="32"/>
          <w:szCs w:val="32"/>
          <w:lang w:val="en-US" w:eastAsia="zh-CN" w:bidi="ar-SA"/>
        </w:rPr>
        <w:t>人数35人，</w:t>
      </w:r>
      <w:r>
        <w:rPr>
          <w:rFonts w:hint="eastAsia" w:ascii="仿宋_GB2312" w:hAnsi="仿宋_GB2312" w:eastAsia="仿宋_GB2312" w:cs="仿宋_GB2312"/>
          <w:color w:val="000000"/>
          <w:kern w:val="0"/>
          <w:sz w:val="32"/>
          <w:szCs w:val="32"/>
          <w:lang w:val="en-US" w:eastAsia="zh-CN" w:bidi="ar-SA"/>
        </w:rPr>
        <w:t>内容为计量食药纤检等业务知识方面培训。</w:t>
      </w:r>
    </w:p>
    <w:p w14:paraId="39C2EAB5">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w:t>
      </w:r>
      <w:r>
        <w:rPr>
          <w:rFonts w:hint="eastAsia" w:ascii="Times New Roman" w:hAnsi="Times New Roman" w:eastAsia="仿宋_GB2312" w:cs="Times New Roman"/>
          <w:sz w:val="32"/>
          <w:szCs w:val="32"/>
          <w:lang w:eastAsia="zh-CN"/>
        </w:rPr>
        <w:t>决算数等于年初预算数的主要原因是</w:t>
      </w:r>
      <w:r>
        <w:rPr>
          <w:rFonts w:hint="eastAsia" w:ascii="Times New Roman" w:hAnsi="Times New Roman" w:eastAsia="仿宋_GB2312" w:cs="Times New Roman"/>
          <w:sz w:val="32"/>
          <w:szCs w:val="32"/>
          <w:lang w:val="en-US" w:eastAsia="zh-CN"/>
        </w:rPr>
        <w:t>本单位无举办节庆、晚会、论坛、赛事等活动的预算和支出决算数。</w:t>
      </w:r>
    </w:p>
    <w:p w14:paraId="252D0BEE">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4120C9CB">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256.46</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161.32</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95.14</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256.46</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221.57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86.40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62.92</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37.08</w:t>
      </w:r>
      <w:r>
        <w:rPr>
          <w:rFonts w:hint="eastAsia" w:ascii="仿宋_GB2312" w:hAnsi="仿宋_GB2312" w:eastAsia="仿宋_GB2312" w:cs="仿宋_GB2312"/>
          <w:color w:val="auto"/>
          <w:sz w:val="32"/>
          <w:szCs w:val="32"/>
        </w:rPr>
        <w:t>%。</w:t>
      </w:r>
    </w:p>
    <w:p w14:paraId="246A0DF6">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37C9D953">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辆，其他用车主要是</w:t>
      </w:r>
      <w:r>
        <w:rPr>
          <w:rFonts w:hint="eastAsia" w:ascii="仿宋_GB2312" w:hAnsi="仿宋_GB2312" w:eastAsia="仿宋_GB2312" w:cs="仿宋_GB2312"/>
          <w:color w:val="auto"/>
          <w:sz w:val="32"/>
          <w:szCs w:val="32"/>
          <w:lang w:eastAsia="zh-CN"/>
        </w:rPr>
        <w:t>用于检验检测业务</w:t>
      </w:r>
      <w:r>
        <w:rPr>
          <w:rFonts w:hint="eastAsia" w:ascii="仿宋_GB2312" w:hAnsi="仿宋_GB2312" w:eastAsia="仿宋_GB2312" w:cs="仿宋_GB2312"/>
          <w:color w:val="auto"/>
          <w:sz w:val="32"/>
          <w:szCs w:val="32"/>
        </w:rPr>
        <w:t>；单位价值100万元以上设备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台（套）。</w:t>
      </w:r>
    </w:p>
    <w:p w14:paraId="0A8224AC">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14:paraId="0EB60D67">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14:paraId="3E6B6DCD">
      <w:pPr>
        <w:overflowPunct w:val="0"/>
        <w:spacing w:line="600" w:lineRule="exact"/>
        <w:ind w:firstLine="640" w:firstLineChars="200"/>
        <w:rPr>
          <w:rFonts w:hint="eastAsia" w:ascii="Times New Roman" w:hAnsi="Times New Roman" w:eastAsia="仿宋_GB2312" w:cs="Times New Roman"/>
          <w:kern w:val="0"/>
          <w:sz w:val="32"/>
          <w:szCs w:val="32"/>
          <w:highlight w:val="none"/>
          <w:lang w:eastAsia="zh-CN"/>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kern w:val="0"/>
          <w:sz w:val="32"/>
          <w:szCs w:val="32"/>
        </w:rPr>
        <w:t>个，共涉及资金</w:t>
      </w:r>
      <w:r>
        <w:rPr>
          <w:rFonts w:hint="eastAsia" w:ascii="Times New Roman" w:hAnsi="Times New Roman" w:eastAsia="仿宋_GB2312" w:cs="Times New Roman"/>
          <w:kern w:val="0"/>
          <w:sz w:val="32"/>
          <w:szCs w:val="32"/>
          <w:lang w:val="en-US" w:eastAsia="zh-CN"/>
        </w:rPr>
        <w:t>440</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440</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100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14:paraId="27BD70C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根据预算绩效管理要求，我们组织对2024年度整体支出和项目资金实施了全覆盖性的绩效评价，撰写了绩效自评报告。</w:t>
      </w:r>
    </w:p>
    <w:p w14:paraId="6FC8205B">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14:paraId="7EAB32F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2673.96</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2673.96</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98</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优</w:t>
      </w:r>
      <w:r>
        <w:rPr>
          <w:rFonts w:ascii="Times New Roman" w:hAnsi="Times New Roman" w:eastAsia="仿宋_GB2312" w:cs="Times New Roman"/>
          <w:sz w:val="32"/>
          <w:szCs w:val="32"/>
        </w:rPr>
        <w:t>”。绩效目标完成情况</w:t>
      </w:r>
      <w:r>
        <w:rPr>
          <w:rFonts w:hint="eastAsia" w:ascii="Times New Roman" w:hAnsi="Times New Roman" w:eastAsia="仿宋_GB2312" w:cs="Times New Roman"/>
          <w:sz w:val="32"/>
          <w:szCs w:val="32"/>
          <w:lang w:val="en-US" w:eastAsia="zh-CN"/>
        </w:rPr>
        <w:t>:</w:t>
      </w:r>
    </w:p>
    <w:p w14:paraId="3696975E">
      <w:pPr>
        <w:pStyle w:val="2"/>
        <w:numPr>
          <w:ilvl w:val="0"/>
          <w:numId w:val="0"/>
        </w:numPr>
        <w:ind w:firstLine="640" w:firstLineChars="200"/>
        <w:rPr>
          <w:rFonts w:hint="eastAsia" w:ascii="Times New Roman" w:hAnsi="Times New Roman" w:eastAsia="仿宋_GB2312" w:cs="Times New Roman"/>
          <w:b/>
          <w:bCs/>
          <w:color w:val="000000"/>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（1）运行成本</w:t>
      </w:r>
    </w:p>
    <w:p w14:paraId="45A8C45F">
      <w:pPr>
        <w:pStyle w:val="2"/>
        <w:numPr>
          <w:ilvl w:val="0"/>
          <w:numId w:val="0"/>
        </w:numPr>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 xml:space="preserve">     2024年岳阳市检验检测中心全年预算2673.96万，全年执行2673.96万，执行率100%。主要支出为人员工资及检验检测业务相关产生的费用。</w:t>
      </w:r>
    </w:p>
    <w:p w14:paraId="232E7B2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（2）管理效率</w:t>
      </w:r>
    </w:p>
    <w:p w14:paraId="58A1D5A2">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根据《岳阳市检验检测中心质量管理手册》、《岳阳市检验检测中心程序文件》、《岳阳市检验检测中心内控管理制度》、《岳阳市检验检测中心财务管理制度》，进一步规范了业务流程，充分发挥财政资金引导作用，规范和加强专项资金管理,提高资金使用效益,有力地推动了岳阳市检验检测各项工作的开展。</w:t>
      </w:r>
    </w:p>
    <w:p w14:paraId="62B2827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（3）履职效能</w:t>
      </w:r>
    </w:p>
    <w:p w14:paraId="432AD94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按照“双随机，一公开”以及“行业覆盖、区域覆盖、产品覆盖”的原则，全面完成食品、药品、工业产品等行业的监督抽查和检验业务，已备案的强检计量器具检定，以及国家下达的棉花公检任务。</w:t>
      </w:r>
      <w:r>
        <w:rPr>
          <w:rFonts w:hint="eastAsia" w:ascii="仿宋_GB2312" w:eastAsia="仿宋_GB2312"/>
          <w:color w:val="000000"/>
          <w:sz w:val="32"/>
          <w:szCs w:val="32"/>
        </w:rPr>
        <w:t>全年共完成</w:t>
      </w:r>
      <w:r>
        <w:rPr>
          <w:rFonts w:hint="eastAsia" w:ascii="仿宋_GB2312" w:eastAsia="仿宋_GB2312"/>
          <w:color w:val="000000"/>
          <w:sz w:val="32"/>
          <w:szCs w:val="32"/>
          <w:lang w:eastAsia="zh-CN"/>
        </w:rPr>
        <w:t>重点工业产品</w:t>
      </w:r>
      <w:r>
        <w:rPr>
          <w:rFonts w:hint="eastAsia" w:ascii="仿宋_GB2312" w:eastAsia="仿宋_GB2312"/>
          <w:color w:val="000000"/>
          <w:sz w:val="32"/>
          <w:szCs w:val="32"/>
        </w:rPr>
        <w:t>监督抽样和检验</w:t>
      </w:r>
      <w:r>
        <w:rPr>
          <w:rFonts w:hint="eastAsia" w:ascii="仿宋_GB2312" w:eastAsia="仿宋_GB2312"/>
          <w:color w:val="000000"/>
          <w:sz w:val="32"/>
          <w:szCs w:val="32"/>
          <w:lang w:val="en-US" w:eastAsia="zh-CN"/>
        </w:rPr>
        <w:t>572</w:t>
      </w:r>
      <w:r>
        <w:rPr>
          <w:rFonts w:hint="eastAsia" w:ascii="仿宋_GB2312" w:eastAsia="仿宋_GB2312"/>
          <w:color w:val="000000"/>
          <w:sz w:val="32"/>
          <w:szCs w:val="32"/>
        </w:rPr>
        <w:t>批次，检出不合格产品</w:t>
      </w:r>
      <w:r>
        <w:rPr>
          <w:rFonts w:hint="eastAsia" w:ascii="仿宋_GB2312" w:eastAsia="仿宋_GB2312"/>
          <w:color w:val="000000"/>
          <w:sz w:val="32"/>
          <w:szCs w:val="32"/>
          <w:lang w:val="en-US" w:eastAsia="zh-CN"/>
        </w:rPr>
        <w:t>30</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委托检验</w:t>
      </w:r>
      <w:r>
        <w:rPr>
          <w:rFonts w:hint="eastAsia" w:ascii="仿宋_GB2312" w:eastAsia="仿宋_GB2312"/>
          <w:color w:val="000000"/>
          <w:sz w:val="32"/>
          <w:szCs w:val="32"/>
          <w:lang w:val="en-US" w:eastAsia="zh-CN"/>
        </w:rPr>
        <w:t>1036</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新疆监管棉</w:t>
      </w:r>
      <w:r>
        <w:rPr>
          <w:rFonts w:hint="eastAsia" w:ascii="仿宋_GB2312" w:eastAsia="仿宋_GB2312"/>
          <w:color w:val="000000"/>
          <w:sz w:val="32"/>
          <w:szCs w:val="32"/>
          <w:lang w:val="en-US" w:eastAsia="zh-CN"/>
        </w:rPr>
        <w:t>4.5</w:t>
      </w:r>
      <w:r>
        <w:rPr>
          <w:rFonts w:hint="eastAsia" w:ascii="仿宋_GB2312" w:eastAsia="仿宋_GB2312"/>
          <w:color w:val="000000"/>
          <w:sz w:val="32"/>
          <w:szCs w:val="32"/>
        </w:rPr>
        <w:t>万余吨，内地监管棉0.3万吨</w:t>
      </w:r>
      <w:r>
        <w:rPr>
          <w:rFonts w:hint="eastAsia" w:ascii="仿宋_GB2312" w:eastAsia="仿宋_GB2312"/>
          <w:color w:val="000000"/>
          <w:sz w:val="32"/>
          <w:szCs w:val="32"/>
          <w:lang w:eastAsia="zh-CN"/>
        </w:rPr>
        <w:t>；</w:t>
      </w:r>
      <w:r>
        <w:rPr>
          <w:rFonts w:hint="eastAsia" w:ascii="仿宋_GB2312" w:eastAsia="仿宋_GB2312"/>
          <w:color w:val="000000"/>
          <w:sz w:val="32"/>
          <w:szCs w:val="32"/>
        </w:rPr>
        <w:t>完成食品监督抽检</w:t>
      </w:r>
      <w:r>
        <w:rPr>
          <w:rFonts w:hint="eastAsia" w:ascii="仿宋_GB2312" w:eastAsia="仿宋_GB2312"/>
          <w:color w:val="000000"/>
          <w:sz w:val="32"/>
          <w:szCs w:val="32"/>
          <w:lang w:val="en-US" w:eastAsia="zh-CN"/>
        </w:rPr>
        <w:t>884</w:t>
      </w:r>
      <w:r>
        <w:rPr>
          <w:rFonts w:hint="eastAsia" w:ascii="仿宋_GB2312" w:eastAsia="仿宋_GB2312"/>
          <w:color w:val="000000"/>
          <w:sz w:val="32"/>
          <w:szCs w:val="32"/>
        </w:rPr>
        <w:t>批次，检出不合格</w:t>
      </w:r>
      <w:r>
        <w:rPr>
          <w:rFonts w:hint="eastAsia" w:ascii="仿宋_GB2312" w:eastAsia="仿宋_GB2312"/>
          <w:color w:val="000000"/>
          <w:sz w:val="32"/>
          <w:szCs w:val="32"/>
          <w:lang w:val="en-US" w:eastAsia="zh-CN"/>
        </w:rPr>
        <w:t>27</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，食品委托检验97批次，粮食风险监测抽检372批次；完成药品监督抽检444批次，检出不合格1批次，药品委托检验114批次；</w:t>
      </w:r>
      <w:r>
        <w:rPr>
          <w:rFonts w:hint="eastAsia" w:ascii="仿宋_GB2312" w:eastAsia="仿宋_GB2312"/>
          <w:color w:val="000000"/>
          <w:sz w:val="32"/>
          <w:szCs w:val="32"/>
        </w:rPr>
        <w:t>完成农产品例行监测、风险监测、监督抽查任务</w:t>
      </w:r>
      <w:r>
        <w:rPr>
          <w:rFonts w:hint="eastAsia" w:ascii="仿宋_GB2312" w:eastAsia="仿宋_GB2312"/>
          <w:color w:val="000000"/>
          <w:sz w:val="32"/>
          <w:szCs w:val="32"/>
          <w:lang w:val="en-US" w:eastAsia="zh-CN"/>
        </w:rPr>
        <w:t>2846</w:t>
      </w:r>
      <w:r>
        <w:rPr>
          <w:rFonts w:hint="eastAsia" w:ascii="仿宋_GB2312" w:eastAsia="仿宋_GB2312"/>
          <w:color w:val="000000"/>
          <w:sz w:val="32"/>
          <w:szCs w:val="32"/>
        </w:rPr>
        <w:t>批次，检出不合格</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批次</w:t>
      </w:r>
      <w:r>
        <w:rPr>
          <w:rFonts w:hint="eastAsia" w:ascii="仿宋_GB2312" w:eastAsia="仿宋_GB2312"/>
          <w:color w:val="000000"/>
          <w:sz w:val="32"/>
          <w:szCs w:val="32"/>
          <w:lang w:eastAsia="zh-CN"/>
        </w:rPr>
        <w:t>；</w:t>
      </w:r>
      <w:r>
        <w:rPr>
          <w:rFonts w:hint="eastAsia" w:ascii="仿宋_GB2312" w:eastAsia="仿宋_GB2312"/>
          <w:color w:val="000000"/>
          <w:sz w:val="32"/>
          <w:szCs w:val="32"/>
        </w:rPr>
        <w:t>完成强检计量器具检定</w:t>
      </w:r>
      <w:r>
        <w:rPr>
          <w:rFonts w:hint="eastAsia" w:ascii="仿宋_GB2312" w:eastAsia="仿宋_GB2312"/>
          <w:color w:val="000000"/>
          <w:sz w:val="32"/>
          <w:szCs w:val="32"/>
          <w:lang w:val="en-US" w:eastAsia="zh-CN"/>
        </w:rPr>
        <w:t>60249</w:t>
      </w:r>
      <w:r>
        <w:rPr>
          <w:rFonts w:hint="eastAsia" w:ascii="仿宋_GB2312" w:eastAsia="仿宋_GB2312"/>
          <w:color w:val="000000"/>
          <w:sz w:val="32"/>
          <w:szCs w:val="32"/>
        </w:rPr>
        <w:t>台件</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非强检计量器具检定</w:t>
      </w:r>
      <w:r>
        <w:rPr>
          <w:rFonts w:hint="eastAsia" w:ascii="仿宋_GB2312" w:eastAsia="仿宋_GB2312"/>
          <w:color w:val="000000"/>
          <w:sz w:val="32"/>
          <w:szCs w:val="32"/>
          <w:lang w:val="en-US" w:eastAsia="zh-CN"/>
        </w:rPr>
        <w:t>17104</w:t>
      </w:r>
      <w:r>
        <w:rPr>
          <w:rFonts w:hint="eastAsia" w:ascii="仿宋_GB2312" w:eastAsia="仿宋_GB2312"/>
          <w:color w:val="000000"/>
          <w:sz w:val="32"/>
          <w:szCs w:val="32"/>
        </w:rPr>
        <w:t>台件。</w:t>
      </w:r>
    </w:p>
    <w:p w14:paraId="5344EC2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（4）社会效应</w:t>
      </w:r>
    </w:p>
    <w:p w14:paraId="0F603F52">
      <w:pPr>
        <w:pStyle w:val="2"/>
        <w:numPr>
          <w:ilvl w:val="0"/>
          <w:numId w:val="0"/>
        </w:numPr>
        <w:rPr>
          <w:rFonts w:hint="eastAsia" w:ascii="仿宋_GB2312" w:hAnsi="仿宋" w:eastAsia="仿宋_GB2312" w:cs="Times New Roman"/>
          <w:color w:val="000000"/>
          <w:kern w:val="0"/>
          <w:sz w:val="32"/>
          <w:szCs w:val="32"/>
          <w:lang w:val="en-US" w:eastAsia="zh-CN" w:bidi="ar-SA"/>
        </w:rPr>
      </w:pPr>
      <w:r>
        <w:rPr>
          <w:rFonts w:hint="eastAsia" w:ascii="仿宋_GB2312" w:hAnsi="仿宋" w:eastAsia="仿宋_GB2312" w:cs="Times New Roman"/>
          <w:color w:val="000000"/>
          <w:kern w:val="0"/>
          <w:sz w:val="32"/>
          <w:szCs w:val="32"/>
          <w:lang w:val="en-US" w:eastAsia="zh-CN" w:bidi="ar-SA"/>
        </w:rPr>
        <w:t>一</w:t>
      </w:r>
      <w:r>
        <w:rPr>
          <w:rFonts w:hint="eastAsia" w:ascii="仿宋_GB2312" w:hAnsi="仿宋_GB2312" w:eastAsia="仿宋_GB2312" w:cs="仿宋_GB2312"/>
          <w:color w:val="000000"/>
          <w:sz w:val="32"/>
          <w:szCs w:val="32"/>
          <w:lang w:val="en-US" w:eastAsia="zh-CN"/>
        </w:rPr>
        <w:t>、</w:t>
      </w:r>
      <w:r>
        <w:rPr>
          <w:rFonts w:hint="eastAsia" w:ascii="仿宋_GB2312" w:hAnsi="仿宋" w:eastAsia="仿宋_GB2312" w:cs="Times New Roman"/>
          <w:color w:val="000000"/>
          <w:kern w:val="0"/>
          <w:sz w:val="32"/>
          <w:szCs w:val="32"/>
          <w:lang w:val="en-US" w:eastAsia="zh-CN" w:bidi="ar-SA"/>
        </w:rPr>
        <w:t>中心大力倡导科研立本，努力在科研立项上不断取得新突破、新成绩、新亮点。参加《湖南省中药材标准》三木通、显齿蛇葡萄、三七花三个标准的修订。</w:t>
      </w:r>
    </w:p>
    <w:p w14:paraId="0B4CEE83">
      <w:pPr>
        <w:pStyle w:val="9"/>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仿宋" w:hAnsi="仿宋" w:eastAsia="仿宋" w:cs="仿宋"/>
          <w:b w:val="0"/>
          <w:bCs w:val="0"/>
          <w:color w:val="000000"/>
          <w:sz w:val="32"/>
          <w:szCs w:val="32"/>
          <w:lang w:val="en-US" w:eastAsia="zh-CN"/>
        </w:rPr>
      </w:pPr>
      <w:r>
        <w:rPr>
          <w:rFonts w:hint="eastAsia" w:ascii="仿宋_GB2312" w:hAnsi="仿宋" w:eastAsia="仿宋_GB2312" w:cs="Times New Roman"/>
          <w:color w:val="000000"/>
          <w:kern w:val="0"/>
          <w:sz w:val="32"/>
          <w:szCs w:val="32"/>
          <w:lang w:val="en-US" w:eastAsia="zh-CN" w:bidi="ar-SA"/>
        </w:rPr>
        <w:t>二</w:t>
      </w:r>
      <w:r>
        <w:rPr>
          <w:rFonts w:hint="eastAsia" w:ascii="仿宋_GB2312" w:hAnsi="仿宋_GB2312" w:eastAsia="仿宋_GB2312" w:cs="仿宋_GB2312"/>
          <w:color w:val="000000"/>
          <w:sz w:val="32"/>
          <w:szCs w:val="32"/>
          <w:lang w:val="en-US" w:eastAsia="zh-CN"/>
        </w:rPr>
        <w:t>、</w:t>
      </w:r>
      <w:r>
        <w:rPr>
          <w:rFonts w:hint="eastAsia" w:ascii="仿宋" w:hAnsi="仿宋" w:eastAsia="仿宋" w:cs="仿宋"/>
          <w:color w:val="000000"/>
          <w:sz w:val="32"/>
          <w:szCs w:val="32"/>
          <w:lang w:val="en-US" w:eastAsia="zh-CN"/>
        </w:rPr>
        <w:t>高质量完成省计量处《关于批准2024年度新建社会公用计量标准项目的通知》中我市四项新建计量高标考核。</w:t>
      </w:r>
      <w:r>
        <w:rPr>
          <w:rFonts w:hint="eastAsia" w:ascii="仿宋" w:hAnsi="仿宋" w:eastAsia="仿宋" w:cs="仿宋"/>
          <w:b w:val="0"/>
          <w:bCs w:val="0"/>
          <w:color w:val="000000"/>
          <w:sz w:val="32"/>
          <w:szCs w:val="32"/>
          <w:lang w:val="en-US" w:eastAsia="zh-CN"/>
        </w:rPr>
        <w:t>这次新建的4项计量标准中有耳温计检定装置、人体电子温度计检定装置、综合验光仪检定装置、尿素加注机检定装置等，建标完成后将极大的满足我市生产生活的需求，解决群众身边的切身计量问题，同时提升我所的技术能力和业务水平。</w:t>
      </w:r>
    </w:p>
    <w:p w14:paraId="3A822323">
      <w:pPr>
        <w:pStyle w:val="2"/>
        <w:numPr>
          <w:ilvl w:val="0"/>
          <w:numId w:val="0"/>
        </w:numPr>
        <w:rPr>
          <w:rFonts w:hint="eastAsia" w:ascii="仿宋_GB2312" w:hAnsi="仿宋_GB2312" w:eastAsia="仿宋_GB2312" w:cs="仿宋_GB2312"/>
          <w:color w:val="FF0000"/>
          <w:sz w:val="32"/>
          <w:szCs w:val="32"/>
          <w:lang w:val="en-US" w:eastAsia="zh-CN"/>
        </w:rPr>
      </w:pPr>
      <w:r>
        <w:rPr>
          <w:rFonts w:hint="eastAsia" w:ascii="仿宋_GB2312" w:eastAsia="仿宋_GB2312" w:cs="Times New Roman"/>
          <w:color w:val="000000"/>
          <w:kern w:val="0"/>
          <w:sz w:val="32"/>
          <w:szCs w:val="32"/>
          <w:lang w:val="en-US" w:eastAsia="zh-CN" w:bidi="ar-SA"/>
        </w:rPr>
        <w:t>三</w:t>
      </w:r>
      <w:r>
        <w:rPr>
          <w:rFonts w:hint="eastAsia" w:ascii="仿宋_GB2312" w:hAnsi="仿宋_GB2312" w:eastAsia="仿宋_GB2312" w:cs="仿宋_GB2312"/>
          <w:color w:val="000000"/>
          <w:sz w:val="32"/>
          <w:szCs w:val="32"/>
          <w:lang w:val="en-US" w:eastAsia="zh-CN"/>
        </w:rPr>
        <w:t>、</w:t>
      </w:r>
      <w:r>
        <w:rPr>
          <w:rFonts w:hint="eastAsia" w:ascii="仿宋" w:hAnsi="仿宋" w:eastAsia="仿宋" w:cs="仿宋"/>
          <w:color w:val="000000"/>
          <w:sz w:val="32"/>
          <w:szCs w:val="32"/>
          <w:lang w:val="en-US" w:eastAsia="zh-CN"/>
        </w:rPr>
        <w:t>持续开展“计量服务中小企业行”共帮扶5家企业，分别为</w:t>
      </w:r>
      <w:r>
        <w:rPr>
          <w:rFonts w:hint="eastAsia" w:ascii="仿宋" w:hAnsi="仿宋" w:eastAsia="仿宋" w:cs="仿宋"/>
          <w:color w:val="000000"/>
          <w:sz w:val="32"/>
          <w:szCs w:val="32"/>
          <w:vertAlign w:val="baseline"/>
          <w:lang w:val="en-US" w:eastAsia="zh-CN"/>
        </w:rPr>
        <w:t>岳阳金瀚高新技术股份有限公</w:t>
      </w:r>
      <w:bookmarkStart w:id="0" w:name="_GoBack"/>
      <w:bookmarkEnd w:id="0"/>
      <w:r>
        <w:rPr>
          <w:rFonts w:hint="eastAsia" w:ascii="仿宋" w:hAnsi="仿宋" w:eastAsia="仿宋" w:cs="仿宋"/>
          <w:color w:val="000000"/>
          <w:sz w:val="32"/>
          <w:szCs w:val="32"/>
          <w:vertAlign w:val="baseline"/>
          <w:lang w:val="en-US" w:eastAsia="zh-CN"/>
        </w:rPr>
        <w:t>司、湖南堂市食品有限公司、湖南不二家食品有限公司、湖南格美特生物科技有限公司、岳阳正和建材科技有限公司等，为他们减免检定费约5万元。</w:t>
      </w:r>
    </w:p>
    <w:p w14:paraId="6F4AFB4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p>
    <w:p w14:paraId="341EC547">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p>
    <w:p w14:paraId="4FB4402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p>
    <w:p w14:paraId="6E07525B">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（5）可持续发展能力</w:t>
      </w:r>
    </w:p>
    <w:p w14:paraId="41BB727C">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中心坚持强基固本，提升基础技术能力，紧贴政府经济工作，适应检验检定市场需求，合理的开发和利用资源，实现科学管理服务社会可持续发展。</w:t>
      </w:r>
    </w:p>
    <w:p w14:paraId="5A1E92AE">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bidi="ar-SA"/>
        </w:rPr>
        <w:t>（6）服务对象满意度</w:t>
      </w:r>
    </w:p>
    <w:p w14:paraId="0A86A40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2024年市食品、药品、农产品、保健品、化妆品、医疗器械、棉花及棉花制品、纤维制品、磁力设备的检验服务企业满意度99%。</w:t>
      </w:r>
    </w:p>
    <w:p w14:paraId="032091E5">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89C3F2D">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仿宋_GB2312" w:hAnsi="仿宋_GB2312" w:eastAsia="仿宋_GB2312" w:cs="仿宋_GB2312"/>
          <w:b w:val="0"/>
          <w:bCs w:val="0"/>
          <w:color w:val="000000"/>
          <w:kern w:val="0"/>
          <w:sz w:val="32"/>
          <w:szCs w:val="32"/>
          <w:lang w:val="en-US" w:eastAsia="zh-CN" w:bidi="ar-SA"/>
        </w:rPr>
        <w:t>发现的主要问题及原因：一是预算编制与实际支出项目存在差异，预算编制有待更严格的执行。二是虽然实施绩效管理后财政预算资金管理精细化水平已有所提高，但在部分绩效指标设置的精准性、合理性上有待进一步改善。三是</w:t>
      </w:r>
      <w:r>
        <w:rPr>
          <w:rFonts w:hint="default" w:ascii="Times New Roman" w:hAnsi="Times New Roman" w:eastAsia="仿宋_GB2312" w:cs="Times New Roman"/>
          <w:sz w:val="32"/>
          <w:szCs w:val="32"/>
          <w:highlight w:val="none"/>
        </w:rPr>
        <w:t>固定资产管理不够规范，调拨、处置等程序有待不够及时。</w:t>
      </w:r>
      <w:r>
        <w:rPr>
          <w:rFonts w:hint="eastAsia" w:ascii="Times New Roman" w:hAnsi="Times New Roman" w:eastAsia="仿宋_GB2312" w:cs="Times New Roman"/>
          <w:sz w:val="32"/>
          <w:szCs w:val="32"/>
          <w:highlight w:val="none"/>
          <w:lang w:eastAsia="zh-CN"/>
        </w:rPr>
        <w:t>四是财政财务管理越来越规范，对内部控制管理、资产管理、预算绩效管理、新政府会计制度核算管理等对财务人员专业素质要求越来越高，目前财务人员综合能力亟待提升。</w:t>
      </w:r>
    </w:p>
    <w:p w14:paraId="17D775DE">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下一步改进措施：一是严格按照预算规定的项目和用途开展财务审计，经费支出严格按预算规定项目的财务支出内容进行财务预算，在预算金额内严控费用支出。推动建立过紧日子的长效机制。推进预算一体化系统建设，使预算管理水平更上台阶。加强预算绩效管理，从数量、质量、成本和时效等方面进行绩效目标细化，进一步提高预算绩效目标制定的科学性、合理性。项目实施过程中，加强预算绩效执行监控，跟踪实施动态绩效，不断提高财政资金使用效益；二是规范账务处理，提高财务信息质量。严格按照《会计法》、《事业单位会计制度》、《事业单位财务规则》等规定执行财务核算，并结合实际情况，完整、准确地披露相关信息。三是加强固定资产管理，提高固定资产利用率，对调拨和处置的资产及时进行账务处理，做到账实相符。四是</w:t>
      </w:r>
      <w:r>
        <w:rPr>
          <w:rFonts w:hint="default"/>
        </w:rPr>
        <w:t>加强事业单位会计制度和新预算法的学习培训，落实预算执行分析，及时了解预算执行差异，合理调整、纠正预算执行偏差，切实提高部门预算收支管理水平。</w:t>
      </w:r>
      <w:r>
        <w:rPr>
          <w:rFonts w:hint="eastAsia"/>
          <w:lang w:eastAsia="zh-CN"/>
        </w:rPr>
        <w:t>五是针对重点项目绩效评价，加强事前事中事后监管，保障资金使用效率，引入第三方专业机构进行绩效监控及后评价工作。进一步细化指标，量化资金效率考核。</w:t>
      </w:r>
    </w:p>
    <w:p w14:paraId="08BA7E8E">
      <w:pPr>
        <w:autoSpaceDE w:val="0"/>
        <w:autoSpaceDN w:val="0"/>
        <w:adjustRightInd w:val="0"/>
        <w:ind w:firstLine="640" w:firstLineChars="200"/>
        <w:jc w:val="left"/>
        <w:rPr>
          <w:rFonts w:hint="default"/>
          <w:sz w:val="72"/>
          <w:szCs w:val="72"/>
          <w:lang w:val="en-US"/>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w:t>
      </w:r>
    </w:p>
    <w:p w14:paraId="43198744">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Times New Roman" w:hAnsi="Times New Roman" w:eastAsia="仿宋_GB2312"/>
          <w:color w:val="FF0000"/>
          <w:sz w:val="32"/>
          <w:szCs w:val="32"/>
        </w:rPr>
      </w:pPr>
    </w:p>
    <w:p w14:paraId="147E06D0">
      <w:pPr>
        <w:pStyle w:val="14"/>
        <w:jc w:val="both"/>
        <w:rPr>
          <w:rFonts w:hint="eastAsia" w:ascii="方正小标宋_GBK" w:hAnsi="方正小标宋_GBK" w:eastAsia="方正小标宋_GBK" w:cs="方正小标宋_GBK"/>
          <w:sz w:val="24"/>
          <w:szCs w:val="24"/>
        </w:rPr>
      </w:pPr>
    </w:p>
    <w:p w14:paraId="3D83FDA1">
      <w:pPr>
        <w:pStyle w:val="14"/>
        <w:jc w:val="center"/>
        <w:rPr>
          <w:rFonts w:hint="eastAsia" w:ascii="方正小标宋_GBK" w:hAnsi="方正小标宋_GBK" w:eastAsia="方正小标宋_GBK" w:cs="方正小标宋_GBK"/>
          <w:sz w:val="72"/>
          <w:szCs w:val="72"/>
        </w:rPr>
      </w:pPr>
    </w:p>
    <w:p w14:paraId="6FB6F211">
      <w:pPr>
        <w:pStyle w:val="14"/>
        <w:jc w:val="center"/>
        <w:rPr>
          <w:rFonts w:hint="eastAsia" w:ascii="方正小标宋_GBK" w:hAnsi="方正小标宋_GBK" w:eastAsia="方正小标宋_GBK" w:cs="方正小标宋_GBK"/>
          <w:sz w:val="72"/>
          <w:szCs w:val="72"/>
        </w:rPr>
      </w:pPr>
    </w:p>
    <w:p w14:paraId="3A01B6B0">
      <w:pPr>
        <w:pStyle w:val="14"/>
        <w:jc w:val="center"/>
        <w:rPr>
          <w:rFonts w:hint="eastAsia" w:ascii="方正小标宋_GBK" w:hAnsi="方正小标宋_GBK" w:eastAsia="方正小标宋_GBK" w:cs="方正小标宋_GBK"/>
          <w:sz w:val="72"/>
          <w:szCs w:val="72"/>
        </w:rPr>
      </w:pPr>
    </w:p>
    <w:p w14:paraId="475C1000">
      <w:pPr>
        <w:pStyle w:val="14"/>
        <w:jc w:val="center"/>
        <w:rPr>
          <w:rFonts w:hint="eastAsia" w:ascii="方正小标宋_GBK" w:hAnsi="方正小标宋_GBK" w:eastAsia="方正小标宋_GBK" w:cs="方正小标宋_GBK"/>
          <w:sz w:val="72"/>
          <w:szCs w:val="72"/>
        </w:rPr>
      </w:pPr>
    </w:p>
    <w:p w14:paraId="335A7F59">
      <w:pPr>
        <w:pStyle w:val="14"/>
        <w:jc w:val="center"/>
        <w:rPr>
          <w:rFonts w:hint="eastAsia" w:ascii="方正小标宋_GBK" w:hAnsi="方正小标宋_GBK" w:eastAsia="方正小标宋_GBK" w:cs="方正小标宋_GBK"/>
          <w:sz w:val="72"/>
          <w:szCs w:val="72"/>
        </w:rPr>
      </w:pPr>
    </w:p>
    <w:p w14:paraId="021B8C90">
      <w:pPr>
        <w:pStyle w:val="14"/>
        <w:jc w:val="center"/>
        <w:rPr>
          <w:rFonts w:hint="eastAsia" w:ascii="方正小标宋_GBK" w:hAnsi="方正小标宋_GBK" w:eastAsia="方正小标宋_GBK" w:cs="方正小标宋_GBK"/>
          <w:sz w:val="72"/>
          <w:szCs w:val="72"/>
        </w:rPr>
      </w:pPr>
    </w:p>
    <w:p w14:paraId="0228E152">
      <w:pPr>
        <w:pStyle w:val="14"/>
        <w:jc w:val="center"/>
        <w:rPr>
          <w:rFonts w:hint="eastAsia" w:ascii="方正小标宋_GBK" w:hAnsi="方正小标宋_GBK" w:eastAsia="方正小标宋_GBK" w:cs="方正小标宋_GBK"/>
          <w:sz w:val="72"/>
          <w:szCs w:val="72"/>
        </w:rPr>
      </w:pPr>
    </w:p>
    <w:p w14:paraId="3F8BE4FB">
      <w:pPr>
        <w:pStyle w:val="14"/>
        <w:jc w:val="center"/>
        <w:rPr>
          <w:rFonts w:hint="eastAsia" w:ascii="方正小标宋_GBK" w:hAnsi="方正小标宋_GBK" w:eastAsia="方正小标宋_GBK" w:cs="方正小标宋_GBK"/>
          <w:sz w:val="72"/>
          <w:szCs w:val="72"/>
        </w:rPr>
      </w:pPr>
    </w:p>
    <w:p w14:paraId="1D4EBF1B">
      <w:pPr>
        <w:pStyle w:val="14"/>
        <w:jc w:val="center"/>
        <w:rPr>
          <w:rFonts w:hint="eastAsia" w:ascii="方正小标宋_GBK" w:hAnsi="方正小标宋_GBK" w:eastAsia="方正小标宋_GBK" w:cs="方正小标宋_GBK"/>
          <w:sz w:val="72"/>
          <w:szCs w:val="72"/>
        </w:rPr>
      </w:pPr>
    </w:p>
    <w:p w14:paraId="6A5A782C">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2DDD6447">
      <w:pPr>
        <w:jc w:val="center"/>
        <w:rPr>
          <w:rFonts w:hint="eastAsia" w:ascii="方正小标宋_GBK" w:hAnsi="方正小标宋_GBK" w:eastAsia="方正小标宋_GBK" w:cs="方正小标宋_GBK"/>
          <w:color w:val="000000"/>
          <w:kern w:val="0"/>
          <w:sz w:val="70"/>
          <w:szCs w:val="70"/>
        </w:rPr>
      </w:pPr>
    </w:p>
    <w:p w14:paraId="41992F86">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571298D0">
      <w:pPr>
        <w:pStyle w:val="8"/>
      </w:pPr>
    </w:p>
    <w:p w14:paraId="5331F884">
      <w:pPr>
        <w:pStyle w:val="4"/>
      </w:pPr>
    </w:p>
    <w:p w14:paraId="2CCAD852"/>
    <w:p w14:paraId="440E89DF">
      <w:pPr>
        <w:pStyle w:val="8"/>
      </w:pPr>
    </w:p>
    <w:p w14:paraId="645B9B76">
      <w:pPr>
        <w:pStyle w:val="4"/>
      </w:pPr>
    </w:p>
    <w:p w14:paraId="539F25AC"/>
    <w:p w14:paraId="47AFAB8F">
      <w:pPr>
        <w:pStyle w:val="8"/>
      </w:pPr>
    </w:p>
    <w:p w14:paraId="479D6353">
      <w:pPr>
        <w:pStyle w:val="4"/>
      </w:pPr>
    </w:p>
    <w:p w14:paraId="648103ED"/>
    <w:p w14:paraId="08A5EA8F">
      <w:pPr>
        <w:pStyle w:val="8"/>
      </w:pPr>
    </w:p>
    <w:p w14:paraId="3FD0BAB6">
      <w:pPr>
        <w:pStyle w:val="4"/>
      </w:pPr>
    </w:p>
    <w:p w14:paraId="1CAE18D7"/>
    <w:p w14:paraId="5994BDDC">
      <w:pPr>
        <w:pStyle w:val="8"/>
      </w:pPr>
    </w:p>
    <w:p w14:paraId="51F60F8D">
      <w:pPr>
        <w:pStyle w:val="4"/>
      </w:pPr>
    </w:p>
    <w:p w14:paraId="715B8195"/>
    <w:p w14:paraId="3F608935">
      <w:pPr>
        <w:pStyle w:val="8"/>
      </w:pPr>
    </w:p>
    <w:p w14:paraId="274FE3C9">
      <w:pPr>
        <w:ind w:firstLine="640" w:firstLineChars="200"/>
        <w:jc w:val="left"/>
        <w:rPr>
          <w:rFonts w:hint="eastAsia" w:ascii="仿宋_GB2312" w:hAnsi="仿宋_GB2312" w:eastAsia="仿宋_GB2312" w:cs="仿宋_GB2312"/>
          <w:color w:val="000000"/>
          <w:kern w:val="0"/>
          <w:sz w:val="32"/>
          <w:szCs w:val="32"/>
        </w:rPr>
      </w:pPr>
    </w:p>
    <w:p w14:paraId="1741E604">
      <w:pPr>
        <w:ind w:firstLine="640" w:firstLineChars="200"/>
        <w:jc w:val="left"/>
        <w:rPr>
          <w:rFonts w:hint="eastAsia" w:ascii="仿宋_GB2312" w:hAnsi="仿宋_GB2312" w:eastAsia="仿宋_GB2312" w:cs="仿宋_GB2312"/>
          <w:color w:val="000000"/>
          <w:kern w:val="0"/>
          <w:sz w:val="32"/>
          <w:szCs w:val="32"/>
        </w:rPr>
      </w:pPr>
    </w:p>
    <w:p w14:paraId="02E59030">
      <w:pPr>
        <w:ind w:firstLine="640" w:firstLineChars="200"/>
        <w:jc w:val="left"/>
        <w:rPr>
          <w:rFonts w:hint="eastAsia" w:ascii="仿宋_GB2312" w:hAnsi="仿宋_GB2312" w:eastAsia="仿宋_GB2312" w:cs="仿宋_GB2312"/>
          <w:color w:val="000000"/>
          <w:kern w:val="0"/>
          <w:sz w:val="32"/>
          <w:szCs w:val="32"/>
        </w:rPr>
      </w:pPr>
    </w:p>
    <w:p w14:paraId="61CE71B9">
      <w:pPr>
        <w:pStyle w:val="8"/>
        <w:rPr>
          <w:rFonts w:hint="eastAsia"/>
        </w:rPr>
      </w:pPr>
    </w:p>
    <w:p w14:paraId="793F6BC2">
      <w:pPr>
        <w:ind w:firstLine="640" w:firstLineChars="200"/>
        <w:jc w:val="left"/>
        <w:rPr>
          <w:rFonts w:hint="eastAsia" w:ascii="仿宋_GB2312" w:hAnsi="仿宋_GB2312" w:eastAsia="仿宋_GB2312" w:cs="仿宋_GB2312"/>
          <w:color w:val="000000"/>
          <w:kern w:val="0"/>
          <w:sz w:val="32"/>
          <w:szCs w:val="32"/>
        </w:rPr>
      </w:pPr>
    </w:p>
    <w:p w14:paraId="680AB5D4">
      <w:pPr>
        <w:ind w:firstLine="640" w:firstLineChars="200"/>
        <w:jc w:val="left"/>
        <w:rPr>
          <w:rFonts w:hint="eastAsia" w:ascii="仿宋_GB2312" w:hAnsi="仿宋_GB2312" w:eastAsia="仿宋_GB2312" w:cs="仿宋_GB2312"/>
          <w:color w:val="000000"/>
          <w:kern w:val="0"/>
          <w:sz w:val="32"/>
          <w:szCs w:val="32"/>
        </w:rPr>
      </w:pPr>
    </w:p>
    <w:p w14:paraId="623AAE8D">
      <w:pPr>
        <w:ind w:firstLine="640" w:firstLineChars="200"/>
        <w:jc w:val="left"/>
        <w:rPr>
          <w:rFonts w:hint="eastAsia" w:ascii="仿宋_GB2312" w:hAnsi="仿宋_GB2312" w:eastAsia="仿宋_GB2312" w:cs="仿宋_GB2312"/>
          <w:color w:val="000000"/>
          <w:kern w:val="0"/>
          <w:sz w:val="32"/>
          <w:szCs w:val="32"/>
        </w:rPr>
      </w:pPr>
    </w:p>
    <w:p w14:paraId="754BC716">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575346AC">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14:paraId="30E2682B">
      <w:pPr>
        <w:ind w:firstLine="640" w:firstLineChars="200"/>
        <w:jc w:val="left"/>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三、</w:t>
      </w:r>
      <w:r>
        <w:rPr>
          <w:rFonts w:hint="eastAsia" w:ascii="仿宋_GB2312" w:hAnsi="仿宋_GB2312" w:eastAsia="仿宋_GB2312" w:cs="仿宋_GB2312"/>
          <w:color w:val="000000"/>
          <w:kern w:val="0"/>
          <w:sz w:val="32"/>
          <w:szCs w:val="32"/>
          <w:lang w:eastAsia="zh-CN"/>
        </w:rPr>
        <w:t>……</w:t>
      </w:r>
    </w:p>
    <w:p w14:paraId="4A4E5DB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14:paraId="18EAE63A">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b/>
          <w:bCs/>
          <w:i/>
          <w:color w:val="FF0000"/>
          <w:kern w:val="0"/>
          <w:sz w:val="32"/>
          <w:szCs w:val="32"/>
          <w:lang w:val="en-US" w:eastAsia="zh-CN" w:bidi="ar-SA"/>
        </w:rPr>
        <w:t>（名词解释应包含本部门专有名词，如省财政厅应有对“财政事务”科目的解释，可参考中央相关部门的名词解释）</w:t>
      </w:r>
    </w:p>
    <w:p w14:paraId="2AE81CE8">
      <w:pPr>
        <w:pStyle w:val="14"/>
        <w:jc w:val="center"/>
        <w:rPr>
          <w:rFonts w:hint="eastAsia" w:ascii="仿宋_GB2312" w:hAnsi="仿宋_GB2312" w:eastAsia="仿宋_GB2312" w:cs="仿宋_GB2312"/>
          <w:sz w:val="32"/>
          <w:szCs w:val="32"/>
        </w:rPr>
      </w:pPr>
    </w:p>
    <w:p w14:paraId="1D47518A">
      <w:pPr>
        <w:pStyle w:val="4"/>
      </w:pPr>
    </w:p>
    <w:p w14:paraId="580CF8E4"/>
    <w:p w14:paraId="0C17744C">
      <w:pPr>
        <w:pStyle w:val="8"/>
      </w:pPr>
    </w:p>
    <w:p w14:paraId="7B8BABF4">
      <w:pPr>
        <w:pStyle w:val="4"/>
      </w:pPr>
    </w:p>
    <w:p w14:paraId="1942C0DC"/>
    <w:p w14:paraId="6E2D1EEF">
      <w:pPr>
        <w:pStyle w:val="8"/>
      </w:pPr>
    </w:p>
    <w:p w14:paraId="5F6ABC3B">
      <w:pPr>
        <w:pStyle w:val="4"/>
      </w:pPr>
    </w:p>
    <w:p w14:paraId="51BE6437"/>
    <w:p w14:paraId="05344CBA">
      <w:pPr>
        <w:pStyle w:val="8"/>
      </w:pPr>
    </w:p>
    <w:p w14:paraId="5C9170AD">
      <w:pPr>
        <w:pStyle w:val="4"/>
      </w:pPr>
    </w:p>
    <w:p w14:paraId="29D3A91E"/>
    <w:p w14:paraId="0D2A994E">
      <w:pPr>
        <w:pStyle w:val="8"/>
      </w:pPr>
    </w:p>
    <w:p w14:paraId="59CBCCA7">
      <w:pPr>
        <w:pStyle w:val="4"/>
      </w:pPr>
    </w:p>
    <w:p w14:paraId="67806EBD"/>
    <w:p w14:paraId="7C18BB03">
      <w:pPr>
        <w:pStyle w:val="8"/>
      </w:pPr>
    </w:p>
    <w:p w14:paraId="29230CAD">
      <w:pPr>
        <w:pStyle w:val="4"/>
      </w:pPr>
    </w:p>
    <w:p w14:paraId="724E0A54"/>
    <w:p w14:paraId="496F732E">
      <w:pPr>
        <w:pStyle w:val="8"/>
      </w:pPr>
    </w:p>
    <w:p w14:paraId="354ECFD8">
      <w:pPr>
        <w:pStyle w:val="4"/>
      </w:pPr>
    </w:p>
    <w:p w14:paraId="51C67B38"/>
    <w:p w14:paraId="4D131F3E"/>
    <w:p w14:paraId="7CFBCE3C">
      <w:pPr>
        <w:pStyle w:val="8"/>
      </w:pPr>
    </w:p>
    <w:p w14:paraId="5C3DE094">
      <w:pPr>
        <w:pStyle w:val="14"/>
        <w:jc w:val="both"/>
        <w:rPr>
          <w:rFonts w:hint="eastAsia" w:ascii="方正小标宋_GBK" w:hAnsi="方正小标宋_GBK" w:eastAsia="方正小标宋_GBK" w:cs="方正小标宋_GBK"/>
          <w:sz w:val="72"/>
          <w:szCs w:val="72"/>
        </w:rPr>
      </w:pPr>
    </w:p>
    <w:p w14:paraId="0C1858E3">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592BF6CA">
      <w:pPr>
        <w:pStyle w:val="14"/>
        <w:jc w:val="both"/>
        <w:rPr>
          <w:rFonts w:hint="eastAsia" w:ascii="方正小标宋_GBK" w:hAnsi="方正小标宋_GBK" w:eastAsia="方正小标宋_GBK" w:cs="方正小标宋_GBK"/>
          <w:sz w:val="70"/>
          <w:szCs w:val="70"/>
          <w:lang w:eastAsia="zh-CN"/>
        </w:rPr>
      </w:pPr>
    </w:p>
    <w:p w14:paraId="490142D3">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3243C04E">
      <w:pPr>
        <w:ind w:firstLine="640" w:firstLineChars="200"/>
        <w:jc w:val="left"/>
        <w:rPr>
          <w:rFonts w:hint="eastAsia" w:ascii="宋体" w:hAnsi="宋体" w:eastAsia="宋体" w:cs="黑体"/>
          <w:b/>
          <w:color w:val="000000"/>
          <w:kern w:val="0"/>
          <w:sz w:val="32"/>
          <w:szCs w:val="32"/>
          <w:lang w:val="en-US" w:eastAsia="zh-CN"/>
        </w:rPr>
      </w:pPr>
    </w:p>
    <w:p w14:paraId="4EAC9354">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14:paraId="27E2EE8B">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14:paraId="045AD96C"/>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CBC331"/>
    <w:multiLevelType w:val="singleLevel"/>
    <w:tmpl w:val="E3CBC331"/>
    <w:lvl w:ilvl="0" w:tentative="0">
      <w:start w:val="3"/>
      <w:numFmt w:val="decimal"/>
      <w:lvlText w:val="%1."/>
      <w:lvlJc w:val="left"/>
      <w:pPr>
        <w:tabs>
          <w:tab w:val="left" w:pos="312"/>
        </w:tabs>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67A6557"/>
    <w:multiLevelType w:val="singleLevel"/>
    <w:tmpl w:val="467A6557"/>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22ACD"/>
    <w:rsid w:val="00F74360"/>
    <w:rsid w:val="00FB462F"/>
    <w:rsid w:val="00FE16FA"/>
    <w:rsid w:val="00FE328A"/>
    <w:rsid w:val="00FE6269"/>
    <w:rsid w:val="00FF5CD6"/>
    <w:rsid w:val="053760F5"/>
    <w:rsid w:val="059958AD"/>
    <w:rsid w:val="06C857E7"/>
    <w:rsid w:val="08C24A73"/>
    <w:rsid w:val="09034E34"/>
    <w:rsid w:val="09A85265"/>
    <w:rsid w:val="0AB76C8D"/>
    <w:rsid w:val="0D573510"/>
    <w:rsid w:val="11944E2C"/>
    <w:rsid w:val="12583BA5"/>
    <w:rsid w:val="13BA5B9C"/>
    <w:rsid w:val="156F7F77"/>
    <w:rsid w:val="15793264"/>
    <w:rsid w:val="18424965"/>
    <w:rsid w:val="190E6953"/>
    <w:rsid w:val="19481137"/>
    <w:rsid w:val="196C4726"/>
    <w:rsid w:val="19F96407"/>
    <w:rsid w:val="1BC100B9"/>
    <w:rsid w:val="1CBB27A7"/>
    <w:rsid w:val="1D97DEFF"/>
    <w:rsid w:val="1DFF72E5"/>
    <w:rsid w:val="1EFC6F07"/>
    <w:rsid w:val="1F0527A6"/>
    <w:rsid w:val="218D3660"/>
    <w:rsid w:val="21C16DB5"/>
    <w:rsid w:val="22AC03C2"/>
    <w:rsid w:val="25D464F5"/>
    <w:rsid w:val="25E02409"/>
    <w:rsid w:val="283B15FE"/>
    <w:rsid w:val="2C5158DC"/>
    <w:rsid w:val="2DC80956"/>
    <w:rsid w:val="2FDF85B8"/>
    <w:rsid w:val="2FFFEE04"/>
    <w:rsid w:val="31693C92"/>
    <w:rsid w:val="31C95635"/>
    <w:rsid w:val="333F233E"/>
    <w:rsid w:val="34DF85B0"/>
    <w:rsid w:val="35297305"/>
    <w:rsid w:val="3B8F36BC"/>
    <w:rsid w:val="40DB3A31"/>
    <w:rsid w:val="41CD5D20"/>
    <w:rsid w:val="43EB5BA5"/>
    <w:rsid w:val="453C298C"/>
    <w:rsid w:val="46C16C66"/>
    <w:rsid w:val="470058B5"/>
    <w:rsid w:val="470E214F"/>
    <w:rsid w:val="491FF225"/>
    <w:rsid w:val="4A0B0D31"/>
    <w:rsid w:val="4C315D8E"/>
    <w:rsid w:val="4EC310A1"/>
    <w:rsid w:val="4FFD214C"/>
    <w:rsid w:val="5352765A"/>
    <w:rsid w:val="54B115C7"/>
    <w:rsid w:val="5777D4F5"/>
    <w:rsid w:val="57F22B6F"/>
    <w:rsid w:val="593841E7"/>
    <w:rsid w:val="59DD8326"/>
    <w:rsid w:val="5DEF592A"/>
    <w:rsid w:val="5E5328B4"/>
    <w:rsid w:val="5E6F1A58"/>
    <w:rsid w:val="5FC24320"/>
    <w:rsid w:val="5FC6BB1E"/>
    <w:rsid w:val="5FF720F1"/>
    <w:rsid w:val="622964C1"/>
    <w:rsid w:val="626B1286"/>
    <w:rsid w:val="639B6428"/>
    <w:rsid w:val="67FF5C0B"/>
    <w:rsid w:val="6B163B9A"/>
    <w:rsid w:val="6BAA4A2F"/>
    <w:rsid w:val="6BE176F8"/>
    <w:rsid w:val="6DDEC5C0"/>
    <w:rsid w:val="6EFC0924"/>
    <w:rsid w:val="6FB74722"/>
    <w:rsid w:val="6FEF8B7E"/>
    <w:rsid w:val="717FE77F"/>
    <w:rsid w:val="71A6591B"/>
    <w:rsid w:val="737D59BA"/>
    <w:rsid w:val="737F32B1"/>
    <w:rsid w:val="73BD3FCA"/>
    <w:rsid w:val="7513602F"/>
    <w:rsid w:val="76791A73"/>
    <w:rsid w:val="7697621D"/>
    <w:rsid w:val="76EB3549"/>
    <w:rsid w:val="776BDA01"/>
    <w:rsid w:val="77C37683"/>
    <w:rsid w:val="79FF515B"/>
    <w:rsid w:val="7AE91D0C"/>
    <w:rsid w:val="7CC83C3E"/>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6"/>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5"/>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7463</Words>
  <Characters>8102</Characters>
  <Lines>63</Lines>
  <Paragraphs>18</Paragraphs>
  <TotalTime>1</TotalTime>
  <ScaleCrop>false</ScaleCrop>
  <LinksUpToDate>false</LinksUpToDate>
  <CharactersWithSpaces>8137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Administrator</cp:lastModifiedBy>
  <cp:lastPrinted>2024-08-11T02:20:00Z</cp:lastPrinted>
  <dcterms:modified xsi:type="dcterms:W3CDTF">2025-09-22T03:05:58Z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870661D0533448C187BBE11EB9230338_13</vt:lpwstr>
  </property>
  <property fmtid="{D5CDD505-2E9C-101B-9397-08002B2CF9AE}" pid="4" name="KSOTemplateDocerSaveRecord">
    <vt:lpwstr>eyJoZGlkIjoiN2M5MTVmZGNlYmZlOTRhMTQ1NWQ5YmUzMjZlNzA0ODgifQ==</vt:lpwstr>
  </property>
</Properties>
</file>