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B6DCFF1">
      <w:pPr>
        <w:pStyle w:val="13"/>
        <w:keepNext w:val="0"/>
        <w:keepLines w:val="0"/>
        <w:pageBreakBefore w:val="0"/>
        <w:kinsoku/>
        <w:wordWrap/>
        <w:topLinePunct w:val="0"/>
        <w:bidi w:val="0"/>
        <w:spacing w:line="240" w:lineRule="auto"/>
        <w:jc w:val="center"/>
        <w:textAlignment w:val="auto"/>
        <w:rPr>
          <w:color w:val="auto"/>
          <w:sz w:val="56"/>
          <w:szCs w:val="56"/>
        </w:rPr>
      </w:pPr>
    </w:p>
    <w:p w14:paraId="3BDF5AB8">
      <w:pPr>
        <w:pStyle w:val="13"/>
        <w:keepNext w:val="0"/>
        <w:keepLines w:val="0"/>
        <w:pageBreakBefore w:val="0"/>
        <w:kinsoku/>
        <w:wordWrap/>
        <w:topLinePunct w:val="0"/>
        <w:bidi w:val="0"/>
        <w:spacing w:line="240" w:lineRule="auto"/>
        <w:jc w:val="center"/>
        <w:textAlignment w:val="auto"/>
        <w:rPr>
          <w:color w:val="auto"/>
          <w:sz w:val="56"/>
          <w:szCs w:val="56"/>
        </w:rPr>
      </w:pPr>
    </w:p>
    <w:p w14:paraId="60CA4575">
      <w:pPr>
        <w:pStyle w:val="13"/>
        <w:keepNext w:val="0"/>
        <w:keepLines w:val="0"/>
        <w:pageBreakBefore w:val="0"/>
        <w:kinsoku/>
        <w:wordWrap/>
        <w:topLinePunct w:val="0"/>
        <w:bidi w:val="0"/>
        <w:spacing w:line="240" w:lineRule="auto"/>
        <w:jc w:val="center"/>
        <w:textAlignment w:val="auto"/>
        <w:rPr>
          <w:color w:val="auto"/>
          <w:sz w:val="84"/>
          <w:szCs w:val="84"/>
        </w:rPr>
      </w:pPr>
    </w:p>
    <w:p w14:paraId="215EB31D">
      <w:pPr>
        <w:pStyle w:val="13"/>
        <w:keepNext w:val="0"/>
        <w:keepLines w:val="0"/>
        <w:pageBreakBefore w:val="0"/>
        <w:kinsoku/>
        <w:wordWrap/>
        <w:topLinePunct w:val="0"/>
        <w:bidi w:val="0"/>
        <w:spacing w:line="240" w:lineRule="auto"/>
        <w:jc w:val="center"/>
        <w:textAlignment w:val="auto"/>
        <w:rPr>
          <w:color w:val="auto"/>
          <w:sz w:val="84"/>
          <w:szCs w:val="84"/>
        </w:rPr>
      </w:pPr>
    </w:p>
    <w:p w14:paraId="376C8602">
      <w:pPr>
        <w:pStyle w:val="13"/>
        <w:keepNext w:val="0"/>
        <w:keepLines w:val="0"/>
        <w:pageBreakBefore w:val="0"/>
        <w:kinsoku/>
        <w:wordWrap/>
        <w:topLinePunct w:val="0"/>
        <w:bidi w:val="0"/>
        <w:spacing w:line="240" w:lineRule="auto"/>
        <w:jc w:val="center"/>
        <w:textAlignment w:val="auto"/>
        <w:rPr>
          <w:rFonts w:hint="eastAsia" w:ascii="方正小标宋_GBK" w:hAnsi="方正小标宋_GBK" w:eastAsia="方正小标宋_GBK" w:cs="方正小标宋_GBK"/>
          <w:color w:val="auto"/>
          <w:sz w:val="84"/>
          <w:szCs w:val="84"/>
        </w:rPr>
      </w:pPr>
      <w:r>
        <w:rPr>
          <w:rFonts w:hint="eastAsia" w:ascii="方正小标宋_GBK" w:hAnsi="方正小标宋_GBK" w:eastAsia="方正小标宋_GBK" w:cs="方正小标宋_GBK"/>
          <w:color w:val="auto"/>
          <w:sz w:val="84"/>
          <w:szCs w:val="84"/>
        </w:rPr>
        <w:t>202</w:t>
      </w:r>
      <w:r>
        <w:rPr>
          <w:rFonts w:hint="eastAsia" w:ascii="方正小标宋_GBK" w:hAnsi="方正小标宋_GBK" w:eastAsia="方正小标宋_GBK" w:cs="方正小标宋_GBK"/>
          <w:color w:val="auto"/>
          <w:sz w:val="84"/>
          <w:szCs w:val="84"/>
          <w:lang w:val="en-US" w:eastAsia="zh-CN"/>
        </w:rPr>
        <w:t>4</w:t>
      </w:r>
      <w:r>
        <w:rPr>
          <w:rFonts w:hint="eastAsia" w:ascii="方正小标宋_GBK" w:hAnsi="方正小标宋_GBK" w:eastAsia="方正小标宋_GBK" w:cs="方正小标宋_GBK"/>
          <w:color w:val="auto"/>
          <w:sz w:val="84"/>
          <w:szCs w:val="84"/>
        </w:rPr>
        <w:t>年度</w:t>
      </w:r>
    </w:p>
    <w:p w14:paraId="6934EBE9">
      <w:pPr>
        <w:pStyle w:val="13"/>
        <w:keepNext w:val="0"/>
        <w:keepLines w:val="0"/>
        <w:pageBreakBefore w:val="0"/>
        <w:kinsoku/>
        <w:wordWrap/>
        <w:topLinePunct w:val="0"/>
        <w:bidi w:val="0"/>
        <w:spacing w:line="240" w:lineRule="auto"/>
        <w:jc w:val="center"/>
        <w:textAlignment w:val="auto"/>
        <w:rPr>
          <w:rFonts w:hint="eastAsia" w:ascii="方正小标宋_GBK" w:hAnsi="方正小标宋_GBK" w:eastAsia="方正小标宋_GBK" w:cs="方正小标宋_GBK"/>
          <w:color w:val="auto"/>
          <w:sz w:val="84"/>
          <w:szCs w:val="84"/>
        </w:rPr>
      </w:pPr>
      <w:r>
        <w:rPr>
          <w:rFonts w:hint="eastAsia" w:ascii="方正小标宋_GBK" w:hAnsi="方正小标宋_GBK" w:eastAsia="方正小标宋_GBK" w:cs="方正小标宋_GBK"/>
          <w:color w:val="auto"/>
          <w:sz w:val="84"/>
          <w:szCs w:val="84"/>
          <w:lang w:eastAsia="zh-CN"/>
        </w:rPr>
        <w:t>岳阳市建设工程质量安全监督站</w:t>
      </w:r>
      <w:r>
        <w:rPr>
          <w:rFonts w:hint="eastAsia" w:ascii="方正小标宋_GBK" w:hAnsi="方正小标宋_GBK" w:eastAsia="方正小标宋_GBK" w:cs="方正小标宋_GBK"/>
          <w:color w:val="auto"/>
          <w:sz w:val="84"/>
          <w:szCs w:val="84"/>
        </w:rPr>
        <w:t>部门决算</w:t>
      </w:r>
    </w:p>
    <w:p w14:paraId="3A699C16">
      <w:pPr>
        <w:pStyle w:val="13"/>
        <w:keepNext w:val="0"/>
        <w:keepLines w:val="0"/>
        <w:pageBreakBefore w:val="0"/>
        <w:kinsoku/>
        <w:wordWrap/>
        <w:topLinePunct w:val="0"/>
        <w:bidi w:val="0"/>
        <w:spacing w:line="240" w:lineRule="auto"/>
        <w:jc w:val="center"/>
        <w:textAlignment w:val="auto"/>
        <w:rPr>
          <w:rFonts w:hint="eastAsia" w:ascii="方正小标宋_GBK" w:hAnsi="方正小标宋_GBK" w:eastAsia="方正小标宋_GBK" w:cs="方正小标宋_GBK"/>
          <w:color w:val="auto"/>
          <w:sz w:val="56"/>
          <w:szCs w:val="56"/>
        </w:rPr>
      </w:pPr>
    </w:p>
    <w:p w14:paraId="72C8FB58">
      <w:pPr>
        <w:pStyle w:val="13"/>
        <w:keepNext w:val="0"/>
        <w:keepLines w:val="0"/>
        <w:pageBreakBefore w:val="0"/>
        <w:kinsoku/>
        <w:wordWrap/>
        <w:topLinePunct w:val="0"/>
        <w:bidi w:val="0"/>
        <w:spacing w:line="240" w:lineRule="auto"/>
        <w:jc w:val="center"/>
        <w:textAlignment w:val="auto"/>
        <w:rPr>
          <w:color w:val="auto"/>
          <w:sz w:val="56"/>
          <w:szCs w:val="56"/>
        </w:rPr>
      </w:pPr>
    </w:p>
    <w:p w14:paraId="25018D25">
      <w:pPr>
        <w:pStyle w:val="13"/>
        <w:keepNext w:val="0"/>
        <w:keepLines w:val="0"/>
        <w:pageBreakBefore w:val="0"/>
        <w:kinsoku/>
        <w:wordWrap/>
        <w:topLinePunct w:val="0"/>
        <w:bidi w:val="0"/>
        <w:spacing w:line="240" w:lineRule="auto"/>
        <w:jc w:val="center"/>
        <w:textAlignment w:val="auto"/>
        <w:rPr>
          <w:color w:val="auto"/>
          <w:sz w:val="56"/>
          <w:szCs w:val="56"/>
        </w:rPr>
      </w:pPr>
    </w:p>
    <w:p w14:paraId="5EE73A38">
      <w:pPr>
        <w:pStyle w:val="13"/>
        <w:keepNext w:val="0"/>
        <w:keepLines w:val="0"/>
        <w:pageBreakBefore w:val="0"/>
        <w:kinsoku/>
        <w:wordWrap/>
        <w:topLinePunct w:val="0"/>
        <w:bidi w:val="0"/>
        <w:spacing w:line="240" w:lineRule="auto"/>
        <w:jc w:val="center"/>
        <w:textAlignment w:val="auto"/>
        <w:rPr>
          <w:color w:val="auto"/>
          <w:sz w:val="56"/>
          <w:szCs w:val="56"/>
        </w:rPr>
      </w:pPr>
    </w:p>
    <w:p w14:paraId="297571C5">
      <w:pPr>
        <w:pStyle w:val="13"/>
        <w:keepNext w:val="0"/>
        <w:keepLines w:val="0"/>
        <w:pageBreakBefore w:val="0"/>
        <w:kinsoku/>
        <w:wordWrap/>
        <w:topLinePunct w:val="0"/>
        <w:bidi w:val="0"/>
        <w:spacing w:line="240" w:lineRule="auto"/>
        <w:jc w:val="center"/>
        <w:textAlignment w:val="auto"/>
        <w:rPr>
          <w:color w:val="auto"/>
          <w:sz w:val="32"/>
          <w:szCs w:val="32"/>
        </w:rPr>
      </w:pPr>
    </w:p>
    <w:p w14:paraId="08493D1E">
      <w:pPr>
        <w:pStyle w:val="13"/>
        <w:keepNext w:val="0"/>
        <w:keepLines w:val="0"/>
        <w:pageBreakBefore w:val="0"/>
        <w:kinsoku/>
        <w:wordWrap/>
        <w:topLinePunct w:val="0"/>
        <w:bidi w:val="0"/>
        <w:spacing w:line="240" w:lineRule="auto"/>
        <w:jc w:val="center"/>
        <w:textAlignment w:val="auto"/>
        <w:rPr>
          <w:color w:val="auto"/>
          <w:sz w:val="32"/>
          <w:szCs w:val="32"/>
        </w:rPr>
      </w:pPr>
    </w:p>
    <w:p w14:paraId="5BD6E8BD">
      <w:pPr>
        <w:pStyle w:val="13"/>
        <w:keepNext w:val="0"/>
        <w:keepLines w:val="0"/>
        <w:pageBreakBefore w:val="0"/>
        <w:kinsoku/>
        <w:wordWrap/>
        <w:topLinePunct w:val="0"/>
        <w:bidi w:val="0"/>
        <w:spacing w:line="240" w:lineRule="auto"/>
        <w:jc w:val="center"/>
        <w:textAlignment w:val="auto"/>
        <w:rPr>
          <w:color w:val="auto"/>
          <w:sz w:val="32"/>
          <w:szCs w:val="32"/>
        </w:rPr>
      </w:pPr>
    </w:p>
    <w:p w14:paraId="1062A3B4">
      <w:pPr>
        <w:pStyle w:val="13"/>
        <w:keepNext w:val="0"/>
        <w:keepLines w:val="0"/>
        <w:pageBreakBefore w:val="0"/>
        <w:kinsoku/>
        <w:wordWrap/>
        <w:topLinePunct w:val="0"/>
        <w:bidi w:val="0"/>
        <w:spacing w:line="240" w:lineRule="auto"/>
        <w:jc w:val="center"/>
        <w:textAlignment w:val="auto"/>
        <w:rPr>
          <w:color w:val="auto"/>
          <w:sz w:val="32"/>
          <w:szCs w:val="32"/>
        </w:rPr>
      </w:pPr>
    </w:p>
    <w:p w14:paraId="6311DFC7">
      <w:pPr>
        <w:pStyle w:val="13"/>
        <w:keepNext w:val="0"/>
        <w:keepLines w:val="0"/>
        <w:pageBreakBefore w:val="0"/>
        <w:kinsoku/>
        <w:wordWrap/>
        <w:topLinePunct w:val="0"/>
        <w:bidi w:val="0"/>
        <w:spacing w:line="240" w:lineRule="auto"/>
        <w:jc w:val="center"/>
        <w:textAlignment w:val="auto"/>
        <w:rPr>
          <w:color w:val="auto"/>
          <w:sz w:val="32"/>
          <w:szCs w:val="32"/>
        </w:rPr>
      </w:pPr>
    </w:p>
    <w:p w14:paraId="50228290">
      <w:pPr>
        <w:pStyle w:val="13"/>
        <w:keepNext w:val="0"/>
        <w:keepLines w:val="0"/>
        <w:pageBreakBefore w:val="0"/>
        <w:kinsoku/>
        <w:wordWrap/>
        <w:topLinePunct w:val="0"/>
        <w:bidi w:val="0"/>
        <w:spacing w:line="240" w:lineRule="auto"/>
        <w:jc w:val="center"/>
        <w:textAlignment w:val="auto"/>
        <w:rPr>
          <w:color w:val="auto"/>
          <w:sz w:val="56"/>
          <w:szCs w:val="56"/>
        </w:rPr>
      </w:pPr>
    </w:p>
    <w:p w14:paraId="459C483D">
      <w:pPr>
        <w:pStyle w:val="13"/>
        <w:keepNext w:val="0"/>
        <w:keepLines w:val="0"/>
        <w:pageBreakBefore w:val="0"/>
        <w:kinsoku/>
        <w:wordWrap/>
        <w:topLinePunct w:val="0"/>
        <w:bidi w:val="0"/>
        <w:spacing w:line="240" w:lineRule="auto"/>
        <w:jc w:val="both"/>
        <w:textAlignment w:val="auto"/>
        <w:rPr>
          <w:b/>
          <w:color w:val="auto"/>
          <w:sz w:val="36"/>
          <w:szCs w:val="28"/>
        </w:rPr>
      </w:pPr>
    </w:p>
    <w:p w14:paraId="24F3309B">
      <w:pPr>
        <w:pStyle w:val="13"/>
        <w:keepNext w:val="0"/>
        <w:keepLines w:val="0"/>
        <w:pageBreakBefore w:val="0"/>
        <w:kinsoku/>
        <w:wordWrap/>
        <w:topLinePunct w:val="0"/>
        <w:bidi w:val="0"/>
        <w:spacing w:line="240" w:lineRule="auto"/>
        <w:jc w:val="center"/>
        <w:textAlignment w:val="auto"/>
        <w:rPr>
          <w:rFonts w:hint="eastAsia" w:ascii="方正小标宋简体" w:hAnsi="方正小标宋简体" w:eastAsia="方正小标宋简体" w:cs="方正小标宋简体"/>
          <w:b w:val="0"/>
          <w:bCs/>
          <w:color w:val="auto"/>
          <w:sz w:val="44"/>
          <w:szCs w:val="44"/>
        </w:rPr>
      </w:pPr>
      <w:r>
        <w:rPr>
          <w:rFonts w:hint="eastAsia" w:ascii="方正小标宋简体" w:hAnsi="方正小标宋简体" w:eastAsia="方正小标宋简体" w:cs="方正小标宋简体"/>
          <w:b w:val="0"/>
          <w:bCs/>
          <w:color w:val="auto"/>
          <w:sz w:val="44"/>
          <w:szCs w:val="44"/>
        </w:rPr>
        <w:t>目</w:t>
      </w:r>
      <w:r>
        <w:rPr>
          <w:rFonts w:hint="eastAsia" w:ascii="方正小标宋简体" w:hAnsi="方正小标宋简体" w:eastAsia="方正小标宋简体" w:cs="方正小标宋简体"/>
          <w:b w:val="0"/>
          <w:bCs/>
          <w:color w:val="auto"/>
          <w:sz w:val="44"/>
          <w:szCs w:val="44"/>
          <w:lang w:val="en-US" w:eastAsia="zh-CN"/>
        </w:rPr>
        <w:t xml:space="preserve">  </w:t>
      </w:r>
      <w:r>
        <w:rPr>
          <w:rFonts w:hint="eastAsia" w:ascii="方正小标宋简体" w:hAnsi="方正小标宋简体" w:eastAsia="方正小标宋简体" w:cs="方正小标宋简体"/>
          <w:b w:val="0"/>
          <w:bCs/>
          <w:color w:val="auto"/>
          <w:sz w:val="44"/>
          <w:szCs w:val="44"/>
        </w:rPr>
        <w:t>录</w:t>
      </w:r>
    </w:p>
    <w:p w14:paraId="0E09FC01">
      <w:pPr>
        <w:pStyle w:val="13"/>
        <w:keepNext w:val="0"/>
        <w:keepLines w:val="0"/>
        <w:pageBreakBefore w:val="0"/>
        <w:widowControl w:val="0"/>
        <w:kinsoku/>
        <w:wordWrap/>
        <w:overflowPunct/>
        <w:topLinePunct w:val="0"/>
        <w:bidi w:val="0"/>
        <w:snapToGrid/>
        <w:spacing w:line="640" w:lineRule="exact"/>
        <w:textAlignment w:val="auto"/>
        <w:rPr>
          <w:rFonts w:hint="eastAsia" w:ascii="黑体" w:hAnsi="黑体" w:eastAsia="黑体" w:cs="黑体"/>
          <w:b w:val="0"/>
          <w:bCs/>
          <w:color w:val="auto"/>
          <w:sz w:val="32"/>
          <w:szCs w:val="32"/>
        </w:rPr>
      </w:pPr>
    </w:p>
    <w:p w14:paraId="6CBD0C22">
      <w:pPr>
        <w:pStyle w:val="13"/>
        <w:keepNext w:val="0"/>
        <w:keepLines w:val="0"/>
        <w:pageBreakBefore w:val="0"/>
        <w:widowControl w:val="0"/>
        <w:kinsoku/>
        <w:wordWrap/>
        <w:overflowPunct/>
        <w:topLinePunct w:val="0"/>
        <w:bidi w:val="0"/>
        <w:snapToGrid/>
        <w:spacing w:line="640" w:lineRule="exact"/>
        <w:textAlignment w:val="auto"/>
        <w:rPr>
          <w:rFonts w:hint="eastAsia" w:ascii="黑体" w:hAnsi="黑体" w:eastAsia="黑体" w:cs="黑体"/>
          <w:b w:val="0"/>
          <w:bCs/>
          <w:color w:val="auto"/>
          <w:sz w:val="32"/>
          <w:szCs w:val="32"/>
        </w:rPr>
      </w:pPr>
      <w:r>
        <w:rPr>
          <w:rFonts w:hint="eastAsia" w:ascii="黑体" w:hAnsi="黑体" w:eastAsia="黑体" w:cs="黑体"/>
          <w:b w:val="0"/>
          <w:bCs/>
          <w:color w:val="auto"/>
          <w:sz w:val="32"/>
          <w:szCs w:val="32"/>
        </w:rPr>
        <w:t>第一部分</w:t>
      </w:r>
      <w:r>
        <w:rPr>
          <w:rFonts w:hint="eastAsia" w:ascii="黑体" w:hAnsi="黑体" w:eastAsia="黑体" w:cs="黑体"/>
          <w:b w:val="0"/>
          <w:bCs/>
          <w:color w:val="auto"/>
          <w:sz w:val="32"/>
          <w:szCs w:val="32"/>
          <w:lang w:val="en-US" w:eastAsia="zh-CN"/>
        </w:rPr>
        <w:t xml:space="preserve"> </w:t>
      </w:r>
      <w:r>
        <w:rPr>
          <w:rFonts w:hint="eastAsia" w:hAnsi="黑体" w:cs="黑体"/>
          <w:b w:val="0"/>
          <w:bCs/>
          <w:color w:val="auto"/>
          <w:sz w:val="32"/>
          <w:szCs w:val="32"/>
          <w:lang w:eastAsia="zh-CN"/>
        </w:rPr>
        <w:t>岳阳市建设工程质量安全监督站单位</w:t>
      </w:r>
      <w:r>
        <w:rPr>
          <w:rFonts w:hint="eastAsia" w:ascii="黑体" w:hAnsi="黑体" w:eastAsia="黑体" w:cs="黑体"/>
          <w:b w:val="0"/>
          <w:bCs/>
          <w:color w:val="auto"/>
          <w:sz w:val="32"/>
          <w:szCs w:val="32"/>
        </w:rPr>
        <w:t>概况</w:t>
      </w:r>
    </w:p>
    <w:p w14:paraId="060CB1DC">
      <w:pPr>
        <w:pStyle w:val="13"/>
        <w:keepNext w:val="0"/>
        <w:keepLines w:val="0"/>
        <w:pageBreakBefore w:val="0"/>
        <w:widowControl w:val="0"/>
        <w:kinsoku/>
        <w:wordWrap/>
        <w:overflowPunct/>
        <w:topLinePunct w:val="0"/>
        <w:bidi w:val="0"/>
        <w:snapToGrid/>
        <w:spacing w:line="640" w:lineRule="exact"/>
        <w:ind w:firstLine="800" w:firstLineChars="250"/>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一、部门职责</w:t>
      </w:r>
    </w:p>
    <w:p w14:paraId="315E49DA">
      <w:pPr>
        <w:pStyle w:val="13"/>
        <w:keepNext w:val="0"/>
        <w:keepLines w:val="0"/>
        <w:pageBreakBefore w:val="0"/>
        <w:widowControl w:val="0"/>
        <w:kinsoku/>
        <w:wordWrap/>
        <w:overflowPunct/>
        <w:topLinePunct w:val="0"/>
        <w:bidi w:val="0"/>
        <w:snapToGrid/>
        <w:spacing w:line="640" w:lineRule="exact"/>
        <w:ind w:firstLine="800" w:firstLineChars="250"/>
        <w:textAlignment w:val="auto"/>
        <w:rPr>
          <w:rFonts w:hint="eastAsia" w:ascii="仿宋_GB2312" w:hAnsi="仿宋_GB2312" w:eastAsia="仿宋_GB2312" w:cs="仿宋_GB2312"/>
          <w:color w:val="auto"/>
          <w:sz w:val="32"/>
          <w:szCs w:val="32"/>
          <w:lang w:eastAsia="zh-CN"/>
        </w:rPr>
      </w:pPr>
      <w:r>
        <w:rPr>
          <w:rFonts w:hint="eastAsia" w:ascii="仿宋_GB2312" w:hAnsi="仿宋_GB2312" w:eastAsia="仿宋_GB2312" w:cs="仿宋_GB2312"/>
          <w:color w:val="auto"/>
          <w:sz w:val="32"/>
          <w:szCs w:val="32"/>
        </w:rPr>
        <w:t>二、机构设置</w:t>
      </w:r>
      <w:r>
        <w:rPr>
          <w:rFonts w:hint="eastAsia" w:ascii="仿宋_GB2312" w:hAnsi="仿宋_GB2312" w:eastAsia="仿宋_GB2312" w:cs="仿宋_GB2312"/>
          <w:color w:val="auto"/>
          <w:sz w:val="32"/>
          <w:szCs w:val="32"/>
          <w:lang w:eastAsia="zh-CN"/>
        </w:rPr>
        <w:t>及决算单位构成</w:t>
      </w:r>
    </w:p>
    <w:p w14:paraId="3CE431DD">
      <w:pPr>
        <w:pStyle w:val="13"/>
        <w:keepNext w:val="0"/>
        <w:keepLines w:val="0"/>
        <w:pageBreakBefore w:val="0"/>
        <w:widowControl w:val="0"/>
        <w:kinsoku/>
        <w:wordWrap/>
        <w:overflowPunct/>
        <w:topLinePunct w:val="0"/>
        <w:bidi w:val="0"/>
        <w:snapToGrid/>
        <w:spacing w:line="640" w:lineRule="exact"/>
        <w:textAlignment w:val="auto"/>
        <w:rPr>
          <w:rFonts w:hint="eastAsia" w:ascii="黑体" w:hAnsi="黑体" w:eastAsia="黑体" w:cs="黑体"/>
          <w:b w:val="0"/>
          <w:bCs/>
          <w:color w:val="auto"/>
          <w:sz w:val="32"/>
          <w:szCs w:val="32"/>
        </w:rPr>
      </w:pPr>
      <w:r>
        <w:rPr>
          <w:rFonts w:hint="eastAsia" w:ascii="黑体" w:hAnsi="黑体" w:eastAsia="黑体" w:cs="黑体"/>
          <w:b w:val="0"/>
          <w:bCs/>
          <w:color w:val="auto"/>
          <w:sz w:val="32"/>
          <w:szCs w:val="32"/>
        </w:rPr>
        <w:t>第二部分</w:t>
      </w:r>
      <w:r>
        <w:rPr>
          <w:rFonts w:hint="eastAsia" w:ascii="黑体" w:hAnsi="黑体" w:eastAsia="黑体" w:cs="黑体"/>
          <w:b w:val="0"/>
          <w:bCs/>
          <w:color w:val="auto"/>
          <w:sz w:val="32"/>
          <w:szCs w:val="32"/>
          <w:lang w:val="en-US" w:eastAsia="zh-CN"/>
        </w:rPr>
        <w:t xml:space="preserve"> </w:t>
      </w:r>
      <w:r>
        <w:rPr>
          <w:rFonts w:hint="eastAsia" w:ascii="黑体" w:hAnsi="黑体" w:eastAsia="黑体" w:cs="黑体"/>
          <w:b w:val="0"/>
          <w:bCs/>
          <w:color w:val="auto"/>
          <w:sz w:val="32"/>
          <w:szCs w:val="32"/>
        </w:rPr>
        <w:t>部门决算表</w:t>
      </w:r>
    </w:p>
    <w:p w14:paraId="4B1DE222">
      <w:pPr>
        <w:pStyle w:val="13"/>
        <w:keepNext w:val="0"/>
        <w:keepLines w:val="0"/>
        <w:pageBreakBefore w:val="0"/>
        <w:widowControl w:val="0"/>
        <w:kinsoku/>
        <w:wordWrap/>
        <w:overflowPunct/>
        <w:topLinePunct w:val="0"/>
        <w:bidi w:val="0"/>
        <w:snapToGrid/>
        <w:spacing w:line="640" w:lineRule="exact"/>
        <w:ind w:firstLine="800" w:firstLineChars="250"/>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一、收入支出决算总表</w:t>
      </w:r>
    </w:p>
    <w:p w14:paraId="28DAEA9B">
      <w:pPr>
        <w:pStyle w:val="13"/>
        <w:keepNext w:val="0"/>
        <w:keepLines w:val="0"/>
        <w:pageBreakBefore w:val="0"/>
        <w:widowControl w:val="0"/>
        <w:kinsoku/>
        <w:wordWrap/>
        <w:overflowPunct/>
        <w:topLinePunct w:val="0"/>
        <w:bidi w:val="0"/>
        <w:snapToGrid/>
        <w:spacing w:line="640" w:lineRule="exact"/>
        <w:ind w:firstLine="800" w:firstLineChars="250"/>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二、收入决算表</w:t>
      </w:r>
    </w:p>
    <w:p w14:paraId="4189E141">
      <w:pPr>
        <w:pStyle w:val="13"/>
        <w:keepNext w:val="0"/>
        <w:keepLines w:val="0"/>
        <w:pageBreakBefore w:val="0"/>
        <w:widowControl w:val="0"/>
        <w:kinsoku/>
        <w:wordWrap/>
        <w:overflowPunct/>
        <w:topLinePunct w:val="0"/>
        <w:bidi w:val="0"/>
        <w:snapToGrid/>
        <w:spacing w:line="640" w:lineRule="exact"/>
        <w:ind w:firstLine="800" w:firstLineChars="250"/>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三、支出决算表</w:t>
      </w:r>
    </w:p>
    <w:p w14:paraId="0621647E">
      <w:pPr>
        <w:pStyle w:val="13"/>
        <w:keepNext w:val="0"/>
        <w:keepLines w:val="0"/>
        <w:pageBreakBefore w:val="0"/>
        <w:widowControl w:val="0"/>
        <w:kinsoku/>
        <w:wordWrap/>
        <w:overflowPunct/>
        <w:topLinePunct w:val="0"/>
        <w:bidi w:val="0"/>
        <w:snapToGrid/>
        <w:spacing w:line="640" w:lineRule="exact"/>
        <w:ind w:firstLine="800" w:firstLineChars="250"/>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四、财政拨款收入支出决算总表</w:t>
      </w:r>
    </w:p>
    <w:p w14:paraId="28E0B171">
      <w:pPr>
        <w:pStyle w:val="13"/>
        <w:keepNext w:val="0"/>
        <w:keepLines w:val="0"/>
        <w:pageBreakBefore w:val="0"/>
        <w:widowControl w:val="0"/>
        <w:kinsoku/>
        <w:wordWrap/>
        <w:overflowPunct/>
        <w:topLinePunct w:val="0"/>
        <w:bidi w:val="0"/>
        <w:snapToGrid/>
        <w:spacing w:line="640" w:lineRule="exact"/>
        <w:ind w:firstLine="800" w:firstLineChars="250"/>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五、一般公共预算财政拨款支出决算表</w:t>
      </w:r>
    </w:p>
    <w:p w14:paraId="0A1DA969">
      <w:pPr>
        <w:pStyle w:val="13"/>
        <w:keepNext w:val="0"/>
        <w:keepLines w:val="0"/>
        <w:pageBreakBefore w:val="0"/>
        <w:widowControl w:val="0"/>
        <w:kinsoku/>
        <w:wordWrap/>
        <w:overflowPunct/>
        <w:topLinePunct w:val="0"/>
        <w:bidi w:val="0"/>
        <w:snapToGrid/>
        <w:spacing w:line="640" w:lineRule="exact"/>
        <w:ind w:firstLine="800" w:firstLineChars="250"/>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六、一般公共预算财政拨款基本支出决算明细表</w:t>
      </w:r>
    </w:p>
    <w:p w14:paraId="62E9A333">
      <w:pPr>
        <w:pStyle w:val="13"/>
        <w:keepNext w:val="0"/>
        <w:keepLines w:val="0"/>
        <w:pageBreakBefore w:val="0"/>
        <w:widowControl w:val="0"/>
        <w:kinsoku/>
        <w:wordWrap/>
        <w:overflowPunct/>
        <w:topLinePunct w:val="0"/>
        <w:bidi w:val="0"/>
        <w:snapToGrid/>
        <w:spacing w:line="640" w:lineRule="exact"/>
        <w:ind w:firstLine="800" w:firstLineChars="250"/>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七、政府性基金预算财政拨款收入支出决算表</w:t>
      </w:r>
    </w:p>
    <w:p w14:paraId="316661B6">
      <w:pPr>
        <w:pStyle w:val="13"/>
        <w:keepNext w:val="0"/>
        <w:keepLines w:val="0"/>
        <w:pageBreakBefore w:val="0"/>
        <w:widowControl w:val="0"/>
        <w:kinsoku/>
        <w:wordWrap/>
        <w:overflowPunct/>
        <w:topLinePunct w:val="0"/>
        <w:bidi w:val="0"/>
        <w:snapToGrid/>
        <w:spacing w:line="640" w:lineRule="exact"/>
        <w:ind w:firstLine="800" w:firstLineChars="250"/>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八、国有资本经营预算财政拨款支出决算表</w:t>
      </w:r>
    </w:p>
    <w:p w14:paraId="23827588">
      <w:pPr>
        <w:pStyle w:val="13"/>
        <w:keepNext w:val="0"/>
        <w:keepLines w:val="0"/>
        <w:pageBreakBefore w:val="0"/>
        <w:widowControl w:val="0"/>
        <w:kinsoku/>
        <w:wordWrap/>
        <w:overflowPunct/>
        <w:topLinePunct w:val="0"/>
        <w:bidi w:val="0"/>
        <w:snapToGrid/>
        <w:spacing w:line="640" w:lineRule="exact"/>
        <w:ind w:firstLine="800" w:firstLineChars="250"/>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九、财政拨款“三公”经费支出决算表</w:t>
      </w:r>
    </w:p>
    <w:p w14:paraId="69B4707F">
      <w:pPr>
        <w:pStyle w:val="13"/>
        <w:keepNext w:val="0"/>
        <w:keepLines w:val="0"/>
        <w:pageBreakBefore w:val="0"/>
        <w:widowControl w:val="0"/>
        <w:kinsoku/>
        <w:wordWrap/>
        <w:overflowPunct/>
        <w:topLinePunct w:val="0"/>
        <w:bidi w:val="0"/>
        <w:snapToGrid/>
        <w:spacing w:line="640" w:lineRule="exact"/>
        <w:textAlignment w:val="auto"/>
        <w:rPr>
          <w:rFonts w:hint="eastAsia" w:ascii="黑体" w:hAnsi="黑体" w:eastAsia="黑体" w:cs="黑体"/>
          <w:b w:val="0"/>
          <w:bCs/>
          <w:color w:val="auto"/>
          <w:sz w:val="32"/>
          <w:szCs w:val="32"/>
        </w:rPr>
      </w:pPr>
      <w:r>
        <w:rPr>
          <w:rFonts w:hint="eastAsia" w:ascii="黑体" w:hAnsi="黑体" w:eastAsia="黑体" w:cs="黑体"/>
          <w:b w:val="0"/>
          <w:bCs/>
          <w:color w:val="auto"/>
          <w:sz w:val="32"/>
          <w:szCs w:val="32"/>
        </w:rPr>
        <w:t>第三部分</w:t>
      </w:r>
      <w:r>
        <w:rPr>
          <w:rFonts w:hint="eastAsia" w:ascii="黑体" w:hAnsi="黑体" w:eastAsia="黑体" w:cs="黑体"/>
          <w:b w:val="0"/>
          <w:bCs/>
          <w:color w:val="auto"/>
          <w:sz w:val="32"/>
          <w:szCs w:val="32"/>
          <w:lang w:val="en-US" w:eastAsia="zh-CN"/>
        </w:rPr>
        <w:t xml:space="preserve"> </w:t>
      </w:r>
      <w:r>
        <w:rPr>
          <w:rFonts w:hint="eastAsia" w:ascii="黑体" w:hAnsi="黑体" w:eastAsia="黑体" w:cs="黑体"/>
          <w:b w:val="0"/>
          <w:bCs/>
          <w:color w:val="auto"/>
          <w:sz w:val="32"/>
          <w:szCs w:val="32"/>
        </w:rPr>
        <w:t>部门决算情况说明</w:t>
      </w:r>
    </w:p>
    <w:p w14:paraId="30D2819C">
      <w:pPr>
        <w:pStyle w:val="13"/>
        <w:keepNext w:val="0"/>
        <w:keepLines w:val="0"/>
        <w:pageBreakBefore w:val="0"/>
        <w:widowControl w:val="0"/>
        <w:kinsoku/>
        <w:wordWrap/>
        <w:overflowPunct/>
        <w:topLinePunct w:val="0"/>
        <w:bidi w:val="0"/>
        <w:snapToGrid/>
        <w:spacing w:line="640" w:lineRule="exact"/>
        <w:ind w:firstLine="800" w:firstLineChars="250"/>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一、收入支出决算总体情况说明</w:t>
      </w:r>
    </w:p>
    <w:p w14:paraId="2F99AFEC">
      <w:pPr>
        <w:keepNext w:val="0"/>
        <w:keepLines w:val="0"/>
        <w:pageBreakBefore w:val="0"/>
        <w:widowControl w:val="0"/>
        <w:kinsoku/>
        <w:wordWrap/>
        <w:overflowPunct/>
        <w:topLinePunct w:val="0"/>
        <w:bidi w:val="0"/>
        <w:snapToGrid/>
        <w:spacing w:line="640" w:lineRule="exact"/>
        <w:ind w:firstLine="800" w:firstLineChars="250"/>
        <w:jc w:val="left"/>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t>二、收入决算情况说明</w:t>
      </w:r>
    </w:p>
    <w:p w14:paraId="69796A82">
      <w:pPr>
        <w:keepNext w:val="0"/>
        <w:keepLines w:val="0"/>
        <w:pageBreakBefore w:val="0"/>
        <w:widowControl w:val="0"/>
        <w:kinsoku/>
        <w:wordWrap/>
        <w:overflowPunct/>
        <w:topLinePunct w:val="0"/>
        <w:autoSpaceDE w:val="0"/>
        <w:autoSpaceDN w:val="0"/>
        <w:bidi w:val="0"/>
        <w:adjustRightInd w:val="0"/>
        <w:snapToGrid/>
        <w:spacing w:line="640" w:lineRule="exact"/>
        <w:ind w:firstLine="800" w:firstLineChars="250"/>
        <w:jc w:val="left"/>
        <w:textAlignment w:val="auto"/>
        <w:rPr>
          <w:rFonts w:hint="eastAsia" w:ascii="仿宋_GB2312" w:hAnsi="仿宋_GB2312" w:eastAsia="仿宋_GB2312" w:cs="仿宋_GB2312"/>
          <w:color w:val="auto"/>
          <w:kern w:val="0"/>
          <w:sz w:val="32"/>
          <w:szCs w:val="32"/>
        </w:rPr>
      </w:pPr>
      <w:r>
        <w:rPr>
          <w:rFonts w:hint="eastAsia" w:ascii="仿宋_GB2312" w:hAnsi="仿宋_GB2312" w:eastAsia="仿宋_GB2312" w:cs="仿宋_GB2312"/>
          <w:color w:val="auto"/>
          <w:kern w:val="0"/>
          <w:sz w:val="32"/>
          <w:szCs w:val="32"/>
        </w:rPr>
        <w:t>三、支出决算情况说明</w:t>
      </w:r>
    </w:p>
    <w:p w14:paraId="42F5763D">
      <w:pPr>
        <w:keepNext w:val="0"/>
        <w:keepLines w:val="0"/>
        <w:pageBreakBefore w:val="0"/>
        <w:widowControl w:val="0"/>
        <w:kinsoku/>
        <w:wordWrap/>
        <w:overflowPunct/>
        <w:topLinePunct w:val="0"/>
        <w:autoSpaceDE w:val="0"/>
        <w:autoSpaceDN w:val="0"/>
        <w:bidi w:val="0"/>
        <w:adjustRightInd w:val="0"/>
        <w:snapToGrid/>
        <w:spacing w:line="640" w:lineRule="exact"/>
        <w:ind w:firstLine="800" w:firstLineChars="250"/>
        <w:jc w:val="left"/>
        <w:textAlignment w:val="auto"/>
        <w:rPr>
          <w:rFonts w:hint="eastAsia" w:ascii="仿宋_GB2312" w:hAnsi="仿宋_GB2312" w:eastAsia="仿宋_GB2312" w:cs="仿宋_GB2312"/>
          <w:color w:val="auto"/>
          <w:kern w:val="0"/>
          <w:sz w:val="32"/>
          <w:szCs w:val="32"/>
        </w:rPr>
      </w:pPr>
      <w:r>
        <w:rPr>
          <w:rFonts w:hint="eastAsia" w:ascii="仿宋_GB2312" w:hAnsi="仿宋_GB2312" w:eastAsia="仿宋_GB2312" w:cs="仿宋_GB2312"/>
          <w:color w:val="auto"/>
          <w:kern w:val="0"/>
          <w:sz w:val="32"/>
          <w:szCs w:val="32"/>
        </w:rPr>
        <w:t>四、财政拨款收入支出决算总体情况说明</w:t>
      </w:r>
    </w:p>
    <w:p w14:paraId="4551B6B2">
      <w:pPr>
        <w:keepNext w:val="0"/>
        <w:keepLines w:val="0"/>
        <w:pageBreakBefore w:val="0"/>
        <w:widowControl w:val="0"/>
        <w:kinsoku/>
        <w:wordWrap/>
        <w:overflowPunct/>
        <w:topLinePunct w:val="0"/>
        <w:autoSpaceDE w:val="0"/>
        <w:autoSpaceDN w:val="0"/>
        <w:bidi w:val="0"/>
        <w:adjustRightInd w:val="0"/>
        <w:snapToGrid/>
        <w:spacing w:line="640" w:lineRule="exact"/>
        <w:ind w:firstLine="800" w:firstLineChars="250"/>
        <w:jc w:val="left"/>
        <w:textAlignment w:val="auto"/>
        <w:rPr>
          <w:rFonts w:hint="eastAsia" w:ascii="仿宋_GB2312" w:hAnsi="仿宋_GB2312" w:eastAsia="仿宋_GB2312" w:cs="仿宋_GB2312"/>
          <w:color w:val="auto"/>
          <w:kern w:val="0"/>
          <w:sz w:val="32"/>
          <w:szCs w:val="32"/>
        </w:rPr>
      </w:pPr>
      <w:r>
        <w:rPr>
          <w:rFonts w:hint="eastAsia" w:ascii="仿宋_GB2312" w:hAnsi="仿宋_GB2312" w:eastAsia="仿宋_GB2312" w:cs="仿宋_GB2312"/>
          <w:color w:val="auto"/>
          <w:kern w:val="0"/>
          <w:sz w:val="32"/>
          <w:szCs w:val="32"/>
        </w:rPr>
        <w:t>五、一般公共预算财政拨款支出决算情况说明</w:t>
      </w:r>
    </w:p>
    <w:p w14:paraId="0BC2CE30">
      <w:pPr>
        <w:keepNext w:val="0"/>
        <w:keepLines w:val="0"/>
        <w:pageBreakBefore w:val="0"/>
        <w:widowControl w:val="0"/>
        <w:kinsoku/>
        <w:wordWrap/>
        <w:overflowPunct/>
        <w:topLinePunct w:val="0"/>
        <w:autoSpaceDE w:val="0"/>
        <w:autoSpaceDN w:val="0"/>
        <w:bidi w:val="0"/>
        <w:adjustRightInd w:val="0"/>
        <w:snapToGrid/>
        <w:spacing w:line="640" w:lineRule="exact"/>
        <w:ind w:firstLine="800" w:firstLineChars="250"/>
        <w:jc w:val="left"/>
        <w:textAlignment w:val="auto"/>
        <w:rPr>
          <w:rFonts w:hint="eastAsia" w:ascii="仿宋_GB2312" w:hAnsi="仿宋_GB2312" w:eastAsia="仿宋_GB2312" w:cs="仿宋_GB2312"/>
          <w:color w:val="auto"/>
          <w:kern w:val="0"/>
          <w:sz w:val="32"/>
          <w:szCs w:val="32"/>
        </w:rPr>
      </w:pPr>
      <w:r>
        <w:rPr>
          <w:rFonts w:hint="eastAsia" w:ascii="仿宋_GB2312" w:hAnsi="仿宋_GB2312" w:eastAsia="仿宋_GB2312" w:cs="仿宋_GB2312"/>
          <w:color w:val="auto"/>
          <w:kern w:val="0"/>
          <w:sz w:val="32"/>
          <w:szCs w:val="32"/>
        </w:rPr>
        <w:t>六、一般公共预算财政拨款基本支出决算情况说明</w:t>
      </w:r>
    </w:p>
    <w:p w14:paraId="11D85543">
      <w:pPr>
        <w:keepNext w:val="0"/>
        <w:keepLines w:val="0"/>
        <w:pageBreakBefore w:val="0"/>
        <w:widowControl w:val="0"/>
        <w:kinsoku/>
        <w:wordWrap/>
        <w:overflowPunct/>
        <w:topLinePunct w:val="0"/>
        <w:autoSpaceDE w:val="0"/>
        <w:autoSpaceDN w:val="0"/>
        <w:bidi w:val="0"/>
        <w:adjustRightInd w:val="0"/>
        <w:snapToGrid/>
        <w:spacing w:line="640" w:lineRule="exact"/>
        <w:ind w:firstLine="800" w:firstLineChars="250"/>
        <w:jc w:val="left"/>
        <w:textAlignment w:val="auto"/>
        <w:rPr>
          <w:rFonts w:hint="eastAsia" w:ascii="仿宋_GB2312" w:hAnsi="仿宋_GB2312" w:eastAsia="仿宋_GB2312" w:cs="仿宋_GB2312"/>
          <w:color w:val="auto"/>
          <w:kern w:val="0"/>
          <w:sz w:val="32"/>
          <w:szCs w:val="32"/>
        </w:rPr>
      </w:pPr>
      <w:r>
        <w:rPr>
          <w:rFonts w:hint="eastAsia" w:ascii="仿宋_GB2312" w:hAnsi="仿宋_GB2312" w:eastAsia="仿宋_GB2312" w:cs="仿宋_GB2312"/>
          <w:color w:val="auto"/>
          <w:kern w:val="0"/>
          <w:sz w:val="32"/>
          <w:szCs w:val="32"/>
        </w:rPr>
        <w:t>七、政府性基金预算收入支出决算情况</w:t>
      </w:r>
    </w:p>
    <w:p w14:paraId="5F6B554B">
      <w:pPr>
        <w:keepNext w:val="0"/>
        <w:keepLines w:val="0"/>
        <w:pageBreakBefore w:val="0"/>
        <w:widowControl w:val="0"/>
        <w:kinsoku/>
        <w:wordWrap/>
        <w:overflowPunct/>
        <w:topLinePunct w:val="0"/>
        <w:autoSpaceDE w:val="0"/>
        <w:autoSpaceDN w:val="0"/>
        <w:bidi w:val="0"/>
        <w:adjustRightInd w:val="0"/>
        <w:snapToGrid/>
        <w:spacing w:line="640" w:lineRule="exact"/>
        <w:ind w:firstLine="800" w:firstLineChars="250"/>
        <w:jc w:val="left"/>
        <w:textAlignment w:val="auto"/>
        <w:rPr>
          <w:rFonts w:hint="eastAsia" w:ascii="仿宋_GB2312" w:hAnsi="仿宋_GB2312" w:eastAsia="仿宋_GB2312" w:cs="仿宋_GB2312"/>
          <w:color w:val="auto"/>
          <w:kern w:val="0"/>
          <w:sz w:val="32"/>
          <w:szCs w:val="32"/>
          <w:highlight w:val="yellow"/>
        </w:rPr>
      </w:pPr>
      <w:r>
        <w:rPr>
          <w:rFonts w:hint="eastAsia" w:ascii="仿宋_GB2312" w:hAnsi="仿宋_GB2312" w:eastAsia="仿宋_GB2312" w:cs="仿宋_GB2312"/>
          <w:color w:val="auto"/>
          <w:kern w:val="0"/>
          <w:sz w:val="32"/>
          <w:szCs w:val="32"/>
          <w:highlight w:val="none"/>
        </w:rPr>
        <w:t>八、</w:t>
      </w:r>
      <w:r>
        <w:rPr>
          <w:rFonts w:hint="eastAsia" w:ascii="仿宋_GB2312" w:hAnsi="仿宋_GB2312" w:eastAsia="仿宋_GB2312" w:cs="仿宋_GB2312"/>
          <w:color w:val="auto"/>
          <w:sz w:val="32"/>
          <w:szCs w:val="32"/>
          <w:highlight w:val="none"/>
        </w:rPr>
        <w:t>国有资本经营预算财政拨款支出决算</w:t>
      </w:r>
      <w:r>
        <w:rPr>
          <w:rFonts w:hint="eastAsia" w:ascii="仿宋_GB2312" w:hAnsi="仿宋_GB2312" w:eastAsia="仿宋_GB2312" w:cs="仿宋_GB2312"/>
          <w:color w:val="auto"/>
          <w:sz w:val="32"/>
          <w:szCs w:val="32"/>
          <w:highlight w:val="none"/>
          <w:lang w:eastAsia="zh-CN"/>
        </w:rPr>
        <w:t>情况</w:t>
      </w:r>
    </w:p>
    <w:p w14:paraId="71D9102A">
      <w:pPr>
        <w:keepNext w:val="0"/>
        <w:keepLines w:val="0"/>
        <w:pageBreakBefore w:val="0"/>
        <w:widowControl w:val="0"/>
        <w:kinsoku/>
        <w:wordWrap/>
        <w:overflowPunct/>
        <w:topLinePunct w:val="0"/>
        <w:autoSpaceDE w:val="0"/>
        <w:autoSpaceDN w:val="0"/>
        <w:bidi w:val="0"/>
        <w:adjustRightInd w:val="0"/>
        <w:snapToGrid/>
        <w:spacing w:line="640" w:lineRule="exact"/>
        <w:ind w:firstLine="800" w:firstLineChars="250"/>
        <w:jc w:val="left"/>
        <w:textAlignment w:val="auto"/>
        <w:rPr>
          <w:rFonts w:hint="eastAsia" w:ascii="仿宋_GB2312" w:hAnsi="仿宋_GB2312" w:eastAsia="仿宋_GB2312" w:cs="仿宋_GB2312"/>
          <w:color w:val="auto"/>
          <w:kern w:val="0"/>
          <w:sz w:val="32"/>
          <w:szCs w:val="32"/>
          <w:lang w:eastAsia="zh-CN"/>
        </w:rPr>
      </w:pPr>
      <w:r>
        <w:rPr>
          <w:rFonts w:hint="eastAsia" w:ascii="仿宋_GB2312" w:hAnsi="仿宋_GB2312" w:eastAsia="仿宋_GB2312" w:cs="仿宋_GB2312"/>
          <w:color w:val="auto"/>
          <w:kern w:val="0"/>
          <w:sz w:val="32"/>
          <w:szCs w:val="32"/>
        </w:rPr>
        <w:t>九、财政拨款三公经费支出决算情况说明</w:t>
      </w:r>
    </w:p>
    <w:p w14:paraId="371B64F5">
      <w:pPr>
        <w:keepNext w:val="0"/>
        <w:keepLines w:val="0"/>
        <w:pageBreakBefore w:val="0"/>
        <w:widowControl w:val="0"/>
        <w:kinsoku/>
        <w:wordWrap/>
        <w:overflowPunct/>
        <w:topLinePunct w:val="0"/>
        <w:autoSpaceDE w:val="0"/>
        <w:autoSpaceDN w:val="0"/>
        <w:bidi w:val="0"/>
        <w:adjustRightInd w:val="0"/>
        <w:snapToGrid/>
        <w:spacing w:line="640" w:lineRule="exact"/>
        <w:ind w:firstLine="800" w:firstLineChars="250"/>
        <w:jc w:val="left"/>
        <w:textAlignment w:val="auto"/>
        <w:rPr>
          <w:rFonts w:hint="eastAsia" w:ascii="仿宋_GB2312" w:hAnsi="仿宋_GB2312" w:eastAsia="仿宋_GB2312" w:cs="仿宋_GB2312"/>
          <w:color w:val="auto"/>
          <w:kern w:val="0"/>
          <w:sz w:val="32"/>
          <w:szCs w:val="32"/>
        </w:rPr>
      </w:pPr>
      <w:r>
        <w:rPr>
          <w:rFonts w:hint="eastAsia" w:ascii="仿宋_GB2312" w:hAnsi="仿宋_GB2312" w:eastAsia="仿宋_GB2312" w:cs="仿宋_GB2312"/>
          <w:color w:val="auto"/>
          <w:kern w:val="0"/>
          <w:sz w:val="32"/>
          <w:szCs w:val="32"/>
        </w:rPr>
        <w:t>十、关于机关运行经费支出说明</w:t>
      </w:r>
    </w:p>
    <w:p w14:paraId="1624E73C">
      <w:pPr>
        <w:keepNext w:val="0"/>
        <w:keepLines w:val="0"/>
        <w:pageBreakBefore w:val="0"/>
        <w:widowControl w:val="0"/>
        <w:kinsoku/>
        <w:wordWrap/>
        <w:overflowPunct/>
        <w:topLinePunct w:val="0"/>
        <w:autoSpaceDE w:val="0"/>
        <w:autoSpaceDN w:val="0"/>
        <w:bidi w:val="0"/>
        <w:adjustRightInd w:val="0"/>
        <w:snapToGrid/>
        <w:spacing w:line="640" w:lineRule="exact"/>
        <w:ind w:firstLine="800" w:firstLineChars="250"/>
        <w:jc w:val="left"/>
        <w:textAlignment w:val="auto"/>
        <w:rPr>
          <w:rFonts w:hint="eastAsia" w:ascii="仿宋_GB2312" w:hAnsi="仿宋_GB2312" w:eastAsia="仿宋_GB2312" w:cs="仿宋_GB2312"/>
          <w:color w:val="auto"/>
          <w:kern w:val="0"/>
          <w:sz w:val="32"/>
          <w:szCs w:val="32"/>
        </w:rPr>
      </w:pPr>
      <w:r>
        <w:rPr>
          <w:rFonts w:hint="eastAsia" w:ascii="仿宋_GB2312" w:hAnsi="仿宋_GB2312" w:eastAsia="仿宋_GB2312" w:cs="仿宋_GB2312"/>
          <w:color w:val="auto"/>
          <w:kern w:val="0"/>
          <w:sz w:val="32"/>
          <w:szCs w:val="32"/>
        </w:rPr>
        <w:t>十一、一般性支出情况说明</w:t>
      </w:r>
    </w:p>
    <w:p w14:paraId="6C86A3EF">
      <w:pPr>
        <w:keepNext w:val="0"/>
        <w:keepLines w:val="0"/>
        <w:pageBreakBefore w:val="0"/>
        <w:widowControl w:val="0"/>
        <w:kinsoku/>
        <w:wordWrap/>
        <w:overflowPunct/>
        <w:topLinePunct w:val="0"/>
        <w:autoSpaceDE w:val="0"/>
        <w:autoSpaceDN w:val="0"/>
        <w:bidi w:val="0"/>
        <w:adjustRightInd w:val="0"/>
        <w:snapToGrid/>
        <w:spacing w:line="640" w:lineRule="exact"/>
        <w:ind w:firstLine="800" w:firstLineChars="250"/>
        <w:jc w:val="left"/>
        <w:textAlignment w:val="auto"/>
        <w:rPr>
          <w:rFonts w:hint="eastAsia" w:ascii="仿宋_GB2312" w:hAnsi="仿宋_GB2312" w:eastAsia="仿宋_GB2312" w:cs="仿宋_GB2312"/>
          <w:color w:val="auto"/>
          <w:kern w:val="0"/>
          <w:sz w:val="32"/>
          <w:szCs w:val="32"/>
        </w:rPr>
      </w:pPr>
      <w:r>
        <w:rPr>
          <w:rFonts w:hint="eastAsia" w:ascii="仿宋_GB2312" w:hAnsi="仿宋_GB2312" w:eastAsia="仿宋_GB2312" w:cs="仿宋_GB2312"/>
          <w:color w:val="auto"/>
          <w:sz w:val="32"/>
          <w:szCs w:val="32"/>
        </w:rPr>
        <w:t>十二、</w:t>
      </w:r>
      <w:r>
        <w:rPr>
          <w:rFonts w:hint="eastAsia" w:ascii="仿宋_GB2312" w:hAnsi="仿宋_GB2312" w:eastAsia="仿宋_GB2312" w:cs="仿宋_GB2312"/>
          <w:color w:val="auto"/>
          <w:kern w:val="0"/>
          <w:sz w:val="32"/>
          <w:szCs w:val="32"/>
        </w:rPr>
        <w:t>关于政府采购支出说明</w:t>
      </w:r>
    </w:p>
    <w:p w14:paraId="5E15A642">
      <w:pPr>
        <w:keepNext w:val="0"/>
        <w:keepLines w:val="0"/>
        <w:pageBreakBefore w:val="0"/>
        <w:widowControl w:val="0"/>
        <w:kinsoku/>
        <w:wordWrap/>
        <w:overflowPunct/>
        <w:topLinePunct w:val="0"/>
        <w:autoSpaceDE w:val="0"/>
        <w:autoSpaceDN w:val="0"/>
        <w:bidi w:val="0"/>
        <w:adjustRightInd w:val="0"/>
        <w:snapToGrid/>
        <w:spacing w:line="640" w:lineRule="exact"/>
        <w:ind w:firstLine="800" w:firstLineChars="250"/>
        <w:textAlignment w:val="auto"/>
        <w:rPr>
          <w:rFonts w:hint="eastAsia" w:ascii="仿宋_GB2312" w:hAnsi="仿宋_GB2312" w:eastAsia="仿宋_GB2312" w:cs="仿宋_GB2312"/>
          <w:color w:val="auto"/>
          <w:kern w:val="0"/>
          <w:sz w:val="32"/>
          <w:szCs w:val="32"/>
          <w:lang w:val="en-US" w:eastAsia="zh-CN" w:bidi="ar-SA"/>
        </w:rPr>
      </w:pPr>
      <w:r>
        <w:rPr>
          <w:rFonts w:hint="eastAsia" w:ascii="仿宋_GB2312" w:hAnsi="仿宋_GB2312" w:eastAsia="仿宋_GB2312" w:cs="仿宋_GB2312"/>
          <w:color w:val="auto"/>
          <w:kern w:val="0"/>
          <w:sz w:val="32"/>
          <w:szCs w:val="32"/>
          <w:lang w:val="en-US" w:eastAsia="zh-CN" w:bidi="ar-SA"/>
        </w:rPr>
        <w:t>十三、关于国有资产占用情况说明</w:t>
      </w:r>
    </w:p>
    <w:p w14:paraId="5BD7D26C">
      <w:pPr>
        <w:pStyle w:val="13"/>
        <w:keepNext w:val="0"/>
        <w:keepLines w:val="0"/>
        <w:pageBreakBefore w:val="0"/>
        <w:widowControl w:val="0"/>
        <w:kinsoku/>
        <w:wordWrap/>
        <w:overflowPunct/>
        <w:topLinePunct w:val="0"/>
        <w:bidi w:val="0"/>
        <w:snapToGrid/>
        <w:spacing w:line="640" w:lineRule="exact"/>
        <w:ind w:firstLine="800" w:firstLineChars="250"/>
        <w:textAlignment w:val="auto"/>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kern w:val="0"/>
          <w:sz w:val="32"/>
          <w:szCs w:val="32"/>
          <w:highlight w:val="none"/>
          <w:lang w:val="en-US" w:eastAsia="zh-CN" w:bidi="ar-SA"/>
        </w:rPr>
        <w:t>十四、</w:t>
      </w:r>
      <w:r>
        <w:rPr>
          <w:rFonts w:hint="eastAsia" w:ascii="仿宋_GB2312" w:hAnsi="仿宋_GB2312" w:eastAsia="仿宋_GB2312" w:cs="仿宋_GB2312"/>
          <w:color w:val="auto"/>
          <w:sz w:val="32"/>
          <w:szCs w:val="32"/>
          <w:highlight w:val="none"/>
        </w:rPr>
        <w:t>关于</w:t>
      </w:r>
      <w:r>
        <w:rPr>
          <w:rFonts w:hint="default" w:ascii="Times New Roman" w:hAnsi="Times New Roman" w:eastAsia="仿宋_GB2312" w:cs="Times New Roman"/>
          <w:color w:val="auto"/>
          <w:sz w:val="32"/>
          <w:szCs w:val="32"/>
          <w:highlight w:val="none"/>
        </w:rPr>
        <w:t>202</w:t>
      </w:r>
      <w:r>
        <w:rPr>
          <w:rFonts w:hint="eastAsia" w:ascii="Times New Roman" w:hAnsi="Times New Roman" w:eastAsia="仿宋_GB2312" w:cs="Times New Roman"/>
          <w:color w:val="auto"/>
          <w:sz w:val="32"/>
          <w:szCs w:val="32"/>
          <w:highlight w:val="none"/>
          <w:lang w:val="en-US" w:eastAsia="zh-CN"/>
        </w:rPr>
        <w:t>4</w:t>
      </w:r>
      <w:r>
        <w:rPr>
          <w:rFonts w:hint="eastAsia" w:ascii="仿宋_GB2312" w:hAnsi="仿宋_GB2312" w:eastAsia="仿宋_GB2312" w:cs="仿宋_GB2312"/>
          <w:color w:val="auto"/>
          <w:sz w:val="32"/>
          <w:szCs w:val="32"/>
          <w:highlight w:val="none"/>
        </w:rPr>
        <w:t>年度</w:t>
      </w:r>
      <w:r>
        <w:rPr>
          <w:rFonts w:hint="eastAsia" w:ascii="仿宋_GB2312" w:hAnsi="仿宋_GB2312" w:eastAsia="仿宋_GB2312" w:cs="仿宋_GB2312"/>
          <w:color w:val="auto"/>
          <w:sz w:val="32"/>
          <w:szCs w:val="32"/>
          <w:highlight w:val="none"/>
          <w:lang w:eastAsia="zh-CN"/>
        </w:rPr>
        <w:t>预算</w:t>
      </w:r>
      <w:r>
        <w:rPr>
          <w:rFonts w:hint="eastAsia" w:ascii="仿宋_GB2312" w:hAnsi="仿宋_GB2312" w:eastAsia="仿宋_GB2312" w:cs="仿宋_GB2312"/>
          <w:color w:val="auto"/>
          <w:sz w:val="32"/>
          <w:szCs w:val="32"/>
          <w:highlight w:val="none"/>
        </w:rPr>
        <w:t>绩效</w:t>
      </w:r>
      <w:r>
        <w:rPr>
          <w:rFonts w:hint="eastAsia" w:ascii="仿宋_GB2312" w:hAnsi="仿宋_GB2312" w:eastAsia="仿宋_GB2312" w:cs="仿宋_GB2312"/>
          <w:color w:val="auto"/>
          <w:sz w:val="32"/>
          <w:szCs w:val="32"/>
          <w:highlight w:val="none"/>
          <w:lang w:eastAsia="zh-CN"/>
        </w:rPr>
        <w:t>管理</w:t>
      </w:r>
      <w:r>
        <w:rPr>
          <w:rFonts w:hint="eastAsia" w:ascii="仿宋_GB2312" w:hAnsi="仿宋_GB2312" w:eastAsia="仿宋_GB2312" w:cs="仿宋_GB2312"/>
          <w:color w:val="auto"/>
          <w:sz w:val="32"/>
          <w:szCs w:val="32"/>
          <w:highlight w:val="none"/>
        </w:rPr>
        <w:t>情况的说明</w:t>
      </w:r>
    </w:p>
    <w:p w14:paraId="51852483">
      <w:pPr>
        <w:pStyle w:val="13"/>
        <w:keepNext w:val="0"/>
        <w:keepLines w:val="0"/>
        <w:pageBreakBefore w:val="0"/>
        <w:widowControl w:val="0"/>
        <w:kinsoku/>
        <w:wordWrap/>
        <w:overflowPunct/>
        <w:topLinePunct w:val="0"/>
        <w:bidi w:val="0"/>
        <w:snapToGrid/>
        <w:spacing w:line="640" w:lineRule="exact"/>
        <w:textAlignment w:val="auto"/>
        <w:rPr>
          <w:rFonts w:hint="eastAsia" w:ascii="黑体" w:hAnsi="黑体" w:eastAsia="黑体" w:cs="黑体"/>
          <w:b w:val="0"/>
          <w:bCs/>
          <w:color w:val="auto"/>
          <w:sz w:val="32"/>
          <w:szCs w:val="32"/>
        </w:rPr>
      </w:pPr>
      <w:r>
        <w:rPr>
          <w:rFonts w:hint="eastAsia" w:ascii="黑体" w:hAnsi="黑体" w:eastAsia="黑体" w:cs="黑体"/>
          <w:b w:val="0"/>
          <w:bCs/>
          <w:color w:val="auto"/>
          <w:sz w:val="32"/>
          <w:szCs w:val="32"/>
        </w:rPr>
        <w:t>第四部分</w:t>
      </w:r>
      <w:r>
        <w:rPr>
          <w:rFonts w:hint="eastAsia" w:ascii="黑体" w:hAnsi="黑体" w:eastAsia="黑体" w:cs="黑体"/>
          <w:b w:val="0"/>
          <w:bCs/>
          <w:color w:val="auto"/>
          <w:sz w:val="32"/>
          <w:szCs w:val="32"/>
          <w:lang w:val="en-US" w:eastAsia="zh-CN"/>
        </w:rPr>
        <w:t xml:space="preserve"> </w:t>
      </w:r>
      <w:r>
        <w:rPr>
          <w:rFonts w:hint="eastAsia" w:ascii="黑体" w:hAnsi="黑体" w:eastAsia="黑体" w:cs="黑体"/>
          <w:b w:val="0"/>
          <w:bCs/>
          <w:color w:val="auto"/>
          <w:sz w:val="32"/>
          <w:szCs w:val="32"/>
        </w:rPr>
        <w:t>名词解释</w:t>
      </w:r>
    </w:p>
    <w:p w14:paraId="7D866A9C">
      <w:pPr>
        <w:pStyle w:val="13"/>
        <w:keepNext w:val="0"/>
        <w:keepLines w:val="0"/>
        <w:pageBreakBefore w:val="0"/>
        <w:widowControl w:val="0"/>
        <w:kinsoku/>
        <w:wordWrap/>
        <w:overflowPunct/>
        <w:topLinePunct w:val="0"/>
        <w:bidi w:val="0"/>
        <w:snapToGrid/>
        <w:spacing w:line="640" w:lineRule="exact"/>
        <w:textAlignment w:val="auto"/>
        <w:rPr>
          <w:rFonts w:hint="eastAsia" w:ascii="黑体" w:hAnsi="黑体" w:eastAsia="黑体" w:cs="黑体"/>
          <w:b w:val="0"/>
          <w:bCs/>
          <w:color w:val="auto"/>
          <w:sz w:val="32"/>
          <w:szCs w:val="32"/>
          <w:lang w:eastAsia="zh-CN"/>
        </w:rPr>
      </w:pPr>
      <w:r>
        <w:rPr>
          <w:rFonts w:hint="eastAsia" w:ascii="黑体" w:hAnsi="黑体" w:eastAsia="黑体" w:cs="黑体"/>
          <w:b w:val="0"/>
          <w:bCs/>
          <w:color w:val="auto"/>
          <w:sz w:val="32"/>
          <w:szCs w:val="32"/>
        </w:rPr>
        <w:t>第</w:t>
      </w:r>
      <w:r>
        <w:rPr>
          <w:rFonts w:hint="eastAsia" w:hAnsi="黑体" w:cs="黑体"/>
          <w:b w:val="0"/>
          <w:bCs/>
          <w:color w:val="auto"/>
          <w:sz w:val="32"/>
          <w:szCs w:val="32"/>
          <w:lang w:eastAsia="zh-CN"/>
        </w:rPr>
        <w:t>五</w:t>
      </w:r>
      <w:r>
        <w:rPr>
          <w:rFonts w:hint="eastAsia" w:ascii="黑体" w:hAnsi="黑体" w:eastAsia="黑体" w:cs="黑体"/>
          <w:b w:val="0"/>
          <w:bCs/>
          <w:color w:val="auto"/>
          <w:sz w:val="32"/>
          <w:szCs w:val="32"/>
        </w:rPr>
        <w:t>部分</w:t>
      </w:r>
      <w:r>
        <w:rPr>
          <w:rFonts w:hint="eastAsia" w:ascii="黑体" w:hAnsi="黑体" w:eastAsia="黑体" w:cs="黑体"/>
          <w:b w:val="0"/>
          <w:bCs/>
          <w:color w:val="auto"/>
          <w:sz w:val="32"/>
          <w:szCs w:val="32"/>
          <w:lang w:val="en-US" w:eastAsia="zh-CN"/>
        </w:rPr>
        <w:t xml:space="preserve"> </w:t>
      </w:r>
      <w:r>
        <w:rPr>
          <w:rFonts w:hint="eastAsia" w:hAnsi="黑体" w:cs="黑体"/>
          <w:b w:val="0"/>
          <w:bCs/>
          <w:color w:val="auto"/>
          <w:sz w:val="32"/>
          <w:szCs w:val="32"/>
          <w:lang w:eastAsia="zh-CN"/>
        </w:rPr>
        <w:t>附件</w:t>
      </w:r>
    </w:p>
    <w:p w14:paraId="2E7F14A9">
      <w:pPr>
        <w:pStyle w:val="13"/>
        <w:keepNext w:val="0"/>
        <w:keepLines w:val="0"/>
        <w:pageBreakBefore w:val="0"/>
        <w:kinsoku/>
        <w:wordWrap/>
        <w:topLinePunct w:val="0"/>
        <w:bidi w:val="0"/>
        <w:spacing w:line="240" w:lineRule="auto"/>
        <w:jc w:val="center"/>
        <w:textAlignment w:val="auto"/>
        <w:rPr>
          <w:rFonts w:hint="eastAsia" w:ascii="方正小标宋_GBK" w:hAnsi="方正小标宋_GBK" w:eastAsia="方正小标宋_GBK" w:cs="方正小标宋_GBK"/>
          <w:color w:val="auto"/>
          <w:sz w:val="84"/>
          <w:szCs w:val="84"/>
        </w:rPr>
      </w:pPr>
    </w:p>
    <w:p w14:paraId="1095DEAB">
      <w:pPr>
        <w:pStyle w:val="13"/>
        <w:keepNext w:val="0"/>
        <w:keepLines w:val="0"/>
        <w:pageBreakBefore w:val="0"/>
        <w:kinsoku/>
        <w:wordWrap/>
        <w:topLinePunct w:val="0"/>
        <w:bidi w:val="0"/>
        <w:spacing w:line="240" w:lineRule="auto"/>
        <w:jc w:val="center"/>
        <w:textAlignment w:val="auto"/>
        <w:rPr>
          <w:rFonts w:hint="eastAsia" w:ascii="方正小标宋_GBK" w:hAnsi="方正小标宋_GBK" w:eastAsia="方正小标宋_GBK" w:cs="方正小标宋_GBK"/>
          <w:color w:val="auto"/>
          <w:sz w:val="84"/>
          <w:szCs w:val="84"/>
        </w:rPr>
      </w:pPr>
    </w:p>
    <w:p w14:paraId="3FBD4364">
      <w:pPr>
        <w:rPr>
          <w:rFonts w:hint="eastAsia" w:ascii="方正小标宋_GBK" w:hAnsi="方正小标宋_GBK" w:eastAsia="方正小标宋_GBK" w:cs="方正小标宋_GBK"/>
          <w:color w:val="auto"/>
          <w:sz w:val="84"/>
          <w:szCs w:val="84"/>
        </w:rPr>
      </w:pPr>
      <w:r>
        <w:rPr>
          <w:rFonts w:hint="eastAsia" w:ascii="方正小标宋_GBK" w:hAnsi="方正小标宋_GBK" w:eastAsia="方正小标宋_GBK" w:cs="方正小标宋_GBK"/>
          <w:color w:val="auto"/>
          <w:sz w:val="84"/>
          <w:szCs w:val="84"/>
        </w:rPr>
        <w:br w:type="page"/>
      </w:r>
    </w:p>
    <w:p w14:paraId="7CF0E240">
      <w:pPr>
        <w:pStyle w:val="13"/>
        <w:keepNext w:val="0"/>
        <w:keepLines w:val="0"/>
        <w:pageBreakBefore w:val="0"/>
        <w:kinsoku/>
        <w:wordWrap/>
        <w:topLinePunct w:val="0"/>
        <w:bidi w:val="0"/>
        <w:spacing w:line="240" w:lineRule="auto"/>
        <w:jc w:val="center"/>
        <w:textAlignment w:val="auto"/>
        <w:rPr>
          <w:rFonts w:hint="eastAsia" w:ascii="方正小标宋_GBK" w:hAnsi="方正小标宋_GBK" w:eastAsia="方正小标宋_GBK" w:cs="方正小标宋_GBK"/>
          <w:color w:val="auto"/>
          <w:sz w:val="84"/>
          <w:szCs w:val="84"/>
        </w:rPr>
      </w:pPr>
    </w:p>
    <w:p w14:paraId="05ED344E">
      <w:pPr>
        <w:pStyle w:val="13"/>
        <w:keepNext w:val="0"/>
        <w:keepLines w:val="0"/>
        <w:pageBreakBefore w:val="0"/>
        <w:kinsoku/>
        <w:wordWrap/>
        <w:topLinePunct w:val="0"/>
        <w:bidi w:val="0"/>
        <w:spacing w:line="240" w:lineRule="auto"/>
        <w:jc w:val="center"/>
        <w:textAlignment w:val="auto"/>
        <w:rPr>
          <w:rFonts w:hint="eastAsia" w:ascii="方正小标宋_GBK" w:hAnsi="方正小标宋_GBK" w:eastAsia="方正小标宋_GBK" w:cs="方正小标宋_GBK"/>
          <w:color w:val="auto"/>
          <w:sz w:val="84"/>
          <w:szCs w:val="84"/>
        </w:rPr>
      </w:pPr>
    </w:p>
    <w:p w14:paraId="0DEEC249">
      <w:pPr>
        <w:pStyle w:val="13"/>
        <w:keepNext w:val="0"/>
        <w:keepLines w:val="0"/>
        <w:pageBreakBefore w:val="0"/>
        <w:kinsoku/>
        <w:wordWrap/>
        <w:topLinePunct w:val="0"/>
        <w:bidi w:val="0"/>
        <w:spacing w:line="240" w:lineRule="auto"/>
        <w:jc w:val="center"/>
        <w:textAlignment w:val="auto"/>
        <w:rPr>
          <w:rFonts w:hint="eastAsia" w:ascii="方正小标宋_GBK" w:hAnsi="方正小标宋_GBK" w:eastAsia="方正小标宋_GBK" w:cs="方正小标宋_GBK"/>
          <w:color w:val="auto"/>
          <w:sz w:val="84"/>
          <w:szCs w:val="84"/>
        </w:rPr>
      </w:pPr>
      <w:r>
        <w:rPr>
          <w:rFonts w:hint="eastAsia" w:ascii="方正小标宋_GBK" w:hAnsi="方正小标宋_GBK" w:eastAsia="方正小标宋_GBK" w:cs="方正小标宋_GBK"/>
          <w:color w:val="auto"/>
          <w:sz w:val="84"/>
          <w:szCs w:val="84"/>
        </w:rPr>
        <w:t>第一部分</w:t>
      </w:r>
    </w:p>
    <w:p w14:paraId="5C6A94F8">
      <w:pPr>
        <w:pStyle w:val="13"/>
        <w:keepNext w:val="0"/>
        <w:keepLines w:val="0"/>
        <w:pageBreakBefore w:val="0"/>
        <w:kinsoku/>
        <w:wordWrap/>
        <w:topLinePunct w:val="0"/>
        <w:bidi w:val="0"/>
        <w:spacing w:line="240" w:lineRule="auto"/>
        <w:jc w:val="center"/>
        <w:textAlignment w:val="auto"/>
        <w:rPr>
          <w:rFonts w:hint="eastAsia" w:ascii="方正小标宋_GBK" w:hAnsi="方正小标宋_GBK" w:eastAsia="方正小标宋_GBK" w:cs="方正小标宋_GBK"/>
          <w:color w:val="auto"/>
          <w:sz w:val="84"/>
          <w:szCs w:val="84"/>
        </w:rPr>
      </w:pPr>
    </w:p>
    <w:p w14:paraId="5963670B">
      <w:pPr>
        <w:pStyle w:val="13"/>
        <w:keepNext w:val="0"/>
        <w:keepLines w:val="0"/>
        <w:pageBreakBefore w:val="0"/>
        <w:kinsoku/>
        <w:wordWrap/>
        <w:topLinePunct w:val="0"/>
        <w:bidi w:val="0"/>
        <w:spacing w:line="240" w:lineRule="auto"/>
        <w:jc w:val="center"/>
        <w:textAlignment w:val="auto"/>
        <w:rPr>
          <w:rFonts w:hint="eastAsia" w:ascii="方正小标宋_GBK" w:hAnsi="方正小标宋_GBK" w:eastAsia="方正小标宋_GBK" w:cs="方正小标宋_GBK"/>
          <w:color w:val="auto"/>
          <w:sz w:val="84"/>
          <w:szCs w:val="84"/>
        </w:rPr>
      </w:pPr>
      <w:r>
        <w:rPr>
          <w:rFonts w:hint="eastAsia" w:ascii="方正小标宋_GBK" w:hAnsi="方正小标宋_GBK" w:eastAsia="方正小标宋_GBK" w:cs="方正小标宋_GBK"/>
          <w:color w:val="auto"/>
          <w:sz w:val="84"/>
          <w:szCs w:val="84"/>
          <w:lang w:eastAsia="zh-CN"/>
        </w:rPr>
        <w:t>岳阳市建设工程质量安全监督站单位</w:t>
      </w:r>
      <w:r>
        <w:rPr>
          <w:rFonts w:hint="eastAsia" w:ascii="方正小标宋_GBK" w:hAnsi="方正小标宋_GBK" w:eastAsia="方正小标宋_GBK" w:cs="方正小标宋_GBK"/>
          <w:color w:val="auto"/>
          <w:sz w:val="84"/>
          <w:szCs w:val="84"/>
        </w:rPr>
        <w:t>概况</w:t>
      </w:r>
    </w:p>
    <w:p w14:paraId="128B0AE2">
      <w:pPr>
        <w:pStyle w:val="8"/>
        <w:keepNext w:val="0"/>
        <w:keepLines w:val="0"/>
        <w:pageBreakBefore w:val="0"/>
        <w:kinsoku/>
        <w:wordWrap/>
        <w:topLinePunct w:val="0"/>
        <w:bidi w:val="0"/>
        <w:spacing w:line="240" w:lineRule="auto"/>
        <w:textAlignment w:val="auto"/>
        <w:rPr>
          <w:rFonts w:hint="eastAsia" w:ascii="方正小标宋_GBK" w:hAnsi="方正小标宋_GBK" w:eastAsia="方正小标宋_GBK" w:cs="方正小标宋_GBK"/>
          <w:color w:val="auto"/>
          <w:sz w:val="84"/>
          <w:szCs w:val="84"/>
        </w:rPr>
      </w:pPr>
    </w:p>
    <w:p w14:paraId="582FF524">
      <w:pPr>
        <w:rPr>
          <w:rFonts w:hint="eastAsia" w:ascii="黑体" w:hAnsi="黑体" w:eastAsia="黑体" w:cs="黑体"/>
          <w:b w:val="0"/>
          <w:bCs w:val="0"/>
          <w:color w:val="auto"/>
          <w:sz w:val="32"/>
          <w:szCs w:val="32"/>
          <w:lang w:eastAsia="zh-CN"/>
        </w:rPr>
      </w:pPr>
      <w:r>
        <w:rPr>
          <w:rFonts w:hint="eastAsia" w:ascii="黑体" w:hAnsi="黑体" w:eastAsia="黑体" w:cs="黑体"/>
          <w:b w:val="0"/>
          <w:bCs w:val="0"/>
          <w:color w:val="auto"/>
          <w:sz w:val="32"/>
          <w:szCs w:val="32"/>
          <w:lang w:eastAsia="zh-CN"/>
        </w:rPr>
        <w:br w:type="page"/>
      </w:r>
    </w:p>
    <w:p w14:paraId="6809C7C7">
      <w:pPr>
        <w:pStyle w:val="14"/>
        <w:keepNext w:val="0"/>
        <w:keepLines w:val="0"/>
        <w:pageBreakBefore w:val="0"/>
        <w:numPr>
          <w:ilvl w:val="0"/>
          <w:numId w:val="0"/>
        </w:numPr>
        <w:kinsoku/>
        <w:wordWrap/>
        <w:overflowPunct/>
        <w:topLinePunct w:val="0"/>
        <w:autoSpaceDE/>
        <w:autoSpaceDN/>
        <w:bidi w:val="0"/>
        <w:adjustRightInd/>
        <w:spacing w:line="600" w:lineRule="exact"/>
        <w:ind w:leftChars="0" w:firstLine="640" w:firstLineChars="200"/>
        <w:jc w:val="both"/>
        <w:textAlignment w:val="auto"/>
        <w:rPr>
          <w:rFonts w:hint="eastAsia" w:ascii="黑体" w:hAnsi="黑体" w:eastAsia="黑体" w:cs="黑体"/>
          <w:b w:val="0"/>
          <w:bCs w:val="0"/>
          <w:color w:val="auto"/>
          <w:sz w:val="32"/>
          <w:szCs w:val="32"/>
        </w:rPr>
      </w:pPr>
      <w:r>
        <w:rPr>
          <w:rFonts w:hint="eastAsia" w:ascii="黑体" w:hAnsi="黑体" w:eastAsia="黑体" w:cs="黑体"/>
          <w:b w:val="0"/>
          <w:bCs w:val="0"/>
          <w:color w:val="auto"/>
          <w:sz w:val="32"/>
          <w:szCs w:val="32"/>
          <w:lang w:eastAsia="zh-CN"/>
        </w:rPr>
        <w:t>一、</w:t>
      </w:r>
      <w:r>
        <w:rPr>
          <w:rFonts w:hint="eastAsia" w:ascii="黑体" w:hAnsi="黑体" w:eastAsia="黑体" w:cs="黑体"/>
          <w:b w:val="0"/>
          <w:bCs w:val="0"/>
          <w:color w:val="auto"/>
          <w:sz w:val="32"/>
          <w:szCs w:val="32"/>
        </w:rPr>
        <w:t>部门职责</w:t>
      </w:r>
    </w:p>
    <w:p w14:paraId="76E18ADB">
      <w:pPr>
        <w:keepNext w:val="0"/>
        <w:keepLines w:val="0"/>
        <w:pageBreakBefore w:val="0"/>
        <w:kinsoku/>
        <w:wordWrap/>
        <w:overflowPunct/>
        <w:topLinePunct w:val="0"/>
        <w:autoSpaceDE/>
        <w:autoSpaceDN/>
        <w:bidi w:val="0"/>
        <w:adjustRightInd/>
        <w:snapToGrid w:val="0"/>
        <w:spacing w:line="600" w:lineRule="exact"/>
        <w:ind w:firstLine="640" w:firstLineChars="200"/>
        <w:jc w:val="both"/>
        <w:textAlignment w:val="auto"/>
        <w:rPr>
          <w:rFonts w:hint="default" w:ascii="Times New Roman" w:hAnsi="Times New Roman" w:eastAsia="仿宋_GB2312" w:cs="Times New Roman"/>
          <w:color w:val="auto"/>
          <w:sz w:val="32"/>
          <w:szCs w:val="32"/>
        </w:rPr>
      </w:pPr>
      <w:r>
        <w:rPr>
          <w:rFonts w:hint="default" w:ascii="Times New Roman" w:hAnsi="Times New Roman" w:eastAsia="仿宋_GB2312" w:cs="Times New Roman"/>
          <w:color w:val="auto"/>
          <w:sz w:val="32"/>
          <w:szCs w:val="32"/>
        </w:rPr>
        <w:t>1．主要职能。</w:t>
      </w:r>
    </w:p>
    <w:p w14:paraId="5A996C16">
      <w:pPr>
        <w:keepNext w:val="0"/>
        <w:keepLines w:val="0"/>
        <w:pageBreakBefore w:val="0"/>
        <w:kinsoku/>
        <w:wordWrap/>
        <w:overflowPunct/>
        <w:topLinePunct w:val="0"/>
        <w:autoSpaceDE/>
        <w:autoSpaceDN/>
        <w:bidi w:val="0"/>
        <w:adjustRightInd/>
        <w:snapToGrid w:val="0"/>
        <w:spacing w:line="600" w:lineRule="exact"/>
        <w:ind w:firstLine="640" w:firstLineChars="200"/>
        <w:jc w:val="both"/>
        <w:textAlignment w:val="auto"/>
        <w:rPr>
          <w:rFonts w:hint="default" w:ascii="Times New Roman" w:hAnsi="Times New Roman" w:eastAsia="仿宋_GB2312" w:cs="Times New Roman"/>
          <w:color w:val="auto"/>
          <w:sz w:val="32"/>
          <w:szCs w:val="32"/>
        </w:rPr>
      </w:pPr>
      <w:r>
        <w:rPr>
          <w:rFonts w:hint="default" w:ascii="Times New Roman" w:hAnsi="Times New Roman" w:eastAsia="仿宋_GB2312" w:cs="Times New Roman"/>
          <w:color w:val="auto"/>
          <w:sz w:val="32"/>
          <w:szCs w:val="32"/>
        </w:rPr>
        <w:t>（一）为机关提供支持保障的职能</w:t>
      </w:r>
    </w:p>
    <w:p w14:paraId="1E6C9933">
      <w:pPr>
        <w:keepNext w:val="0"/>
        <w:keepLines w:val="0"/>
        <w:pageBreakBefore w:val="0"/>
        <w:kinsoku/>
        <w:wordWrap/>
        <w:overflowPunct/>
        <w:topLinePunct w:val="0"/>
        <w:autoSpaceDE/>
        <w:autoSpaceDN/>
        <w:bidi w:val="0"/>
        <w:adjustRightInd/>
        <w:snapToGrid w:val="0"/>
        <w:spacing w:line="600" w:lineRule="exact"/>
        <w:ind w:firstLine="640" w:firstLineChars="200"/>
        <w:jc w:val="both"/>
        <w:textAlignment w:val="auto"/>
        <w:rPr>
          <w:rFonts w:hint="default" w:ascii="Times New Roman" w:hAnsi="Times New Roman" w:eastAsia="仿宋_GB2312" w:cs="Times New Roman"/>
          <w:color w:val="auto"/>
          <w:sz w:val="32"/>
          <w:szCs w:val="32"/>
        </w:rPr>
      </w:pPr>
      <w:r>
        <w:rPr>
          <w:rFonts w:hint="default" w:ascii="Times New Roman" w:hAnsi="Times New Roman" w:eastAsia="仿宋_GB2312" w:cs="Times New Roman"/>
          <w:color w:val="auto"/>
          <w:sz w:val="32"/>
          <w:szCs w:val="32"/>
        </w:rPr>
        <w:t>1.参与拟订建设工程质量安全监督管理的有关规定和 年度工作计划并实施的事务性工作。</w:t>
      </w:r>
    </w:p>
    <w:p w14:paraId="2F0057DD">
      <w:pPr>
        <w:keepNext w:val="0"/>
        <w:keepLines w:val="0"/>
        <w:pageBreakBefore w:val="0"/>
        <w:kinsoku/>
        <w:wordWrap/>
        <w:overflowPunct/>
        <w:topLinePunct w:val="0"/>
        <w:autoSpaceDE/>
        <w:autoSpaceDN/>
        <w:bidi w:val="0"/>
        <w:adjustRightInd/>
        <w:snapToGrid w:val="0"/>
        <w:spacing w:line="600" w:lineRule="exact"/>
        <w:ind w:firstLine="640" w:firstLineChars="200"/>
        <w:jc w:val="both"/>
        <w:textAlignment w:val="auto"/>
        <w:rPr>
          <w:rFonts w:hint="default" w:ascii="Times New Roman" w:hAnsi="Times New Roman" w:eastAsia="仿宋_GB2312" w:cs="Times New Roman"/>
          <w:color w:val="auto"/>
          <w:sz w:val="32"/>
          <w:szCs w:val="32"/>
        </w:rPr>
      </w:pPr>
      <w:r>
        <w:rPr>
          <w:rFonts w:hint="default" w:ascii="Times New Roman" w:hAnsi="Times New Roman" w:eastAsia="仿宋_GB2312" w:cs="Times New Roman"/>
          <w:color w:val="auto"/>
          <w:sz w:val="32"/>
          <w:szCs w:val="32"/>
        </w:rPr>
        <w:t>2.负责中心城区（含城陵矶新港区，下同）已办理施工 质量安全监督手续并取得施工许可证的工程项目质量安全 监督及文明施工管理的行政辅助工作；负责违反建筑市场、 工程质量安全、建筑节能等相关法律法规和未批先建等违法 违规行为查处的行政辅助工作。</w:t>
      </w:r>
    </w:p>
    <w:p w14:paraId="49A09583">
      <w:pPr>
        <w:keepNext w:val="0"/>
        <w:keepLines w:val="0"/>
        <w:pageBreakBefore w:val="0"/>
        <w:kinsoku/>
        <w:wordWrap/>
        <w:overflowPunct/>
        <w:topLinePunct w:val="0"/>
        <w:autoSpaceDE/>
        <w:autoSpaceDN/>
        <w:bidi w:val="0"/>
        <w:adjustRightInd/>
        <w:snapToGrid w:val="0"/>
        <w:spacing w:line="600" w:lineRule="exact"/>
        <w:ind w:firstLine="640" w:firstLineChars="200"/>
        <w:jc w:val="both"/>
        <w:textAlignment w:val="auto"/>
        <w:rPr>
          <w:rFonts w:hint="default" w:ascii="Times New Roman" w:hAnsi="Times New Roman" w:eastAsia="仿宋_GB2312" w:cs="Times New Roman"/>
          <w:color w:val="auto"/>
          <w:sz w:val="32"/>
          <w:szCs w:val="32"/>
        </w:rPr>
      </w:pPr>
      <w:r>
        <w:rPr>
          <w:rFonts w:hint="default" w:ascii="Times New Roman" w:hAnsi="Times New Roman" w:eastAsia="仿宋_GB2312" w:cs="Times New Roman"/>
          <w:color w:val="auto"/>
          <w:sz w:val="32"/>
          <w:szCs w:val="32"/>
        </w:rPr>
        <w:t>3.负责中心城区建设工程质量和安全生产监督注册和</w:t>
      </w:r>
    </w:p>
    <w:p w14:paraId="4A8CF469">
      <w:pPr>
        <w:keepNext w:val="0"/>
        <w:keepLines w:val="0"/>
        <w:pageBreakBefore w:val="0"/>
        <w:kinsoku/>
        <w:wordWrap/>
        <w:overflowPunct/>
        <w:topLinePunct w:val="0"/>
        <w:autoSpaceDE/>
        <w:autoSpaceDN/>
        <w:bidi w:val="0"/>
        <w:adjustRightInd/>
        <w:snapToGrid w:val="0"/>
        <w:spacing w:line="600" w:lineRule="exact"/>
        <w:ind w:firstLine="640" w:firstLineChars="200"/>
        <w:jc w:val="both"/>
        <w:textAlignment w:val="auto"/>
        <w:rPr>
          <w:rFonts w:hint="default" w:ascii="Times New Roman" w:hAnsi="Times New Roman" w:eastAsia="仿宋_GB2312" w:cs="Times New Roman"/>
          <w:color w:val="auto"/>
          <w:sz w:val="32"/>
          <w:szCs w:val="32"/>
        </w:rPr>
      </w:pPr>
      <w:r>
        <w:rPr>
          <w:rFonts w:hint="default" w:ascii="Times New Roman" w:hAnsi="Times New Roman" w:eastAsia="仿宋_GB2312" w:cs="Times New Roman"/>
          <w:color w:val="auto"/>
          <w:sz w:val="32"/>
          <w:szCs w:val="32"/>
        </w:rPr>
        <w:t>竣工验收备案的行政辅助工作。</w:t>
      </w:r>
    </w:p>
    <w:p w14:paraId="1EB53D76">
      <w:pPr>
        <w:keepNext w:val="0"/>
        <w:keepLines w:val="0"/>
        <w:pageBreakBefore w:val="0"/>
        <w:kinsoku/>
        <w:wordWrap/>
        <w:overflowPunct/>
        <w:topLinePunct w:val="0"/>
        <w:autoSpaceDE/>
        <w:autoSpaceDN/>
        <w:bidi w:val="0"/>
        <w:adjustRightInd/>
        <w:snapToGrid w:val="0"/>
        <w:spacing w:line="600" w:lineRule="exact"/>
        <w:ind w:firstLine="640" w:firstLineChars="200"/>
        <w:jc w:val="both"/>
        <w:textAlignment w:val="auto"/>
        <w:rPr>
          <w:rFonts w:hint="default" w:ascii="Times New Roman" w:hAnsi="Times New Roman" w:eastAsia="仿宋_GB2312" w:cs="Times New Roman"/>
          <w:color w:val="auto"/>
          <w:sz w:val="32"/>
          <w:szCs w:val="32"/>
        </w:rPr>
      </w:pPr>
      <w:r>
        <w:rPr>
          <w:rFonts w:hint="default" w:ascii="Times New Roman" w:hAnsi="Times New Roman" w:eastAsia="仿宋_GB2312" w:cs="Times New Roman"/>
          <w:color w:val="auto"/>
          <w:sz w:val="32"/>
          <w:szCs w:val="32"/>
        </w:rPr>
        <w:t>4.负责中心城区工程建设中各方责任主体信用评价管 理的行政辅助工作。</w:t>
      </w:r>
    </w:p>
    <w:p w14:paraId="19AC8794">
      <w:pPr>
        <w:keepNext w:val="0"/>
        <w:keepLines w:val="0"/>
        <w:pageBreakBefore w:val="0"/>
        <w:kinsoku/>
        <w:wordWrap/>
        <w:overflowPunct/>
        <w:topLinePunct w:val="0"/>
        <w:autoSpaceDE/>
        <w:autoSpaceDN/>
        <w:bidi w:val="0"/>
        <w:adjustRightInd/>
        <w:snapToGrid w:val="0"/>
        <w:spacing w:line="600" w:lineRule="exact"/>
        <w:ind w:firstLine="640" w:firstLineChars="200"/>
        <w:jc w:val="both"/>
        <w:textAlignment w:val="auto"/>
        <w:rPr>
          <w:rFonts w:hint="default" w:ascii="Times New Roman" w:hAnsi="Times New Roman" w:eastAsia="仿宋_GB2312" w:cs="Times New Roman"/>
          <w:color w:val="auto"/>
          <w:sz w:val="32"/>
          <w:szCs w:val="32"/>
        </w:rPr>
      </w:pPr>
      <w:r>
        <w:rPr>
          <w:rFonts w:hint="default" w:ascii="Times New Roman" w:hAnsi="Times New Roman" w:eastAsia="仿宋_GB2312" w:cs="Times New Roman"/>
          <w:color w:val="auto"/>
          <w:sz w:val="32"/>
          <w:szCs w:val="32"/>
        </w:rPr>
        <w:t>5.负责中心城区建设工程质量和安全生产标准化管理 的行政辅助工作；负责房屋安全鉴定、建设工程检测、工程 质量安全监督抽查检测以及应当办理施工许可的既有建筑 物装饰装修活动的监督管理的行政辅助工作。</w:t>
      </w:r>
    </w:p>
    <w:p w14:paraId="4DAFDE1E">
      <w:pPr>
        <w:keepNext w:val="0"/>
        <w:keepLines w:val="0"/>
        <w:pageBreakBefore w:val="0"/>
        <w:kinsoku/>
        <w:wordWrap/>
        <w:overflowPunct/>
        <w:topLinePunct w:val="0"/>
        <w:autoSpaceDE/>
        <w:autoSpaceDN/>
        <w:bidi w:val="0"/>
        <w:adjustRightInd/>
        <w:snapToGrid w:val="0"/>
        <w:spacing w:line="600" w:lineRule="exact"/>
        <w:ind w:firstLine="640" w:firstLineChars="200"/>
        <w:jc w:val="both"/>
        <w:textAlignment w:val="auto"/>
        <w:rPr>
          <w:rFonts w:hint="default" w:ascii="Times New Roman" w:hAnsi="Times New Roman" w:eastAsia="仿宋_GB2312" w:cs="Times New Roman"/>
          <w:color w:val="auto"/>
          <w:sz w:val="32"/>
          <w:szCs w:val="32"/>
        </w:rPr>
      </w:pPr>
      <w:r>
        <w:rPr>
          <w:rFonts w:hint="default" w:ascii="Times New Roman" w:hAnsi="Times New Roman" w:eastAsia="仿宋_GB2312" w:cs="Times New Roman"/>
          <w:color w:val="auto"/>
          <w:sz w:val="32"/>
          <w:szCs w:val="32"/>
        </w:rPr>
        <w:t>6.负责中心城区建设工程施工现场建筑材料、构配件、 安全防护用具及建筑起重机械备案、安装、拆卸、使用登记、 运行使用等监督管理的行政辅助工作。</w:t>
      </w:r>
    </w:p>
    <w:p w14:paraId="0694C166">
      <w:pPr>
        <w:keepNext w:val="0"/>
        <w:keepLines w:val="0"/>
        <w:pageBreakBefore w:val="0"/>
        <w:kinsoku/>
        <w:wordWrap/>
        <w:overflowPunct/>
        <w:topLinePunct w:val="0"/>
        <w:autoSpaceDE/>
        <w:autoSpaceDN/>
        <w:bidi w:val="0"/>
        <w:adjustRightInd/>
        <w:snapToGrid w:val="0"/>
        <w:spacing w:line="600" w:lineRule="exact"/>
        <w:ind w:firstLine="640" w:firstLineChars="200"/>
        <w:jc w:val="both"/>
        <w:textAlignment w:val="auto"/>
        <w:rPr>
          <w:rFonts w:hint="default" w:ascii="Times New Roman" w:hAnsi="Times New Roman" w:eastAsia="仿宋_GB2312" w:cs="Times New Roman"/>
          <w:color w:val="auto"/>
          <w:sz w:val="32"/>
          <w:szCs w:val="32"/>
        </w:rPr>
      </w:pPr>
      <w:r>
        <w:rPr>
          <w:rFonts w:hint="default" w:ascii="Times New Roman" w:hAnsi="Times New Roman" w:eastAsia="仿宋_GB2312" w:cs="Times New Roman"/>
          <w:color w:val="auto"/>
          <w:sz w:val="32"/>
          <w:szCs w:val="32"/>
        </w:rPr>
        <w:t>7.负责中心城区建设工程消防施工质量监督管理和消 防设计审查验收违法违规行为查处的行政辅助工作，为消防 竣工验收或备案抽查提供技术支撑工作。</w:t>
      </w:r>
    </w:p>
    <w:p w14:paraId="36E6D096">
      <w:pPr>
        <w:keepNext w:val="0"/>
        <w:keepLines w:val="0"/>
        <w:pageBreakBefore w:val="0"/>
        <w:kinsoku/>
        <w:wordWrap/>
        <w:overflowPunct/>
        <w:topLinePunct w:val="0"/>
        <w:autoSpaceDE/>
        <w:autoSpaceDN/>
        <w:bidi w:val="0"/>
        <w:adjustRightInd/>
        <w:snapToGrid w:val="0"/>
        <w:spacing w:line="600" w:lineRule="exact"/>
        <w:ind w:firstLine="640" w:firstLineChars="200"/>
        <w:jc w:val="both"/>
        <w:textAlignment w:val="auto"/>
        <w:rPr>
          <w:rFonts w:hint="default" w:ascii="Times New Roman" w:hAnsi="Times New Roman" w:eastAsia="仿宋_GB2312" w:cs="Times New Roman"/>
          <w:color w:val="auto"/>
          <w:sz w:val="32"/>
          <w:szCs w:val="32"/>
        </w:rPr>
      </w:pPr>
      <w:r>
        <w:rPr>
          <w:rFonts w:hint="default" w:ascii="Times New Roman" w:hAnsi="Times New Roman" w:eastAsia="仿宋_GB2312" w:cs="Times New Roman"/>
          <w:color w:val="auto"/>
          <w:sz w:val="32"/>
          <w:szCs w:val="32"/>
        </w:rPr>
        <w:t>8.负责协调处理市城区建设工程质量安全信访事件，为 调查处理工程质量安全事故提供技术支撑工作。</w:t>
      </w:r>
    </w:p>
    <w:p w14:paraId="78DB134C">
      <w:pPr>
        <w:keepNext w:val="0"/>
        <w:keepLines w:val="0"/>
        <w:pageBreakBefore w:val="0"/>
        <w:kinsoku/>
        <w:wordWrap/>
        <w:overflowPunct/>
        <w:topLinePunct w:val="0"/>
        <w:autoSpaceDE/>
        <w:autoSpaceDN/>
        <w:bidi w:val="0"/>
        <w:adjustRightInd/>
        <w:snapToGrid w:val="0"/>
        <w:spacing w:line="600" w:lineRule="exact"/>
        <w:ind w:firstLine="640" w:firstLineChars="200"/>
        <w:jc w:val="both"/>
        <w:textAlignment w:val="auto"/>
        <w:rPr>
          <w:rFonts w:hint="default" w:ascii="Times New Roman" w:hAnsi="Times New Roman" w:eastAsia="仿宋_GB2312" w:cs="Times New Roman"/>
          <w:color w:val="auto"/>
          <w:sz w:val="32"/>
          <w:szCs w:val="32"/>
        </w:rPr>
      </w:pPr>
      <w:r>
        <w:rPr>
          <w:rFonts w:hint="default" w:ascii="Times New Roman" w:hAnsi="Times New Roman" w:eastAsia="仿宋_GB2312" w:cs="Times New Roman"/>
          <w:color w:val="auto"/>
          <w:sz w:val="32"/>
          <w:szCs w:val="32"/>
        </w:rPr>
        <w:t>9.负责指导县市区建设工程质量安全监督管理的行政 辅助工作。</w:t>
      </w:r>
    </w:p>
    <w:p w14:paraId="0844F043">
      <w:pPr>
        <w:keepNext w:val="0"/>
        <w:keepLines w:val="0"/>
        <w:pageBreakBefore w:val="0"/>
        <w:kinsoku/>
        <w:wordWrap/>
        <w:overflowPunct/>
        <w:topLinePunct w:val="0"/>
        <w:autoSpaceDE/>
        <w:autoSpaceDN/>
        <w:bidi w:val="0"/>
        <w:adjustRightInd/>
        <w:snapToGrid w:val="0"/>
        <w:spacing w:line="600" w:lineRule="exact"/>
        <w:ind w:firstLine="640" w:firstLineChars="200"/>
        <w:jc w:val="both"/>
        <w:textAlignment w:val="auto"/>
        <w:rPr>
          <w:rFonts w:hint="default" w:ascii="Times New Roman" w:hAnsi="Times New Roman" w:eastAsia="仿宋_GB2312" w:cs="Times New Roman"/>
          <w:color w:val="auto"/>
          <w:sz w:val="32"/>
          <w:szCs w:val="32"/>
        </w:rPr>
      </w:pPr>
      <w:r>
        <w:rPr>
          <w:rFonts w:hint="default" w:ascii="Times New Roman" w:hAnsi="Times New Roman" w:eastAsia="仿宋_GB2312" w:cs="Times New Roman"/>
          <w:color w:val="auto"/>
          <w:sz w:val="32"/>
          <w:szCs w:val="32"/>
        </w:rPr>
        <w:t>（二）面向社会提供公益服务的职能 ，负责为社会公众提供工程质量安全技术咨询服务。</w:t>
      </w:r>
    </w:p>
    <w:p w14:paraId="7697315E">
      <w:pPr>
        <w:keepNext w:val="0"/>
        <w:keepLines w:val="0"/>
        <w:pageBreakBefore w:val="0"/>
        <w:kinsoku/>
        <w:wordWrap/>
        <w:overflowPunct/>
        <w:topLinePunct w:val="0"/>
        <w:autoSpaceDE/>
        <w:autoSpaceDN/>
        <w:bidi w:val="0"/>
        <w:adjustRightInd/>
        <w:snapToGrid w:val="0"/>
        <w:spacing w:line="600" w:lineRule="exact"/>
        <w:ind w:firstLine="640" w:firstLineChars="200"/>
        <w:jc w:val="both"/>
        <w:textAlignment w:val="auto"/>
        <w:rPr>
          <w:rFonts w:hint="default" w:ascii="Times New Roman" w:hAnsi="Times New Roman" w:eastAsia="仿宋_GB2312" w:cs="Times New Roman"/>
          <w:color w:val="auto"/>
          <w:sz w:val="32"/>
          <w:szCs w:val="32"/>
        </w:rPr>
      </w:pPr>
      <w:r>
        <w:rPr>
          <w:rFonts w:hint="default" w:ascii="Times New Roman" w:hAnsi="Times New Roman" w:eastAsia="仿宋_GB2312" w:cs="Times New Roman"/>
          <w:color w:val="auto"/>
          <w:sz w:val="32"/>
          <w:szCs w:val="32"/>
        </w:rPr>
        <w:t>（三）完成市住房和城乡建设局交办的其他任务。</w:t>
      </w:r>
    </w:p>
    <w:p w14:paraId="46329BFC">
      <w:pPr>
        <w:pStyle w:val="14"/>
        <w:keepNext w:val="0"/>
        <w:keepLines w:val="0"/>
        <w:pageBreakBefore w:val="0"/>
        <w:numPr>
          <w:ilvl w:val="0"/>
          <w:numId w:val="0"/>
        </w:numPr>
        <w:kinsoku/>
        <w:wordWrap/>
        <w:overflowPunct/>
        <w:topLinePunct w:val="0"/>
        <w:autoSpaceDE/>
        <w:autoSpaceDN/>
        <w:bidi w:val="0"/>
        <w:adjustRightInd/>
        <w:spacing w:line="600" w:lineRule="exact"/>
        <w:ind w:leftChars="0" w:firstLine="640" w:firstLineChars="200"/>
        <w:jc w:val="both"/>
        <w:textAlignment w:val="auto"/>
        <w:rPr>
          <w:rFonts w:hint="default" w:ascii="黑体" w:hAnsi="黑体" w:eastAsia="黑体" w:cs="黑体"/>
          <w:b w:val="0"/>
          <w:bCs w:val="0"/>
          <w:color w:val="auto"/>
          <w:sz w:val="32"/>
          <w:szCs w:val="32"/>
          <w:lang w:eastAsia="zh-CN"/>
        </w:rPr>
      </w:pPr>
      <w:r>
        <w:rPr>
          <w:rFonts w:hint="default" w:ascii="黑体" w:hAnsi="黑体" w:eastAsia="黑体" w:cs="黑体"/>
          <w:b w:val="0"/>
          <w:bCs w:val="0"/>
          <w:color w:val="auto"/>
          <w:sz w:val="32"/>
          <w:szCs w:val="32"/>
          <w:lang w:eastAsia="zh-CN"/>
        </w:rPr>
        <w:t>二、机构设置及决算单位构成</w:t>
      </w:r>
    </w:p>
    <w:p w14:paraId="56ADC432">
      <w:pPr>
        <w:keepNext w:val="0"/>
        <w:keepLines w:val="0"/>
        <w:pageBreakBefore w:val="0"/>
        <w:kinsoku/>
        <w:wordWrap/>
        <w:overflowPunct/>
        <w:topLinePunct w:val="0"/>
        <w:autoSpaceDE/>
        <w:autoSpaceDN/>
        <w:bidi w:val="0"/>
        <w:adjustRightInd/>
        <w:snapToGrid w:val="0"/>
        <w:spacing w:line="600" w:lineRule="exact"/>
        <w:ind w:firstLine="640" w:firstLineChars="200"/>
        <w:jc w:val="both"/>
        <w:textAlignment w:val="auto"/>
        <w:rPr>
          <w:rFonts w:hint="default" w:ascii="Times New Roman" w:hAnsi="Times New Roman" w:eastAsia="仿宋_GB2312" w:cs="Times New Roman"/>
          <w:bCs/>
          <w:color w:val="auto"/>
          <w:kern w:val="0"/>
          <w:sz w:val="32"/>
          <w:szCs w:val="32"/>
        </w:rPr>
      </w:pPr>
      <w:r>
        <w:rPr>
          <w:rFonts w:hint="default" w:ascii="Times New Roman" w:hAnsi="Times New Roman" w:eastAsia="仿宋_GB2312" w:cs="Times New Roman"/>
          <w:bCs/>
          <w:color w:val="auto"/>
          <w:kern w:val="0"/>
          <w:sz w:val="32"/>
          <w:szCs w:val="32"/>
        </w:rPr>
        <w:t>（一）内设机构设置。</w:t>
      </w:r>
      <w:r>
        <w:rPr>
          <w:rFonts w:hint="default" w:ascii="Times New Roman" w:hAnsi="Times New Roman" w:eastAsia="仿宋_GB2312" w:cs="Times New Roman"/>
          <w:bCs/>
          <w:color w:val="auto"/>
          <w:kern w:val="0"/>
          <w:sz w:val="32"/>
          <w:szCs w:val="32"/>
          <w:lang w:eastAsia="zh-CN"/>
        </w:rPr>
        <w:t>岳阳市建设工程质量安全监督站</w:t>
      </w:r>
      <w:r>
        <w:rPr>
          <w:rFonts w:hint="default" w:ascii="Times New Roman" w:hAnsi="Times New Roman" w:eastAsia="仿宋_GB2312" w:cs="Times New Roman"/>
          <w:bCs/>
          <w:color w:val="auto"/>
          <w:kern w:val="0"/>
          <w:sz w:val="32"/>
          <w:szCs w:val="32"/>
        </w:rPr>
        <w:t>内设机构包括：</w:t>
      </w:r>
    </w:p>
    <w:p w14:paraId="3EFE81D0">
      <w:pPr>
        <w:keepNext w:val="0"/>
        <w:keepLines w:val="0"/>
        <w:pageBreakBefore w:val="0"/>
        <w:kinsoku/>
        <w:wordWrap/>
        <w:overflowPunct/>
        <w:topLinePunct w:val="0"/>
        <w:autoSpaceDE/>
        <w:autoSpaceDN/>
        <w:bidi w:val="0"/>
        <w:adjustRightInd/>
        <w:snapToGrid w:val="0"/>
        <w:spacing w:line="600" w:lineRule="exact"/>
        <w:ind w:firstLine="640" w:firstLineChars="200"/>
        <w:jc w:val="both"/>
        <w:textAlignment w:val="auto"/>
        <w:rPr>
          <w:rFonts w:hint="default" w:ascii="Times New Roman" w:hAnsi="Times New Roman" w:eastAsia="仿宋_GB2312" w:cs="Times New Roman"/>
          <w:bCs/>
          <w:color w:val="auto"/>
          <w:kern w:val="0"/>
          <w:sz w:val="32"/>
          <w:szCs w:val="32"/>
          <w:lang w:val="en-US" w:eastAsia="zh-CN"/>
        </w:rPr>
      </w:pPr>
      <w:r>
        <w:rPr>
          <w:rFonts w:hint="default" w:ascii="Times New Roman" w:hAnsi="Times New Roman" w:eastAsia="仿宋_GB2312" w:cs="Times New Roman"/>
          <w:bCs/>
          <w:color w:val="auto"/>
          <w:kern w:val="0"/>
          <w:sz w:val="32"/>
          <w:szCs w:val="32"/>
          <w:lang w:val="en-US" w:eastAsia="zh-CN"/>
        </w:rPr>
        <w:t>12个内设机构：</w:t>
      </w:r>
    </w:p>
    <w:p w14:paraId="3B1EAD25">
      <w:pPr>
        <w:keepNext w:val="0"/>
        <w:keepLines w:val="0"/>
        <w:pageBreakBefore w:val="0"/>
        <w:kinsoku/>
        <w:wordWrap/>
        <w:overflowPunct/>
        <w:topLinePunct w:val="0"/>
        <w:autoSpaceDE/>
        <w:autoSpaceDN/>
        <w:bidi w:val="0"/>
        <w:adjustRightInd/>
        <w:snapToGrid w:val="0"/>
        <w:spacing w:line="600" w:lineRule="exact"/>
        <w:ind w:firstLine="640" w:firstLineChars="200"/>
        <w:jc w:val="both"/>
        <w:textAlignment w:val="auto"/>
        <w:rPr>
          <w:rFonts w:hint="default" w:ascii="Times New Roman" w:hAnsi="Times New Roman" w:eastAsia="仿宋_GB2312" w:cs="Times New Roman"/>
          <w:color w:val="auto"/>
          <w:sz w:val="32"/>
          <w:szCs w:val="32"/>
        </w:rPr>
      </w:pPr>
      <w:r>
        <w:rPr>
          <w:rFonts w:hint="default" w:ascii="Times New Roman" w:hAnsi="Times New Roman" w:eastAsia="仿宋_GB2312" w:cs="Times New Roman"/>
          <w:color w:val="auto"/>
          <w:sz w:val="32"/>
          <w:szCs w:val="32"/>
        </w:rPr>
        <w:t>（</w:t>
      </w:r>
      <w:r>
        <w:rPr>
          <w:rFonts w:hint="default" w:ascii="Times New Roman" w:hAnsi="Times New Roman" w:eastAsia="仿宋_GB2312" w:cs="Times New Roman"/>
          <w:color w:val="auto"/>
          <w:sz w:val="32"/>
          <w:szCs w:val="32"/>
          <w:lang w:val="en-US" w:eastAsia="zh-CN"/>
        </w:rPr>
        <w:t>1</w:t>
      </w:r>
      <w:r>
        <w:rPr>
          <w:rFonts w:hint="default" w:ascii="Times New Roman" w:hAnsi="Times New Roman" w:eastAsia="仿宋_GB2312" w:cs="Times New Roman"/>
          <w:color w:val="auto"/>
          <w:sz w:val="32"/>
          <w:szCs w:val="32"/>
        </w:rPr>
        <w:t>）综合部</w:t>
      </w:r>
    </w:p>
    <w:p w14:paraId="4415095C">
      <w:pPr>
        <w:keepNext w:val="0"/>
        <w:keepLines w:val="0"/>
        <w:pageBreakBefore w:val="0"/>
        <w:kinsoku/>
        <w:wordWrap/>
        <w:overflowPunct/>
        <w:topLinePunct w:val="0"/>
        <w:autoSpaceDE/>
        <w:autoSpaceDN/>
        <w:bidi w:val="0"/>
        <w:adjustRightInd/>
        <w:snapToGrid w:val="0"/>
        <w:spacing w:line="600" w:lineRule="exact"/>
        <w:ind w:firstLine="640" w:firstLineChars="200"/>
        <w:jc w:val="both"/>
        <w:textAlignment w:val="auto"/>
        <w:rPr>
          <w:rFonts w:hint="default" w:ascii="Times New Roman" w:hAnsi="Times New Roman" w:eastAsia="仿宋_GB2312" w:cs="Times New Roman"/>
          <w:color w:val="auto"/>
          <w:sz w:val="32"/>
          <w:szCs w:val="32"/>
        </w:rPr>
      </w:pPr>
      <w:r>
        <w:rPr>
          <w:rFonts w:hint="default" w:ascii="Times New Roman" w:hAnsi="Times New Roman" w:eastAsia="仿宋_GB2312" w:cs="Times New Roman"/>
          <w:color w:val="auto"/>
          <w:sz w:val="32"/>
          <w:szCs w:val="32"/>
        </w:rPr>
        <w:t>（</w:t>
      </w:r>
      <w:r>
        <w:rPr>
          <w:rFonts w:hint="default" w:ascii="Times New Roman" w:hAnsi="Times New Roman" w:eastAsia="仿宋_GB2312" w:cs="Times New Roman"/>
          <w:color w:val="auto"/>
          <w:sz w:val="32"/>
          <w:szCs w:val="32"/>
          <w:lang w:val="en-US" w:eastAsia="zh-CN"/>
        </w:rPr>
        <w:t>2</w:t>
      </w:r>
      <w:r>
        <w:rPr>
          <w:rFonts w:hint="default" w:ascii="Times New Roman" w:hAnsi="Times New Roman" w:eastAsia="仿宋_GB2312" w:cs="Times New Roman"/>
          <w:color w:val="auto"/>
          <w:sz w:val="32"/>
          <w:szCs w:val="32"/>
        </w:rPr>
        <w:t>）信息技术部</w:t>
      </w:r>
    </w:p>
    <w:p w14:paraId="7DBC3EF1">
      <w:pPr>
        <w:keepNext w:val="0"/>
        <w:keepLines w:val="0"/>
        <w:pageBreakBefore w:val="0"/>
        <w:kinsoku/>
        <w:wordWrap/>
        <w:overflowPunct/>
        <w:topLinePunct w:val="0"/>
        <w:autoSpaceDE/>
        <w:autoSpaceDN/>
        <w:bidi w:val="0"/>
        <w:adjustRightInd/>
        <w:snapToGrid w:val="0"/>
        <w:spacing w:line="600" w:lineRule="exact"/>
        <w:ind w:firstLine="640" w:firstLineChars="200"/>
        <w:jc w:val="both"/>
        <w:textAlignment w:val="auto"/>
        <w:rPr>
          <w:rFonts w:hint="default" w:ascii="Times New Roman" w:hAnsi="Times New Roman" w:eastAsia="仿宋_GB2312" w:cs="Times New Roman"/>
          <w:color w:val="auto"/>
          <w:sz w:val="32"/>
          <w:szCs w:val="32"/>
        </w:rPr>
      </w:pPr>
      <w:r>
        <w:rPr>
          <w:rFonts w:hint="default" w:ascii="Times New Roman" w:hAnsi="Times New Roman" w:eastAsia="仿宋_GB2312" w:cs="Times New Roman"/>
          <w:color w:val="auto"/>
          <w:sz w:val="32"/>
          <w:szCs w:val="32"/>
        </w:rPr>
        <w:t>（</w:t>
      </w:r>
      <w:r>
        <w:rPr>
          <w:rFonts w:hint="default" w:ascii="Times New Roman" w:hAnsi="Times New Roman" w:eastAsia="仿宋_GB2312" w:cs="Times New Roman"/>
          <w:color w:val="auto"/>
          <w:sz w:val="32"/>
          <w:szCs w:val="32"/>
          <w:lang w:val="en-US" w:eastAsia="zh-CN"/>
        </w:rPr>
        <w:t>3</w:t>
      </w:r>
      <w:r>
        <w:rPr>
          <w:rFonts w:hint="default" w:ascii="Times New Roman" w:hAnsi="Times New Roman" w:eastAsia="仿宋_GB2312" w:cs="Times New Roman"/>
          <w:color w:val="auto"/>
          <w:sz w:val="32"/>
          <w:szCs w:val="32"/>
        </w:rPr>
        <w:t>）信用评价部</w:t>
      </w:r>
    </w:p>
    <w:p w14:paraId="275FD237">
      <w:pPr>
        <w:keepNext w:val="0"/>
        <w:keepLines w:val="0"/>
        <w:pageBreakBefore w:val="0"/>
        <w:kinsoku/>
        <w:wordWrap/>
        <w:overflowPunct/>
        <w:topLinePunct w:val="0"/>
        <w:autoSpaceDE/>
        <w:autoSpaceDN/>
        <w:bidi w:val="0"/>
        <w:adjustRightInd/>
        <w:snapToGrid w:val="0"/>
        <w:spacing w:line="600" w:lineRule="exact"/>
        <w:ind w:firstLine="640" w:firstLineChars="200"/>
        <w:jc w:val="both"/>
        <w:textAlignment w:val="auto"/>
        <w:rPr>
          <w:rFonts w:hint="default" w:ascii="Times New Roman" w:hAnsi="Times New Roman" w:eastAsia="仿宋_GB2312" w:cs="Times New Roman"/>
          <w:color w:val="auto"/>
          <w:sz w:val="32"/>
          <w:szCs w:val="32"/>
        </w:rPr>
      </w:pPr>
      <w:r>
        <w:rPr>
          <w:rFonts w:hint="default" w:ascii="Times New Roman" w:hAnsi="Times New Roman" w:eastAsia="仿宋_GB2312" w:cs="Times New Roman"/>
          <w:color w:val="auto"/>
          <w:sz w:val="32"/>
          <w:szCs w:val="32"/>
        </w:rPr>
        <w:t>（</w:t>
      </w:r>
      <w:r>
        <w:rPr>
          <w:rFonts w:hint="default" w:ascii="Times New Roman" w:hAnsi="Times New Roman" w:eastAsia="仿宋_GB2312" w:cs="Times New Roman"/>
          <w:color w:val="auto"/>
          <w:sz w:val="32"/>
          <w:szCs w:val="32"/>
          <w:lang w:val="en-US" w:eastAsia="zh-CN"/>
        </w:rPr>
        <w:t>4</w:t>
      </w:r>
      <w:r>
        <w:rPr>
          <w:rFonts w:hint="default" w:ascii="Times New Roman" w:hAnsi="Times New Roman" w:eastAsia="仿宋_GB2312" w:cs="Times New Roman"/>
          <w:color w:val="auto"/>
          <w:sz w:val="32"/>
          <w:szCs w:val="32"/>
        </w:rPr>
        <w:t>）法规事务部</w:t>
      </w:r>
    </w:p>
    <w:p w14:paraId="38D67F96">
      <w:pPr>
        <w:keepNext w:val="0"/>
        <w:keepLines w:val="0"/>
        <w:pageBreakBefore w:val="0"/>
        <w:kinsoku/>
        <w:wordWrap/>
        <w:overflowPunct/>
        <w:topLinePunct w:val="0"/>
        <w:autoSpaceDE/>
        <w:autoSpaceDN/>
        <w:bidi w:val="0"/>
        <w:adjustRightInd/>
        <w:snapToGrid w:val="0"/>
        <w:spacing w:line="600" w:lineRule="exact"/>
        <w:ind w:firstLine="640" w:firstLineChars="200"/>
        <w:jc w:val="both"/>
        <w:textAlignment w:val="auto"/>
        <w:rPr>
          <w:rFonts w:hint="default" w:ascii="Times New Roman" w:hAnsi="Times New Roman" w:eastAsia="仿宋_GB2312" w:cs="Times New Roman"/>
          <w:color w:val="auto"/>
          <w:sz w:val="32"/>
          <w:szCs w:val="32"/>
        </w:rPr>
      </w:pPr>
      <w:r>
        <w:rPr>
          <w:rFonts w:hint="default" w:ascii="Times New Roman" w:hAnsi="Times New Roman" w:eastAsia="仿宋_GB2312" w:cs="Times New Roman"/>
          <w:color w:val="auto"/>
          <w:sz w:val="32"/>
          <w:szCs w:val="32"/>
        </w:rPr>
        <w:t>（</w:t>
      </w:r>
      <w:r>
        <w:rPr>
          <w:rFonts w:hint="default" w:ascii="Times New Roman" w:hAnsi="Times New Roman" w:eastAsia="仿宋_GB2312" w:cs="Times New Roman"/>
          <w:color w:val="auto"/>
          <w:sz w:val="32"/>
          <w:szCs w:val="32"/>
          <w:lang w:val="en-US" w:eastAsia="zh-CN"/>
        </w:rPr>
        <w:t>5</w:t>
      </w:r>
      <w:r>
        <w:rPr>
          <w:rFonts w:hint="default" w:ascii="Times New Roman" w:hAnsi="Times New Roman" w:eastAsia="仿宋_GB2312" w:cs="Times New Roman"/>
          <w:color w:val="auto"/>
          <w:sz w:val="32"/>
          <w:szCs w:val="32"/>
        </w:rPr>
        <w:t>）建设工程质量考评部</w:t>
      </w:r>
    </w:p>
    <w:p w14:paraId="26124339">
      <w:pPr>
        <w:keepNext w:val="0"/>
        <w:keepLines w:val="0"/>
        <w:pageBreakBefore w:val="0"/>
        <w:kinsoku/>
        <w:wordWrap/>
        <w:overflowPunct/>
        <w:topLinePunct w:val="0"/>
        <w:autoSpaceDE/>
        <w:autoSpaceDN/>
        <w:bidi w:val="0"/>
        <w:adjustRightInd/>
        <w:snapToGrid w:val="0"/>
        <w:spacing w:line="600" w:lineRule="exact"/>
        <w:ind w:firstLine="640" w:firstLineChars="200"/>
        <w:jc w:val="both"/>
        <w:textAlignment w:val="auto"/>
        <w:rPr>
          <w:rFonts w:hint="default" w:ascii="Times New Roman" w:hAnsi="Times New Roman" w:eastAsia="仿宋_GB2312" w:cs="Times New Roman"/>
          <w:color w:val="auto"/>
          <w:sz w:val="32"/>
          <w:szCs w:val="32"/>
        </w:rPr>
      </w:pPr>
      <w:r>
        <w:rPr>
          <w:rFonts w:hint="default" w:ascii="Times New Roman" w:hAnsi="Times New Roman" w:eastAsia="仿宋_GB2312" w:cs="Times New Roman"/>
          <w:color w:val="auto"/>
          <w:sz w:val="32"/>
          <w:szCs w:val="32"/>
        </w:rPr>
        <w:t>（</w:t>
      </w:r>
      <w:r>
        <w:rPr>
          <w:rFonts w:hint="default" w:ascii="Times New Roman" w:hAnsi="Times New Roman" w:eastAsia="仿宋_GB2312" w:cs="Times New Roman"/>
          <w:color w:val="auto"/>
          <w:sz w:val="32"/>
          <w:szCs w:val="32"/>
          <w:lang w:val="en-US" w:eastAsia="zh-CN"/>
        </w:rPr>
        <w:t>6</w:t>
      </w:r>
      <w:r>
        <w:rPr>
          <w:rFonts w:hint="default" w:ascii="Times New Roman" w:hAnsi="Times New Roman" w:eastAsia="仿宋_GB2312" w:cs="Times New Roman"/>
          <w:color w:val="auto"/>
          <w:sz w:val="32"/>
          <w:szCs w:val="32"/>
        </w:rPr>
        <w:t>）建设施工安全考评部</w:t>
      </w:r>
    </w:p>
    <w:p w14:paraId="06CD36AA">
      <w:pPr>
        <w:keepNext w:val="0"/>
        <w:keepLines w:val="0"/>
        <w:pageBreakBefore w:val="0"/>
        <w:kinsoku/>
        <w:wordWrap/>
        <w:overflowPunct/>
        <w:topLinePunct w:val="0"/>
        <w:autoSpaceDE/>
        <w:autoSpaceDN/>
        <w:bidi w:val="0"/>
        <w:adjustRightInd/>
        <w:snapToGrid w:val="0"/>
        <w:spacing w:line="600" w:lineRule="exact"/>
        <w:ind w:firstLine="640" w:firstLineChars="200"/>
        <w:jc w:val="both"/>
        <w:textAlignment w:val="auto"/>
        <w:rPr>
          <w:rFonts w:hint="default" w:ascii="Times New Roman" w:hAnsi="Times New Roman" w:eastAsia="仿宋_GB2312" w:cs="Times New Roman"/>
          <w:color w:val="auto"/>
          <w:sz w:val="32"/>
          <w:szCs w:val="32"/>
        </w:rPr>
      </w:pPr>
      <w:r>
        <w:rPr>
          <w:rFonts w:hint="default" w:ascii="Times New Roman" w:hAnsi="Times New Roman" w:eastAsia="仿宋_GB2312" w:cs="Times New Roman"/>
          <w:color w:val="auto"/>
          <w:sz w:val="32"/>
          <w:szCs w:val="32"/>
        </w:rPr>
        <w:t>（</w:t>
      </w:r>
      <w:r>
        <w:rPr>
          <w:rFonts w:hint="default" w:ascii="Times New Roman" w:hAnsi="Times New Roman" w:eastAsia="仿宋_GB2312" w:cs="Times New Roman"/>
          <w:color w:val="auto"/>
          <w:sz w:val="32"/>
          <w:szCs w:val="32"/>
          <w:lang w:val="en-US" w:eastAsia="zh-CN"/>
        </w:rPr>
        <w:t>7</w:t>
      </w:r>
      <w:r>
        <w:rPr>
          <w:rFonts w:hint="default" w:ascii="Times New Roman" w:hAnsi="Times New Roman" w:eastAsia="仿宋_GB2312" w:cs="Times New Roman"/>
          <w:color w:val="auto"/>
          <w:sz w:val="32"/>
          <w:szCs w:val="32"/>
        </w:rPr>
        <w:t>）房屋安全鉴定部</w:t>
      </w:r>
    </w:p>
    <w:p w14:paraId="05E07A17">
      <w:pPr>
        <w:keepNext w:val="0"/>
        <w:keepLines w:val="0"/>
        <w:pageBreakBefore w:val="0"/>
        <w:kinsoku/>
        <w:wordWrap/>
        <w:overflowPunct/>
        <w:topLinePunct w:val="0"/>
        <w:autoSpaceDE/>
        <w:autoSpaceDN/>
        <w:bidi w:val="0"/>
        <w:adjustRightInd/>
        <w:snapToGrid w:val="0"/>
        <w:spacing w:line="600" w:lineRule="exact"/>
        <w:ind w:firstLine="640" w:firstLineChars="200"/>
        <w:jc w:val="both"/>
        <w:textAlignment w:val="auto"/>
        <w:rPr>
          <w:rFonts w:hint="default" w:ascii="Times New Roman" w:hAnsi="Times New Roman" w:eastAsia="仿宋_GB2312" w:cs="Times New Roman"/>
          <w:color w:val="auto"/>
          <w:sz w:val="32"/>
          <w:szCs w:val="32"/>
        </w:rPr>
      </w:pPr>
      <w:r>
        <w:rPr>
          <w:rFonts w:hint="default" w:ascii="Times New Roman" w:hAnsi="Times New Roman" w:eastAsia="仿宋_GB2312" w:cs="Times New Roman"/>
          <w:color w:val="auto"/>
          <w:sz w:val="32"/>
          <w:szCs w:val="32"/>
        </w:rPr>
        <w:t>（</w:t>
      </w:r>
      <w:r>
        <w:rPr>
          <w:rFonts w:hint="default" w:ascii="Times New Roman" w:hAnsi="Times New Roman" w:eastAsia="仿宋_GB2312" w:cs="Times New Roman"/>
          <w:color w:val="auto"/>
          <w:sz w:val="32"/>
          <w:szCs w:val="32"/>
          <w:lang w:val="en-US" w:eastAsia="zh-CN"/>
        </w:rPr>
        <w:t>8</w:t>
      </w:r>
      <w:r>
        <w:rPr>
          <w:rFonts w:hint="default" w:ascii="Times New Roman" w:hAnsi="Times New Roman" w:eastAsia="仿宋_GB2312" w:cs="Times New Roman"/>
          <w:color w:val="auto"/>
          <w:sz w:val="32"/>
          <w:szCs w:val="32"/>
        </w:rPr>
        <w:t>）装修工程监督部</w:t>
      </w:r>
    </w:p>
    <w:p w14:paraId="0C1760CE">
      <w:pPr>
        <w:keepNext w:val="0"/>
        <w:keepLines w:val="0"/>
        <w:pageBreakBefore w:val="0"/>
        <w:kinsoku/>
        <w:wordWrap/>
        <w:overflowPunct/>
        <w:topLinePunct w:val="0"/>
        <w:autoSpaceDE/>
        <w:autoSpaceDN/>
        <w:bidi w:val="0"/>
        <w:adjustRightInd/>
        <w:snapToGrid w:val="0"/>
        <w:spacing w:line="600" w:lineRule="exact"/>
        <w:ind w:firstLine="640" w:firstLineChars="200"/>
        <w:jc w:val="both"/>
        <w:textAlignment w:val="auto"/>
        <w:rPr>
          <w:rFonts w:hint="default" w:ascii="Times New Roman" w:hAnsi="Times New Roman" w:eastAsia="仿宋_GB2312" w:cs="Times New Roman"/>
          <w:color w:val="auto"/>
          <w:sz w:val="32"/>
          <w:szCs w:val="32"/>
        </w:rPr>
      </w:pPr>
      <w:r>
        <w:rPr>
          <w:rFonts w:hint="default" w:ascii="Times New Roman" w:hAnsi="Times New Roman" w:eastAsia="仿宋_GB2312" w:cs="Times New Roman"/>
          <w:color w:val="auto"/>
          <w:sz w:val="32"/>
          <w:szCs w:val="32"/>
        </w:rPr>
        <w:t>（</w:t>
      </w:r>
      <w:r>
        <w:rPr>
          <w:rFonts w:hint="default" w:ascii="Times New Roman" w:hAnsi="Times New Roman" w:eastAsia="仿宋_GB2312" w:cs="Times New Roman"/>
          <w:color w:val="auto"/>
          <w:sz w:val="32"/>
          <w:szCs w:val="32"/>
          <w:lang w:val="en-US" w:eastAsia="zh-CN"/>
        </w:rPr>
        <w:t>9</w:t>
      </w:r>
      <w:r>
        <w:rPr>
          <w:rFonts w:hint="default" w:ascii="Times New Roman" w:hAnsi="Times New Roman" w:eastAsia="仿宋_GB2312" w:cs="Times New Roman"/>
          <w:color w:val="auto"/>
          <w:sz w:val="32"/>
          <w:szCs w:val="32"/>
        </w:rPr>
        <w:t>）建设工程检测监督部</w:t>
      </w:r>
    </w:p>
    <w:p w14:paraId="69DDE959">
      <w:pPr>
        <w:keepNext w:val="0"/>
        <w:keepLines w:val="0"/>
        <w:pageBreakBefore w:val="0"/>
        <w:kinsoku/>
        <w:wordWrap/>
        <w:overflowPunct/>
        <w:topLinePunct w:val="0"/>
        <w:autoSpaceDE/>
        <w:autoSpaceDN/>
        <w:bidi w:val="0"/>
        <w:adjustRightInd/>
        <w:snapToGrid w:val="0"/>
        <w:spacing w:line="600" w:lineRule="exact"/>
        <w:ind w:firstLine="640" w:firstLineChars="200"/>
        <w:jc w:val="both"/>
        <w:textAlignment w:val="auto"/>
        <w:rPr>
          <w:rFonts w:hint="default" w:ascii="Times New Roman" w:hAnsi="Times New Roman" w:eastAsia="仿宋_GB2312" w:cs="Times New Roman"/>
          <w:color w:val="auto"/>
          <w:sz w:val="32"/>
          <w:szCs w:val="32"/>
        </w:rPr>
      </w:pPr>
      <w:r>
        <w:rPr>
          <w:rFonts w:hint="default" w:ascii="Times New Roman" w:hAnsi="Times New Roman" w:eastAsia="仿宋_GB2312" w:cs="Times New Roman"/>
          <w:color w:val="auto"/>
          <w:sz w:val="32"/>
          <w:szCs w:val="32"/>
        </w:rPr>
        <w:t>（</w:t>
      </w:r>
      <w:r>
        <w:rPr>
          <w:rFonts w:hint="default" w:ascii="Times New Roman" w:hAnsi="Times New Roman" w:eastAsia="仿宋_GB2312" w:cs="Times New Roman"/>
          <w:color w:val="auto"/>
          <w:sz w:val="32"/>
          <w:szCs w:val="32"/>
          <w:lang w:val="en-US" w:eastAsia="zh-CN"/>
        </w:rPr>
        <w:t>10</w:t>
      </w:r>
      <w:r>
        <w:rPr>
          <w:rFonts w:hint="default" w:ascii="Times New Roman" w:hAnsi="Times New Roman" w:eastAsia="仿宋_GB2312" w:cs="Times New Roman"/>
          <w:color w:val="auto"/>
          <w:sz w:val="32"/>
          <w:szCs w:val="32"/>
        </w:rPr>
        <w:t>）重点工程监督部</w:t>
      </w:r>
    </w:p>
    <w:p w14:paraId="385C6187">
      <w:pPr>
        <w:keepNext w:val="0"/>
        <w:keepLines w:val="0"/>
        <w:pageBreakBefore w:val="0"/>
        <w:kinsoku/>
        <w:wordWrap/>
        <w:overflowPunct/>
        <w:topLinePunct w:val="0"/>
        <w:autoSpaceDE/>
        <w:autoSpaceDN/>
        <w:bidi w:val="0"/>
        <w:adjustRightInd/>
        <w:snapToGrid w:val="0"/>
        <w:spacing w:line="600" w:lineRule="exact"/>
        <w:ind w:firstLine="640" w:firstLineChars="200"/>
        <w:jc w:val="both"/>
        <w:textAlignment w:val="auto"/>
        <w:rPr>
          <w:rFonts w:hint="default" w:ascii="Times New Roman" w:hAnsi="Times New Roman" w:eastAsia="仿宋_GB2312" w:cs="Times New Roman"/>
          <w:color w:val="auto"/>
          <w:sz w:val="32"/>
          <w:szCs w:val="32"/>
        </w:rPr>
      </w:pPr>
      <w:r>
        <w:rPr>
          <w:rFonts w:hint="default" w:ascii="Times New Roman" w:hAnsi="Times New Roman" w:eastAsia="仿宋_GB2312" w:cs="Times New Roman"/>
          <w:color w:val="auto"/>
          <w:sz w:val="32"/>
          <w:szCs w:val="32"/>
        </w:rPr>
        <w:t>（</w:t>
      </w:r>
      <w:r>
        <w:rPr>
          <w:rFonts w:hint="default" w:ascii="Times New Roman" w:hAnsi="Times New Roman" w:eastAsia="仿宋_GB2312" w:cs="Times New Roman"/>
          <w:color w:val="auto"/>
          <w:sz w:val="32"/>
          <w:szCs w:val="32"/>
          <w:lang w:val="en-US" w:eastAsia="zh-CN"/>
        </w:rPr>
        <w:t>11</w:t>
      </w:r>
      <w:r>
        <w:rPr>
          <w:rFonts w:hint="default" w:ascii="Times New Roman" w:hAnsi="Times New Roman" w:eastAsia="仿宋_GB2312" w:cs="Times New Roman"/>
          <w:color w:val="auto"/>
          <w:sz w:val="32"/>
          <w:szCs w:val="32"/>
        </w:rPr>
        <w:t>）消防工程建设质量监督部</w:t>
      </w:r>
    </w:p>
    <w:p w14:paraId="78C6AAD4">
      <w:pPr>
        <w:keepNext w:val="0"/>
        <w:keepLines w:val="0"/>
        <w:pageBreakBefore w:val="0"/>
        <w:kinsoku/>
        <w:wordWrap/>
        <w:overflowPunct/>
        <w:topLinePunct w:val="0"/>
        <w:autoSpaceDE/>
        <w:autoSpaceDN/>
        <w:bidi w:val="0"/>
        <w:adjustRightInd/>
        <w:snapToGrid w:val="0"/>
        <w:spacing w:line="600" w:lineRule="exact"/>
        <w:ind w:firstLine="640" w:firstLineChars="200"/>
        <w:jc w:val="both"/>
        <w:textAlignment w:val="auto"/>
        <w:rPr>
          <w:rFonts w:hint="default" w:ascii="Times New Roman" w:hAnsi="Times New Roman" w:eastAsia="仿宋_GB2312" w:cs="Times New Roman"/>
          <w:color w:val="auto"/>
          <w:sz w:val="32"/>
          <w:szCs w:val="32"/>
        </w:rPr>
      </w:pPr>
      <w:r>
        <w:rPr>
          <w:rFonts w:hint="default" w:ascii="Times New Roman" w:hAnsi="Times New Roman" w:eastAsia="仿宋_GB2312" w:cs="Times New Roman"/>
          <w:color w:val="auto"/>
          <w:sz w:val="32"/>
          <w:szCs w:val="32"/>
        </w:rPr>
        <w:t>（</w:t>
      </w:r>
      <w:r>
        <w:rPr>
          <w:rFonts w:hint="default" w:ascii="Times New Roman" w:hAnsi="Times New Roman" w:eastAsia="仿宋_GB2312" w:cs="Times New Roman"/>
          <w:color w:val="auto"/>
          <w:sz w:val="32"/>
          <w:szCs w:val="32"/>
          <w:lang w:val="en-US" w:eastAsia="zh-CN"/>
        </w:rPr>
        <w:t>12</w:t>
      </w:r>
      <w:r>
        <w:rPr>
          <w:rFonts w:hint="default" w:ascii="Times New Roman" w:hAnsi="Times New Roman" w:eastAsia="仿宋_GB2312" w:cs="Times New Roman"/>
          <w:color w:val="auto"/>
          <w:sz w:val="32"/>
          <w:szCs w:val="32"/>
        </w:rPr>
        <w:t>）财务部</w:t>
      </w:r>
    </w:p>
    <w:p w14:paraId="1C2082B3">
      <w:pPr>
        <w:keepNext w:val="0"/>
        <w:keepLines w:val="0"/>
        <w:pageBreakBefore w:val="0"/>
        <w:kinsoku/>
        <w:wordWrap/>
        <w:overflowPunct/>
        <w:topLinePunct w:val="0"/>
        <w:autoSpaceDE/>
        <w:autoSpaceDN/>
        <w:bidi w:val="0"/>
        <w:adjustRightInd/>
        <w:snapToGrid w:val="0"/>
        <w:spacing w:line="600" w:lineRule="exact"/>
        <w:ind w:firstLine="640" w:firstLineChars="200"/>
        <w:jc w:val="both"/>
        <w:textAlignment w:val="auto"/>
        <w:rPr>
          <w:rFonts w:hint="default" w:ascii="Times New Roman" w:hAnsi="Times New Roman" w:eastAsia="仿宋_GB2312" w:cs="Times New Roman"/>
          <w:color w:val="auto"/>
          <w:sz w:val="32"/>
          <w:szCs w:val="32"/>
        </w:rPr>
      </w:pPr>
      <w:r>
        <w:rPr>
          <w:rFonts w:hint="default" w:ascii="Times New Roman" w:hAnsi="Times New Roman" w:eastAsia="仿宋_GB2312" w:cs="Times New Roman"/>
          <w:color w:val="auto"/>
          <w:sz w:val="32"/>
          <w:szCs w:val="32"/>
        </w:rPr>
        <w:t>设三个分支机构：</w:t>
      </w:r>
    </w:p>
    <w:p w14:paraId="51C87FA0">
      <w:pPr>
        <w:keepNext w:val="0"/>
        <w:keepLines w:val="0"/>
        <w:pageBreakBefore w:val="0"/>
        <w:kinsoku/>
        <w:wordWrap/>
        <w:overflowPunct/>
        <w:topLinePunct w:val="0"/>
        <w:autoSpaceDE/>
        <w:autoSpaceDN/>
        <w:bidi w:val="0"/>
        <w:adjustRightInd/>
        <w:snapToGrid w:val="0"/>
        <w:spacing w:line="600" w:lineRule="exact"/>
        <w:ind w:firstLine="640" w:firstLineChars="200"/>
        <w:jc w:val="both"/>
        <w:textAlignment w:val="auto"/>
        <w:rPr>
          <w:rFonts w:hint="default" w:ascii="Times New Roman" w:hAnsi="Times New Roman" w:eastAsia="仿宋_GB2312" w:cs="Times New Roman"/>
          <w:color w:val="auto"/>
          <w:sz w:val="32"/>
          <w:szCs w:val="32"/>
        </w:rPr>
      </w:pPr>
      <w:r>
        <w:rPr>
          <w:rFonts w:hint="default" w:ascii="Times New Roman" w:hAnsi="Times New Roman" w:eastAsia="仿宋_GB2312" w:cs="Times New Roman"/>
          <w:color w:val="auto"/>
          <w:sz w:val="32"/>
          <w:szCs w:val="32"/>
          <w:lang w:eastAsia="zh-CN"/>
        </w:rPr>
        <w:t>（</w:t>
      </w:r>
      <w:r>
        <w:rPr>
          <w:rFonts w:hint="default" w:ascii="Times New Roman" w:hAnsi="Times New Roman" w:eastAsia="仿宋_GB2312" w:cs="Times New Roman"/>
          <w:color w:val="auto"/>
          <w:sz w:val="32"/>
          <w:szCs w:val="32"/>
          <w:lang w:val="en-US" w:eastAsia="zh-CN"/>
        </w:rPr>
        <w:t>1</w:t>
      </w:r>
      <w:r>
        <w:rPr>
          <w:rFonts w:hint="default" w:ascii="Times New Roman" w:hAnsi="Times New Roman" w:eastAsia="仿宋_GB2312" w:cs="Times New Roman"/>
          <w:color w:val="auto"/>
          <w:sz w:val="32"/>
          <w:szCs w:val="32"/>
          <w:lang w:eastAsia="zh-CN"/>
        </w:rPr>
        <w:t>）</w:t>
      </w:r>
      <w:r>
        <w:rPr>
          <w:rFonts w:hint="default" w:ascii="Times New Roman" w:hAnsi="Times New Roman" w:eastAsia="仿宋_GB2312" w:cs="Times New Roman"/>
          <w:color w:val="auto"/>
          <w:sz w:val="32"/>
          <w:szCs w:val="32"/>
        </w:rPr>
        <w:t>市建设工程质量安全监督站监督一所</w:t>
      </w:r>
    </w:p>
    <w:p w14:paraId="130E4D60">
      <w:pPr>
        <w:keepNext w:val="0"/>
        <w:keepLines w:val="0"/>
        <w:pageBreakBefore w:val="0"/>
        <w:kinsoku/>
        <w:wordWrap/>
        <w:overflowPunct/>
        <w:topLinePunct w:val="0"/>
        <w:autoSpaceDE/>
        <w:autoSpaceDN/>
        <w:bidi w:val="0"/>
        <w:adjustRightInd/>
        <w:snapToGrid w:val="0"/>
        <w:spacing w:line="600" w:lineRule="exact"/>
        <w:ind w:firstLine="640" w:firstLineChars="200"/>
        <w:jc w:val="both"/>
        <w:textAlignment w:val="auto"/>
        <w:rPr>
          <w:rFonts w:hint="default" w:ascii="Times New Roman" w:hAnsi="Times New Roman" w:eastAsia="仿宋_GB2312" w:cs="Times New Roman"/>
          <w:color w:val="auto"/>
          <w:sz w:val="32"/>
          <w:szCs w:val="32"/>
        </w:rPr>
      </w:pPr>
      <w:r>
        <w:rPr>
          <w:rFonts w:hint="default" w:ascii="Times New Roman" w:hAnsi="Times New Roman" w:eastAsia="仿宋_GB2312" w:cs="Times New Roman"/>
          <w:color w:val="auto"/>
          <w:sz w:val="32"/>
          <w:szCs w:val="32"/>
        </w:rPr>
        <w:t>（</w:t>
      </w:r>
      <w:r>
        <w:rPr>
          <w:rFonts w:hint="default" w:ascii="Times New Roman" w:hAnsi="Times New Roman" w:eastAsia="仿宋_GB2312" w:cs="Times New Roman"/>
          <w:color w:val="auto"/>
          <w:sz w:val="32"/>
          <w:szCs w:val="32"/>
          <w:lang w:val="en-US" w:eastAsia="zh-CN"/>
        </w:rPr>
        <w:t>2</w:t>
      </w:r>
      <w:r>
        <w:rPr>
          <w:rFonts w:hint="default" w:ascii="Times New Roman" w:hAnsi="Times New Roman" w:eastAsia="仿宋_GB2312" w:cs="Times New Roman"/>
          <w:color w:val="auto"/>
          <w:sz w:val="32"/>
          <w:szCs w:val="32"/>
        </w:rPr>
        <w:t>）是建设工程质量安全监督站监督二所</w:t>
      </w:r>
    </w:p>
    <w:p w14:paraId="6E41CC36">
      <w:pPr>
        <w:keepNext w:val="0"/>
        <w:keepLines w:val="0"/>
        <w:pageBreakBefore w:val="0"/>
        <w:kinsoku/>
        <w:wordWrap/>
        <w:overflowPunct/>
        <w:topLinePunct w:val="0"/>
        <w:autoSpaceDE/>
        <w:autoSpaceDN/>
        <w:bidi w:val="0"/>
        <w:adjustRightInd/>
        <w:snapToGrid w:val="0"/>
        <w:spacing w:line="600" w:lineRule="exact"/>
        <w:ind w:firstLine="640" w:firstLineChars="200"/>
        <w:jc w:val="both"/>
        <w:textAlignment w:val="auto"/>
        <w:rPr>
          <w:rFonts w:hint="default" w:ascii="Times New Roman" w:hAnsi="Times New Roman" w:eastAsia="仿宋_GB2312" w:cs="Times New Roman"/>
          <w:color w:val="auto"/>
          <w:sz w:val="32"/>
          <w:szCs w:val="32"/>
        </w:rPr>
      </w:pPr>
      <w:r>
        <w:rPr>
          <w:rFonts w:hint="default" w:ascii="Times New Roman" w:hAnsi="Times New Roman" w:eastAsia="仿宋_GB2312" w:cs="Times New Roman"/>
          <w:color w:val="auto"/>
          <w:sz w:val="32"/>
          <w:szCs w:val="32"/>
        </w:rPr>
        <w:t>（</w:t>
      </w:r>
      <w:r>
        <w:rPr>
          <w:rFonts w:hint="default" w:ascii="Times New Roman" w:hAnsi="Times New Roman" w:eastAsia="仿宋_GB2312" w:cs="Times New Roman"/>
          <w:color w:val="auto"/>
          <w:sz w:val="32"/>
          <w:szCs w:val="32"/>
          <w:lang w:val="en-US" w:eastAsia="zh-CN"/>
        </w:rPr>
        <w:t>3</w:t>
      </w:r>
      <w:r>
        <w:rPr>
          <w:rFonts w:hint="default" w:ascii="Times New Roman" w:hAnsi="Times New Roman" w:eastAsia="仿宋_GB2312" w:cs="Times New Roman"/>
          <w:color w:val="auto"/>
          <w:sz w:val="32"/>
          <w:szCs w:val="32"/>
        </w:rPr>
        <w:t>）市建设工程质量安全监督站监督三所。</w:t>
      </w:r>
    </w:p>
    <w:p w14:paraId="76181D4E">
      <w:pPr>
        <w:pStyle w:val="8"/>
        <w:keepNext w:val="0"/>
        <w:keepLines w:val="0"/>
        <w:pageBreakBefore w:val="0"/>
        <w:kinsoku/>
        <w:wordWrap/>
        <w:overflowPunct/>
        <w:topLinePunct w:val="0"/>
        <w:autoSpaceDE/>
        <w:autoSpaceDN/>
        <w:bidi w:val="0"/>
        <w:adjustRightInd/>
        <w:spacing w:line="600" w:lineRule="exact"/>
        <w:ind w:firstLine="640" w:firstLineChars="200"/>
        <w:jc w:val="both"/>
        <w:textAlignment w:val="auto"/>
        <w:rPr>
          <w:color w:val="auto"/>
        </w:rPr>
      </w:pPr>
      <w:r>
        <w:rPr>
          <w:rFonts w:hint="default" w:ascii="Times New Roman" w:hAnsi="Times New Roman" w:eastAsia="仿宋_GB2312" w:cs="Times New Roman"/>
          <w:bCs/>
          <w:color w:val="auto"/>
          <w:kern w:val="0"/>
          <w:sz w:val="32"/>
          <w:szCs w:val="32"/>
        </w:rPr>
        <w:t>（二）决算单位构成。</w:t>
      </w:r>
      <w:r>
        <w:rPr>
          <w:rFonts w:hint="default" w:ascii="Times New Roman" w:hAnsi="Times New Roman" w:eastAsia="仿宋_GB2312" w:cs="Times New Roman"/>
          <w:bCs/>
          <w:color w:val="auto"/>
          <w:kern w:val="0"/>
          <w:sz w:val="32"/>
          <w:szCs w:val="32"/>
          <w:lang w:eastAsia="zh-CN"/>
        </w:rPr>
        <w:t>本单位无独立核算的下属单位，</w:t>
      </w:r>
      <w:r>
        <w:rPr>
          <w:rFonts w:hint="default" w:ascii="Times New Roman" w:hAnsi="Times New Roman" w:eastAsia="仿宋_GB2312" w:cs="Times New Roman"/>
          <w:bCs/>
          <w:color w:val="auto"/>
          <w:kern w:val="0"/>
          <w:sz w:val="32"/>
          <w:szCs w:val="32"/>
        </w:rPr>
        <w:t>202</w:t>
      </w:r>
      <w:r>
        <w:rPr>
          <w:rFonts w:hint="default" w:ascii="Times New Roman" w:hAnsi="Times New Roman" w:eastAsia="仿宋_GB2312" w:cs="Times New Roman"/>
          <w:bCs/>
          <w:color w:val="auto"/>
          <w:kern w:val="0"/>
          <w:sz w:val="32"/>
          <w:szCs w:val="32"/>
          <w:lang w:val="en-US" w:eastAsia="zh-CN"/>
        </w:rPr>
        <w:t>4</w:t>
      </w:r>
      <w:r>
        <w:rPr>
          <w:rFonts w:hint="default" w:ascii="Times New Roman" w:hAnsi="Times New Roman" w:eastAsia="仿宋_GB2312" w:cs="Times New Roman"/>
          <w:bCs/>
          <w:color w:val="auto"/>
          <w:kern w:val="0"/>
          <w:sz w:val="32"/>
          <w:szCs w:val="32"/>
        </w:rPr>
        <w:t>年部门决算汇总公开单位</w:t>
      </w:r>
      <w:r>
        <w:rPr>
          <w:rFonts w:hint="default" w:ascii="Times New Roman" w:hAnsi="Times New Roman" w:eastAsia="仿宋_GB2312" w:cs="Times New Roman"/>
          <w:bCs/>
          <w:color w:val="auto"/>
          <w:kern w:val="0"/>
          <w:sz w:val="32"/>
          <w:szCs w:val="32"/>
          <w:lang w:eastAsia="zh-CN"/>
        </w:rPr>
        <w:t>仅</w:t>
      </w:r>
      <w:r>
        <w:rPr>
          <w:rFonts w:hint="default" w:ascii="Times New Roman" w:hAnsi="Times New Roman" w:eastAsia="仿宋_GB2312" w:cs="Times New Roman"/>
          <w:bCs/>
          <w:color w:val="auto"/>
          <w:kern w:val="0"/>
          <w:sz w:val="32"/>
          <w:szCs w:val="32"/>
        </w:rPr>
        <w:t>包括</w:t>
      </w:r>
      <w:r>
        <w:rPr>
          <w:rFonts w:hint="default" w:ascii="Times New Roman" w:hAnsi="Times New Roman" w:eastAsia="仿宋_GB2312" w:cs="Times New Roman"/>
          <w:bCs/>
          <w:color w:val="auto"/>
          <w:kern w:val="0"/>
          <w:sz w:val="32"/>
          <w:szCs w:val="32"/>
          <w:lang w:eastAsia="zh-CN"/>
        </w:rPr>
        <w:t>岳阳市建设工程质量安全监督站单位</w:t>
      </w:r>
      <w:r>
        <w:rPr>
          <w:rFonts w:hint="default" w:ascii="Times New Roman" w:hAnsi="Times New Roman" w:eastAsia="仿宋_GB2312" w:cs="Times New Roman"/>
          <w:bCs/>
          <w:color w:val="auto"/>
          <w:kern w:val="0"/>
          <w:sz w:val="32"/>
          <w:szCs w:val="32"/>
        </w:rPr>
        <w:t>本级</w:t>
      </w:r>
      <w:r>
        <w:rPr>
          <w:rFonts w:hint="default" w:ascii="Times New Roman" w:hAnsi="Times New Roman" w:eastAsia="仿宋_GB2312" w:cs="Times New Roman"/>
          <w:bCs/>
          <w:color w:val="auto"/>
          <w:kern w:val="0"/>
          <w:sz w:val="32"/>
          <w:szCs w:val="32"/>
          <w:lang w:eastAsia="zh-CN"/>
        </w:rPr>
        <w:t>。</w:t>
      </w:r>
    </w:p>
    <w:p w14:paraId="1A5BF099">
      <w:pPr>
        <w:rPr>
          <w:rFonts w:hint="eastAsia" w:ascii="方正小标宋_GBK" w:hAnsi="方正小标宋_GBK" w:eastAsia="方正小标宋_GBK" w:cs="方正小标宋_GBK"/>
          <w:color w:val="auto"/>
          <w:sz w:val="84"/>
          <w:szCs w:val="84"/>
        </w:rPr>
      </w:pPr>
      <w:r>
        <w:rPr>
          <w:rFonts w:hint="eastAsia" w:ascii="方正小标宋_GBK" w:hAnsi="方正小标宋_GBK" w:eastAsia="方正小标宋_GBK" w:cs="方正小标宋_GBK"/>
          <w:color w:val="auto"/>
          <w:sz w:val="84"/>
          <w:szCs w:val="84"/>
        </w:rPr>
        <w:br w:type="page"/>
      </w:r>
    </w:p>
    <w:p w14:paraId="37026CFD">
      <w:pPr>
        <w:pStyle w:val="13"/>
        <w:keepNext w:val="0"/>
        <w:keepLines w:val="0"/>
        <w:pageBreakBefore w:val="0"/>
        <w:kinsoku/>
        <w:wordWrap/>
        <w:topLinePunct w:val="0"/>
        <w:bidi w:val="0"/>
        <w:spacing w:line="240" w:lineRule="auto"/>
        <w:jc w:val="center"/>
        <w:textAlignment w:val="auto"/>
        <w:rPr>
          <w:rFonts w:hint="eastAsia" w:ascii="方正小标宋_GBK" w:hAnsi="方正小标宋_GBK" w:eastAsia="方正小标宋_GBK" w:cs="方正小标宋_GBK"/>
          <w:color w:val="auto"/>
          <w:sz w:val="84"/>
          <w:szCs w:val="84"/>
        </w:rPr>
      </w:pPr>
    </w:p>
    <w:p w14:paraId="2936FFBD">
      <w:pPr>
        <w:pStyle w:val="13"/>
        <w:keepNext w:val="0"/>
        <w:keepLines w:val="0"/>
        <w:pageBreakBefore w:val="0"/>
        <w:kinsoku/>
        <w:wordWrap/>
        <w:topLinePunct w:val="0"/>
        <w:bidi w:val="0"/>
        <w:spacing w:line="240" w:lineRule="auto"/>
        <w:jc w:val="center"/>
        <w:textAlignment w:val="auto"/>
        <w:rPr>
          <w:rFonts w:hint="eastAsia" w:ascii="方正小标宋_GBK" w:hAnsi="方正小标宋_GBK" w:eastAsia="方正小标宋_GBK" w:cs="方正小标宋_GBK"/>
          <w:color w:val="auto"/>
          <w:sz w:val="84"/>
          <w:szCs w:val="84"/>
        </w:rPr>
      </w:pPr>
    </w:p>
    <w:p w14:paraId="661BBFC8">
      <w:pPr>
        <w:pStyle w:val="13"/>
        <w:keepNext w:val="0"/>
        <w:keepLines w:val="0"/>
        <w:pageBreakBefore w:val="0"/>
        <w:kinsoku/>
        <w:wordWrap/>
        <w:topLinePunct w:val="0"/>
        <w:bidi w:val="0"/>
        <w:spacing w:line="240" w:lineRule="auto"/>
        <w:jc w:val="center"/>
        <w:textAlignment w:val="auto"/>
        <w:rPr>
          <w:rFonts w:hint="eastAsia" w:ascii="方正小标宋_GBK" w:hAnsi="方正小标宋_GBK" w:eastAsia="方正小标宋_GBK" w:cs="方正小标宋_GBK"/>
          <w:color w:val="auto"/>
          <w:sz w:val="84"/>
          <w:szCs w:val="84"/>
        </w:rPr>
      </w:pPr>
      <w:r>
        <w:rPr>
          <w:rFonts w:hint="eastAsia" w:ascii="方正小标宋_GBK" w:hAnsi="方正小标宋_GBK" w:eastAsia="方正小标宋_GBK" w:cs="方正小标宋_GBK"/>
          <w:color w:val="auto"/>
          <w:sz w:val="84"/>
          <w:szCs w:val="84"/>
        </w:rPr>
        <w:t>第二部分</w:t>
      </w:r>
    </w:p>
    <w:p w14:paraId="5FB02ED5">
      <w:pPr>
        <w:pStyle w:val="13"/>
        <w:keepNext w:val="0"/>
        <w:keepLines w:val="0"/>
        <w:pageBreakBefore w:val="0"/>
        <w:kinsoku/>
        <w:wordWrap/>
        <w:topLinePunct w:val="0"/>
        <w:bidi w:val="0"/>
        <w:spacing w:line="240" w:lineRule="auto"/>
        <w:jc w:val="center"/>
        <w:textAlignment w:val="auto"/>
        <w:rPr>
          <w:rFonts w:hint="eastAsia" w:ascii="方正小标宋_GBK" w:hAnsi="方正小标宋_GBK" w:eastAsia="方正小标宋_GBK" w:cs="方正小标宋_GBK"/>
          <w:color w:val="auto"/>
          <w:sz w:val="84"/>
          <w:szCs w:val="84"/>
        </w:rPr>
      </w:pPr>
    </w:p>
    <w:p w14:paraId="3860F185">
      <w:pPr>
        <w:pStyle w:val="13"/>
        <w:keepNext w:val="0"/>
        <w:keepLines w:val="0"/>
        <w:pageBreakBefore w:val="0"/>
        <w:kinsoku/>
        <w:wordWrap/>
        <w:topLinePunct w:val="0"/>
        <w:bidi w:val="0"/>
        <w:spacing w:line="240" w:lineRule="auto"/>
        <w:jc w:val="center"/>
        <w:textAlignment w:val="auto"/>
        <w:rPr>
          <w:rFonts w:hint="eastAsia" w:ascii="方正小标宋_GBK" w:hAnsi="方正小标宋_GBK" w:eastAsia="方正小标宋_GBK" w:cs="方正小标宋_GBK"/>
          <w:color w:val="auto"/>
          <w:sz w:val="84"/>
          <w:szCs w:val="84"/>
        </w:rPr>
      </w:pPr>
      <w:r>
        <w:rPr>
          <w:rFonts w:hint="eastAsia" w:ascii="方正小标宋_GBK" w:hAnsi="方正小标宋_GBK" w:eastAsia="方正小标宋_GBK" w:cs="方正小标宋_GBK"/>
          <w:color w:val="auto"/>
          <w:sz w:val="84"/>
          <w:szCs w:val="84"/>
        </w:rPr>
        <w:t>部门决算表</w:t>
      </w:r>
    </w:p>
    <w:p w14:paraId="6EEAB3EF">
      <w:pPr>
        <w:pStyle w:val="13"/>
        <w:keepNext w:val="0"/>
        <w:keepLines w:val="0"/>
        <w:pageBreakBefore w:val="0"/>
        <w:kinsoku/>
        <w:wordWrap/>
        <w:topLinePunct w:val="0"/>
        <w:bidi w:val="0"/>
        <w:spacing w:line="240" w:lineRule="auto"/>
        <w:jc w:val="center"/>
        <w:textAlignment w:val="auto"/>
        <w:rPr>
          <w:rFonts w:hint="eastAsia" w:ascii="仿宋_GB2312" w:hAnsi="仿宋_GB2312" w:eastAsia="仿宋_GB2312" w:cs="仿宋_GB2312"/>
          <w:b w:val="0"/>
          <w:bCs w:val="0"/>
          <w:color w:val="auto"/>
          <w:sz w:val="72"/>
          <w:szCs w:val="72"/>
          <w:lang w:eastAsia="zh-CN"/>
        </w:rPr>
      </w:pPr>
      <w:r>
        <w:rPr>
          <w:rFonts w:hint="eastAsia" w:ascii="仿宋_GB2312" w:hAnsi="仿宋_GB2312" w:eastAsia="仿宋_GB2312" w:cs="仿宋_GB2312"/>
          <w:b w:val="0"/>
          <w:bCs w:val="0"/>
          <w:color w:val="auto"/>
          <w:sz w:val="72"/>
          <w:szCs w:val="72"/>
          <w:lang w:eastAsia="zh-CN"/>
        </w:rPr>
        <w:t>（见附件）</w:t>
      </w:r>
    </w:p>
    <w:p w14:paraId="603C04A7">
      <w:pPr>
        <w:pStyle w:val="13"/>
        <w:keepNext w:val="0"/>
        <w:keepLines w:val="0"/>
        <w:pageBreakBefore w:val="0"/>
        <w:kinsoku/>
        <w:wordWrap/>
        <w:topLinePunct w:val="0"/>
        <w:bidi w:val="0"/>
        <w:spacing w:line="240" w:lineRule="auto"/>
        <w:jc w:val="center"/>
        <w:textAlignment w:val="auto"/>
        <w:rPr>
          <w:rFonts w:hint="eastAsia" w:ascii="方正小标宋_GBK" w:hAnsi="方正小标宋_GBK" w:eastAsia="方正小标宋_GBK" w:cs="方正小标宋_GBK"/>
          <w:color w:val="auto"/>
          <w:sz w:val="72"/>
          <w:szCs w:val="72"/>
        </w:rPr>
      </w:pPr>
    </w:p>
    <w:p w14:paraId="5FE3843F">
      <w:pPr>
        <w:pStyle w:val="13"/>
        <w:keepNext w:val="0"/>
        <w:keepLines w:val="0"/>
        <w:pageBreakBefore w:val="0"/>
        <w:kinsoku/>
        <w:wordWrap/>
        <w:topLinePunct w:val="0"/>
        <w:bidi w:val="0"/>
        <w:spacing w:line="240" w:lineRule="auto"/>
        <w:ind w:firstLine="3600" w:firstLineChars="500"/>
        <w:jc w:val="both"/>
        <w:textAlignment w:val="auto"/>
        <w:rPr>
          <w:rFonts w:hint="eastAsia" w:ascii="方正小标宋_GBK" w:hAnsi="方正小标宋_GBK" w:eastAsia="方正小标宋_GBK" w:cs="方正小标宋_GBK"/>
          <w:color w:val="auto"/>
          <w:sz w:val="72"/>
          <w:szCs w:val="72"/>
        </w:rPr>
      </w:pPr>
    </w:p>
    <w:p w14:paraId="5F347B8D">
      <w:pPr>
        <w:rPr>
          <w:rFonts w:hint="eastAsia" w:ascii="方正小标宋_GBK" w:hAnsi="方正小标宋_GBK" w:eastAsia="方正小标宋_GBK" w:cs="方正小标宋_GBK"/>
          <w:color w:val="auto"/>
          <w:sz w:val="72"/>
          <w:szCs w:val="72"/>
        </w:rPr>
      </w:pPr>
      <w:r>
        <w:rPr>
          <w:rFonts w:hint="eastAsia" w:ascii="方正小标宋_GBK" w:hAnsi="方正小标宋_GBK" w:eastAsia="方正小标宋_GBK" w:cs="方正小标宋_GBK"/>
          <w:color w:val="auto"/>
          <w:sz w:val="72"/>
          <w:szCs w:val="72"/>
        </w:rPr>
        <w:br w:type="page"/>
      </w:r>
    </w:p>
    <w:p w14:paraId="3D0A3E62">
      <w:pPr>
        <w:pStyle w:val="13"/>
        <w:keepNext w:val="0"/>
        <w:keepLines w:val="0"/>
        <w:pageBreakBefore w:val="0"/>
        <w:kinsoku/>
        <w:wordWrap/>
        <w:topLinePunct w:val="0"/>
        <w:bidi w:val="0"/>
        <w:spacing w:line="240" w:lineRule="auto"/>
        <w:jc w:val="center"/>
        <w:textAlignment w:val="auto"/>
        <w:rPr>
          <w:rFonts w:hint="eastAsia" w:ascii="方正小标宋_GBK" w:hAnsi="方正小标宋_GBK" w:eastAsia="方正小标宋_GBK" w:cs="方正小标宋_GBK"/>
          <w:color w:val="auto"/>
          <w:sz w:val="72"/>
          <w:szCs w:val="72"/>
        </w:rPr>
      </w:pPr>
    </w:p>
    <w:p w14:paraId="7F10C580">
      <w:pPr>
        <w:pStyle w:val="13"/>
        <w:keepNext w:val="0"/>
        <w:keepLines w:val="0"/>
        <w:pageBreakBefore w:val="0"/>
        <w:kinsoku/>
        <w:wordWrap/>
        <w:topLinePunct w:val="0"/>
        <w:bidi w:val="0"/>
        <w:spacing w:line="240" w:lineRule="auto"/>
        <w:jc w:val="center"/>
        <w:textAlignment w:val="auto"/>
        <w:rPr>
          <w:rFonts w:hint="eastAsia" w:ascii="方正小标宋_GBK" w:hAnsi="方正小标宋_GBK" w:eastAsia="方正小标宋_GBK" w:cs="方正小标宋_GBK"/>
          <w:color w:val="auto"/>
          <w:sz w:val="72"/>
          <w:szCs w:val="72"/>
        </w:rPr>
      </w:pPr>
    </w:p>
    <w:p w14:paraId="7804FBAA">
      <w:pPr>
        <w:pStyle w:val="13"/>
        <w:keepNext w:val="0"/>
        <w:keepLines w:val="0"/>
        <w:pageBreakBefore w:val="0"/>
        <w:kinsoku/>
        <w:wordWrap/>
        <w:topLinePunct w:val="0"/>
        <w:bidi w:val="0"/>
        <w:spacing w:line="240" w:lineRule="auto"/>
        <w:jc w:val="center"/>
        <w:textAlignment w:val="auto"/>
        <w:rPr>
          <w:rFonts w:hint="eastAsia" w:ascii="方正小标宋_GBK" w:hAnsi="方正小标宋_GBK" w:eastAsia="方正小标宋_GBK" w:cs="方正小标宋_GBK"/>
          <w:color w:val="auto"/>
          <w:sz w:val="72"/>
          <w:szCs w:val="72"/>
        </w:rPr>
      </w:pPr>
      <w:r>
        <w:rPr>
          <w:rFonts w:hint="eastAsia" w:ascii="方正小标宋_GBK" w:hAnsi="方正小标宋_GBK" w:eastAsia="方正小标宋_GBK" w:cs="方正小标宋_GBK"/>
          <w:color w:val="auto"/>
          <w:sz w:val="72"/>
          <w:szCs w:val="72"/>
        </w:rPr>
        <w:t>第三部分</w:t>
      </w:r>
    </w:p>
    <w:p w14:paraId="7D53C949">
      <w:pPr>
        <w:pStyle w:val="13"/>
        <w:keepNext w:val="0"/>
        <w:keepLines w:val="0"/>
        <w:pageBreakBefore w:val="0"/>
        <w:kinsoku/>
        <w:wordWrap/>
        <w:topLinePunct w:val="0"/>
        <w:bidi w:val="0"/>
        <w:spacing w:line="240" w:lineRule="auto"/>
        <w:jc w:val="center"/>
        <w:textAlignment w:val="auto"/>
        <w:rPr>
          <w:rFonts w:hint="eastAsia" w:ascii="方正小标宋_GBK" w:hAnsi="方正小标宋_GBK" w:eastAsia="方正小标宋_GBK" w:cs="方正小标宋_GBK"/>
          <w:color w:val="auto"/>
          <w:sz w:val="70"/>
          <w:szCs w:val="70"/>
        </w:rPr>
      </w:pPr>
    </w:p>
    <w:p w14:paraId="4F77A5A6">
      <w:pPr>
        <w:pStyle w:val="13"/>
        <w:keepNext w:val="0"/>
        <w:keepLines w:val="0"/>
        <w:pageBreakBefore w:val="0"/>
        <w:kinsoku/>
        <w:wordWrap/>
        <w:topLinePunct w:val="0"/>
        <w:bidi w:val="0"/>
        <w:spacing w:line="240" w:lineRule="auto"/>
        <w:jc w:val="center"/>
        <w:textAlignment w:val="auto"/>
        <w:rPr>
          <w:rFonts w:hint="eastAsia" w:ascii="方正小标宋_GBK" w:hAnsi="方正小标宋_GBK" w:eastAsia="方正小标宋_GBK" w:cs="方正小标宋_GBK"/>
          <w:color w:val="auto"/>
          <w:sz w:val="70"/>
          <w:szCs w:val="70"/>
        </w:rPr>
      </w:pPr>
      <w:r>
        <w:rPr>
          <w:rFonts w:hint="eastAsia" w:ascii="方正小标宋_GBK" w:hAnsi="方正小标宋_GBK" w:eastAsia="方正小标宋_GBK" w:cs="方正小标宋_GBK"/>
          <w:color w:val="auto"/>
          <w:sz w:val="70"/>
          <w:szCs w:val="70"/>
        </w:rPr>
        <w:t>202</w:t>
      </w:r>
      <w:r>
        <w:rPr>
          <w:rFonts w:hint="eastAsia" w:ascii="方正小标宋_GBK" w:hAnsi="方正小标宋_GBK" w:eastAsia="方正小标宋_GBK" w:cs="方正小标宋_GBK"/>
          <w:color w:val="auto"/>
          <w:sz w:val="70"/>
          <w:szCs w:val="70"/>
          <w:lang w:val="en-US" w:eastAsia="zh-CN"/>
        </w:rPr>
        <w:t>4</w:t>
      </w:r>
      <w:r>
        <w:rPr>
          <w:rFonts w:hint="eastAsia" w:ascii="方正小标宋_GBK" w:hAnsi="方正小标宋_GBK" w:eastAsia="方正小标宋_GBK" w:cs="方正小标宋_GBK"/>
          <w:color w:val="auto"/>
          <w:sz w:val="70"/>
          <w:szCs w:val="70"/>
        </w:rPr>
        <w:t>年度部门决算情况说明</w:t>
      </w:r>
    </w:p>
    <w:p w14:paraId="17862F93">
      <w:pPr>
        <w:pStyle w:val="13"/>
        <w:keepNext w:val="0"/>
        <w:keepLines w:val="0"/>
        <w:pageBreakBefore w:val="0"/>
        <w:kinsoku/>
        <w:wordWrap/>
        <w:topLinePunct w:val="0"/>
        <w:bidi w:val="0"/>
        <w:spacing w:line="240" w:lineRule="auto"/>
        <w:jc w:val="center"/>
        <w:textAlignment w:val="auto"/>
        <w:rPr>
          <w:rFonts w:hint="eastAsia" w:ascii="方正小标宋_GBK" w:hAnsi="方正小标宋_GBK" w:eastAsia="方正小标宋_GBK" w:cs="方正小标宋_GBK"/>
          <w:color w:val="auto"/>
          <w:sz w:val="70"/>
          <w:szCs w:val="70"/>
        </w:rPr>
      </w:pPr>
    </w:p>
    <w:p w14:paraId="6EEC30AB">
      <w:pPr>
        <w:pStyle w:val="13"/>
        <w:keepNext w:val="0"/>
        <w:keepLines w:val="0"/>
        <w:pageBreakBefore w:val="0"/>
        <w:kinsoku/>
        <w:wordWrap/>
        <w:topLinePunct w:val="0"/>
        <w:bidi w:val="0"/>
        <w:spacing w:line="240" w:lineRule="auto"/>
        <w:jc w:val="center"/>
        <w:textAlignment w:val="auto"/>
        <w:rPr>
          <w:rFonts w:hint="eastAsia" w:ascii="方正小标宋_GBK" w:hAnsi="方正小标宋_GBK" w:eastAsia="方正小标宋_GBK" w:cs="方正小标宋_GBK"/>
          <w:color w:val="auto"/>
          <w:sz w:val="70"/>
          <w:szCs w:val="70"/>
        </w:rPr>
      </w:pPr>
    </w:p>
    <w:p w14:paraId="417367C1">
      <w:pPr>
        <w:pStyle w:val="13"/>
        <w:keepNext w:val="0"/>
        <w:keepLines w:val="0"/>
        <w:pageBreakBefore w:val="0"/>
        <w:kinsoku/>
        <w:wordWrap/>
        <w:topLinePunct w:val="0"/>
        <w:bidi w:val="0"/>
        <w:spacing w:line="240" w:lineRule="auto"/>
        <w:jc w:val="center"/>
        <w:textAlignment w:val="auto"/>
        <w:rPr>
          <w:rFonts w:hint="eastAsia" w:ascii="方正小标宋_GBK" w:hAnsi="方正小标宋_GBK" w:eastAsia="方正小标宋_GBK" w:cs="方正小标宋_GBK"/>
          <w:color w:val="auto"/>
          <w:sz w:val="70"/>
          <w:szCs w:val="70"/>
        </w:rPr>
      </w:pPr>
    </w:p>
    <w:p w14:paraId="5EF1049C">
      <w:pPr>
        <w:pStyle w:val="13"/>
        <w:keepNext w:val="0"/>
        <w:keepLines w:val="0"/>
        <w:pageBreakBefore w:val="0"/>
        <w:kinsoku/>
        <w:wordWrap/>
        <w:topLinePunct w:val="0"/>
        <w:bidi w:val="0"/>
        <w:spacing w:line="240" w:lineRule="auto"/>
        <w:jc w:val="center"/>
        <w:textAlignment w:val="auto"/>
        <w:rPr>
          <w:rFonts w:hint="eastAsia" w:ascii="方正小标宋_GBK" w:hAnsi="方正小标宋_GBK" w:eastAsia="方正小标宋_GBK" w:cs="方正小标宋_GBK"/>
          <w:color w:val="auto"/>
          <w:sz w:val="70"/>
          <w:szCs w:val="70"/>
        </w:rPr>
      </w:pPr>
    </w:p>
    <w:p w14:paraId="7E4B3CF9">
      <w:pPr>
        <w:pStyle w:val="13"/>
        <w:keepNext w:val="0"/>
        <w:keepLines w:val="0"/>
        <w:pageBreakBefore w:val="0"/>
        <w:kinsoku/>
        <w:wordWrap/>
        <w:topLinePunct w:val="0"/>
        <w:bidi w:val="0"/>
        <w:spacing w:line="240" w:lineRule="auto"/>
        <w:jc w:val="center"/>
        <w:textAlignment w:val="auto"/>
        <w:rPr>
          <w:rFonts w:hint="eastAsia" w:ascii="方正小标宋_GBK" w:hAnsi="方正小标宋_GBK" w:eastAsia="方正小标宋_GBK" w:cs="方正小标宋_GBK"/>
          <w:color w:val="auto"/>
          <w:sz w:val="70"/>
          <w:szCs w:val="70"/>
        </w:rPr>
      </w:pPr>
    </w:p>
    <w:p w14:paraId="514C0722">
      <w:pPr>
        <w:pStyle w:val="13"/>
        <w:keepNext w:val="0"/>
        <w:keepLines w:val="0"/>
        <w:pageBreakBefore w:val="0"/>
        <w:kinsoku/>
        <w:wordWrap/>
        <w:topLinePunct w:val="0"/>
        <w:bidi w:val="0"/>
        <w:spacing w:line="240" w:lineRule="auto"/>
        <w:jc w:val="center"/>
        <w:textAlignment w:val="auto"/>
        <w:rPr>
          <w:rFonts w:hint="eastAsia" w:ascii="方正小标宋_GBK" w:hAnsi="方正小标宋_GBK" w:eastAsia="方正小标宋_GBK" w:cs="方正小标宋_GBK"/>
          <w:color w:val="auto"/>
          <w:sz w:val="70"/>
          <w:szCs w:val="70"/>
        </w:rPr>
      </w:pPr>
    </w:p>
    <w:p w14:paraId="46A959F2">
      <w:pPr>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rPr>
        <w:br w:type="page"/>
      </w:r>
    </w:p>
    <w:p w14:paraId="111D7AB8">
      <w:pPr>
        <w:keepNext w:val="0"/>
        <w:keepLines w:val="0"/>
        <w:pageBreakBefore w:val="0"/>
        <w:widowControl/>
        <w:kinsoku/>
        <w:wordWrap/>
        <w:topLinePunct w:val="0"/>
        <w:bidi w:val="0"/>
        <w:snapToGrid/>
        <w:spacing w:line="600" w:lineRule="exact"/>
        <w:ind w:left="0" w:leftChars="0" w:firstLine="640" w:firstLineChars="200"/>
        <w:jc w:val="both"/>
        <w:textAlignment w:val="auto"/>
        <w:rPr>
          <w:rFonts w:hint="default" w:ascii="Times New Roman" w:hAnsi="Times New Roman" w:eastAsia="仿宋_GB2312" w:cs="Times New Roman"/>
          <w:color w:val="auto"/>
          <w:sz w:val="32"/>
          <w:szCs w:val="32"/>
        </w:rPr>
      </w:pPr>
      <w:r>
        <w:rPr>
          <w:rFonts w:hint="default" w:ascii="Times New Roman" w:hAnsi="Times New Roman" w:eastAsia="仿宋_GB2312" w:cs="Times New Roman"/>
          <w:color w:val="auto"/>
          <w:sz w:val="32"/>
          <w:szCs w:val="32"/>
        </w:rPr>
        <w:t>（</w:t>
      </w:r>
      <w:r>
        <w:rPr>
          <w:rFonts w:hint="default" w:ascii="Times New Roman" w:hAnsi="Times New Roman" w:eastAsia="仿宋_GB2312" w:cs="Times New Roman"/>
          <w:color w:val="auto"/>
          <w:sz w:val="32"/>
          <w:szCs w:val="32"/>
          <w:lang w:eastAsia="zh-CN"/>
        </w:rPr>
        <w:t>说明：</w:t>
      </w:r>
      <w:r>
        <w:rPr>
          <w:rFonts w:hint="default" w:ascii="Times New Roman" w:hAnsi="Times New Roman" w:eastAsia="仿宋_GB2312" w:cs="Times New Roman"/>
          <w:color w:val="auto"/>
          <w:sz w:val="32"/>
          <w:szCs w:val="32"/>
          <w:lang w:val="en-US" w:eastAsia="zh-CN"/>
        </w:rPr>
        <w:t>1、</w:t>
      </w:r>
      <w:r>
        <w:rPr>
          <w:rFonts w:hint="default" w:ascii="Times New Roman" w:hAnsi="Times New Roman" w:eastAsia="仿宋_GB2312" w:cs="Times New Roman"/>
          <w:color w:val="auto"/>
          <w:sz w:val="32"/>
          <w:szCs w:val="32"/>
        </w:rPr>
        <w:t>由于</w:t>
      </w:r>
      <w:r>
        <w:rPr>
          <w:rFonts w:hint="default" w:ascii="Times New Roman" w:hAnsi="Times New Roman" w:eastAsia="仿宋_GB2312" w:cs="Times New Roman"/>
          <w:color w:val="auto"/>
          <w:sz w:val="32"/>
          <w:szCs w:val="32"/>
          <w:lang w:eastAsia="zh-CN"/>
        </w:rPr>
        <w:t>部门</w:t>
      </w:r>
      <w:r>
        <w:rPr>
          <w:rFonts w:hint="default" w:ascii="Times New Roman" w:hAnsi="Times New Roman" w:eastAsia="仿宋_GB2312" w:cs="Times New Roman"/>
          <w:color w:val="auto"/>
          <w:sz w:val="32"/>
          <w:szCs w:val="32"/>
        </w:rPr>
        <w:t>决算编制时</w:t>
      </w:r>
      <w:r>
        <w:rPr>
          <w:rFonts w:hint="default" w:ascii="Times New Roman" w:hAnsi="Times New Roman" w:eastAsia="仿宋_GB2312" w:cs="Times New Roman"/>
          <w:color w:val="auto"/>
          <w:sz w:val="32"/>
          <w:szCs w:val="32"/>
          <w:lang w:eastAsia="zh-CN"/>
        </w:rPr>
        <w:t>数据</w:t>
      </w:r>
      <w:r>
        <w:rPr>
          <w:rFonts w:hint="default" w:ascii="Times New Roman" w:hAnsi="Times New Roman" w:eastAsia="仿宋_GB2312" w:cs="Times New Roman"/>
          <w:color w:val="auto"/>
          <w:sz w:val="32"/>
          <w:szCs w:val="32"/>
        </w:rPr>
        <w:t>明细</w:t>
      </w:r>
      <w:r>
        <w:rPr>
          <w:rFonts w:hint="default" w:ascii="Times New Roman" w:hAnsi="Times New Roman" w:eastAsia="仿宋_GB2312" w:cs="Times New Roman"/>
          <w:color w:val="auto"/>
          <w:sz w:val="32"/>
          <w:szCs w:val="32"/>
          <w:lang w:eastAsia="zh-CN"/>
        </w:rPr>
        <w:t>至“金额单位：元</w:t>
      </w:r>
      <w:r>
        <w:rPr>
          <w:rFonts w:hint="default" w:ascii="Times New Roman" w:hAnsi="Times New Roman" w:eastAsia="仿宋_GB2312" w:cs="Times New Roman"/>
          <w:color w:val="auto"/>
          <w:sz w:val="32"/>
          <w:szCs w:val="32"/>
        </w:rPr>
        <w:t>”，而</w:t>
      </w:r>
      <w:r>
        <w:rPr>
          <w:rFonts w:hint="default" w:ascii="Times New Roman" w:hAnsi="Times New Roman" w:eastAsia="仿宋_GB2312" w:cs="Times New Roman"/>
          <w:color w:val="auto"/>
          <w:sz w:val="32"/>
          <w:szCs w:val="32"/>
          <w:lang w:eastAsia="zh-CN"/>
        </w:rPr>
        <w:t>本套部门决算文字说明</w:t>
      </w:r>
      <w:r>
        <w:rPr>
          <w:rFonts w:hint="default" w:ascii="Times New Roman" w:hAnsi="Times New Roman" w:eastAsia="仿宋_GB2312" w:cs="Times New Roman"/>
          <w:color w:val="auto"/>
          <w:sz w:val="32"/>
          <w:szCs w:val="32"/>
        </w:rPr>
        <w:t>和公开表格</w:t>
      </w:r>
      <w:r>
        <w:rPr>
          <w:rFonts w:hint="default" w:ascii="Times New Roman" w:hAnsi="Times New Roman" w:eastAsia="仿宋_GB2312" w:cs="Times New Roman"/>
          <w:color w:val="auto"/>
          <w:sz w:val="32"/>
          <w:szCs w:val="32"/>
          <w:lang w:eastAsia="zh-CN"/>
        </w:rPr>
        <w:t>数据</w:t>
      </w:r>
      <w:r>
        <w:rPr>
          <w:rFonts w:hint="default" w:ascii="Times New Roman" w:hAnsi="Times New Roman" w:eastAsia="仿宋_GB2312" w:cs="Times New Roman"/>
          <w:color w:val="auto"/>
          <w:sz w:val="32"/>
          <w:szCs w:val="32"/>
        </w:rPr>
        <w:t>取数</w:t>
      </w:r>
      <w:r>
        <w:rPr>
          <w:rFonts w:hint="default" w:ascii="Times New Roman" w:hAnsi="Times New Roman" w:eastAsia="仿宋_GB2312" w:cs="Times New Roman"/>
          <w:color w:val="auto"/>
          <w:sz w:val="32"/>
          <w:szCs w:val="32"/>
          <w:lang w:eastAsia="zh-CN"/>
        </w:rPr>
        <w:t>转换为</w:t>
      </w:r>
      <w:r>
        <w:rPr>
          <w:rFonts w:hint="default" w:ascii="Times New Roman" w:hAnsi="Times New Roman" w:eastAsia="仿宋_GB2312" w:cs="Times New Roman"/>
          <w:color w:val="auto"/>
          <w:sz w:val="32"/>
          <w:szCs w:val="32"/>
        </w:rPr>
        <w:t>“</w:t>
      </w:r>
      <w:r>
        <w:rPr>
          <w:rFonts w:hint="default" w:ascii="Times New Roman" w:hAnsi="Times New Roman" w:eastAsia="仿宋_GB2312" w:cs="Times New Roman"/>
          <w:color w:val="auto"/>
          <w:sz w:val="32"/>
          <w:szCs w:val="32"/>
          <w:lang w:eastAsia="zh-CN"/>
        </w:rPr>
        <w:t>金额单位：</w:t>
      </w:r>
      <w:r>
        <w:rPr>
          <w:rFonts w:hint="default" w:ascii="Times New Roman" w:hAnsi="Times New Roman" w:eastAsia="仿宋_GB2312" w:cs="Times New Roman"/>
          <w:color w:val="auto"/>
          <w:sz w:val="32"/>
          <w:szCs w:val="32"/>
        </w:rPr>
        <w:t>万元”，可能导致</w:t>
      </w:r>
      <w:r>
        <w:rPr>
          <w:rFonts w:hint="default" w:ascii="Times New Roman" w:hAnsi="Times New Roman" w:eastAsia="仿宋_GB2312" w:cs="Times New Roman"/>
          <w:color w:val="auto"/>
          <w:sz w:val="32"/>
          <w:szCs w:val="32"/>
          <w:lang w:eastAsia="zh-CN"/>
        </w:rPr>
        <w:t>以下文字说明中的各项数据取数以及公开</w:t>
      </w:r>
      <w:r>
        <w:rPr>
          <w:rFonts w:hint="default" w:ascii="Times New Roman" w:hAnsi="Times New Roman" w:eastAsia="仿宋_GB2312" w:cs="Times New Roman"/>
          <w:color w:val="auto"/>
          <w:sz w:val="32"/>
          <w:szCs w:val="32"/>
        </w:rPr>
        <w:t>表格</w:t>
      </w:r>
      <w:r>
        <w:rPr>
          <w:rFonts w:hint="default" w:ascii="Times New Roman" w:hAnsi="Times New Roman" w:eastAsia="仿宋_GB2312" w:cs="Times New Roman"/>
          <w:color w:val="auto"/>
          <w:sz w:val="32"/>
          <w:szCs w:val="32"/>
          <w:lang w:eastAsia="zh-CN"/>
        </w:rPr>
        <w:t>中的各项数据取数之间存在</w:t>
      </w:r>
      <w:r>
        <w:rPr>
          <w:rFonts w:hint="default" w:ascii="Times New Roman" w:hAnsi="Times New Roman" w:eastAsia="仿宋_GB2312" w:cs="Times New Roman"/>
          <w:color w:val="auto"/>
          <w:sz w:val="32"/>
          <w:szCs w:val="32"/>
        </w:rPr>
        <w:t>0.01的尾数差异。</w:t>
      </w:r>
      <w:r>
        <w:rPr>
          <w:rFonts w:hint="default" w:ascii="Times New Roman" w:hAnsi="Times New Roman" w:eastAsia="仿宋_GB2312" w:cs="Times New Roman"/>
          <w:color w:val="auto"/>
          <w:sz w:val="32"/>
          <w:szCs w:val="32"/>
          <w:lang w:val="en-US" w:eastAsia="zh-CN"/>
        </w:rPr>
        <w:t>2、以下文字说明中，部分科目由于预算数为0，无法计算完成年初预算的百分比，故未描述“</w:t>
      </w:r>
      <w:r>
        <w:rPr>
          <w:rFonts w:hint="default" w:ascii="Times New Roman" w:hAnsi="Times New Roman" w:eastAsia="仿宋_GB2312" w:cs="Times New Roman"/>
          <w:color w:val="auto"/>
          <w:sz w:val="32"/>
          <w:szCs w:val="32"/>
        </w:rPr>
        <w:t>完成年初预算的XX%</w:t>
      </w:r>
      <w:r>
        <w:rPr>
          <w:rFonts w:hint="default" w:ascii="Times New Roman" w:hAnsi="Times New Roman" w:eastAsia="仿宋_GB2312" w:cs="Times New Roman"/>
          <w:color w:val="auto"/>
          <w:sz w:val="32"/>
          <w:szCs w:val="32"/>
          <w:lang w:val="en-US" w:eastAsia="zh-CN"/>
        </w:rPr>
        <w:t>”。</w:t>
      </w:r>
      <w:r>
        <w:rPr>
          <w:rFonts w:hint="default" w:ascii="Times New Roman" w:hAnsi="Times New Roman" w:eastAsia="仿宋_GB2312" w:cs="Times New Roman"/>
          <w:color w:val="auto"/>
          <w:sz w:val="32"/>
          <w:szCs w:val="32"/>
        </w:rPr>
        <w:t>）</w:t>
      </w:r>
    </w:p>
    <w:p w14:paraId="2411C081">
      <w:pPr>
        <w:pStyle w:val="13"/>
        <w:keepNext w:val="0"/>
        <w:keepLines w:val="0"/>
        <w:pageBreakBefore w:val="0"/>
        <w:widowControl w:val="0"/>
        <w:kinsoku/>
        <w:wordWrap/>
        <w:overflowPunct/>
        <w:topLinePunct w:val="0"/>
        <w:bidi w:val="0"/>
        <w:snapToGrid/>
        <w:spacing w:line="600" w:lineRule="exact"/>
        <w:ind w:left="0" w:leftChars="0" w:firstLine="640" w:firstLineChars="200"/>
        <w:jc w:val="both"/>
        <w:textAlignment w:val="auto"/>
        <w:rPr>
          <w:rFonts w:hint="eastAsia" w:ascii="黑体" w:hAnsi="黑体" w:eastAsia="黑体" w:cs="黑体"/>
          <w:b w:val="0"/>
          <w:bCs/>
          <w:color w:val="auto"/>
          <w:sz w:val="32"/>
          <w:szCs w:val="32"/>
        </w:rPr>
      </w:pPr>
      <w:r>
        <w:rPr>
          <w:rFonts w:hint="eastAsia" w:ascii="黑体" w:hAnsi="黑体" w:eastAsia="黑体" w:cs="黑体"/>
          <w:b w:val="0"/>
          <w:bCs/>
          <w:color w:val="auto"/>
          <w:sz w:val="32"/>
          <w:szCs w:val="32"/>
        </w:rPr>
        <w:t>一、收入支出决算总体情况说明</w:t>
      </w:r>
    </w:p>
    <w:p w14:paraId="5CDCBAD6">
      <w:pPr>
        <w:pStyle w:val="13"/>
        <w:keepNext w:val="0"/>
        <w:keepLines w:val="0"/>
        <w:pageBreakBefore w:val="0"/>
        <w:widowControl w:val="0"/>
        <w:kinsoku/>
        <w:wordWrap/>
        <w:overflowPunct/>
        <w:topLinePunct w:val="0"/>
        <w:bidi w:val="0"/>
        <w:snapToGrid/>
        <w:spacing w:line="600" w:lineRule="exact"/>
        <w:ind w:left="0" w:leftChars="0" w:firstLine="640" w:firstLineChars="200"/>
        <w:jc w:val="both"/>
        <w:textAlignment w:val="auto"/>
        <w:rPr>
          <w:rFonts w:hint="default" w:ascii="Times New Roman" w:hAnsi="Times New Roman" w:eastAsia="仿宋_GB2312" w:cs="Times New Roman"/>
          <w:color w:val="auto"/>
          <w:sz w:val="32"/>
          <w:szCs w:val="32"/>
          <w:lang w:val="en-US" w:eastAsia="zh-CN"/>
        </w:rPr>
      </w:pPr>
      <w:r>
        <w:rPr>
          <w:rFonts w:hint="default" w:ascii="Times New Roman" w:hAnsi="Times New Roman" w:eastAsia="仿宋_GB2312" w:cs="Times New Roman"/>
          <w:color w:val="auto"/>
          <w:sz w:val="32"/>
          <w:szCs w:val="32"/>
        </w:rPr>
        <w:t>202</w:t>
      </w:r>
      <w:r>
        <w:rPr>
          <w:rFonts w:hint="default" w:ascii="Times New Roman" w:hAnsi="Times New Roman" w:eastAsia="仿宋_GB2312" w:cs="Times New Roman"/>
          <w:color w:val="auto"/>
          <w:sz w:val="32"/>
          <w:szCs w:val="32"/>
          <w:lang w:val="en-US" w:eastAsia="zh-CN"/>
        </w:rPr>
        <w:t>4</w:t>
      </w:r>
      <w:r>
        <w:rPr>
          <w:rFonts w:hint="default" w:ascii="Times New Roman" w:hAnsi="Times New Roman" w:eastAsia="仿宋_GB2312" w:cs="Times New Roman"/>
          <w:color w:val="auto"/>
          <w:sz w:val="32"/>
          <w:szCs w:val="32"/>
        </w:rPr>
        <w:t>年度收、支总计</w:t>
      </w:r>
      <w:r>
        <w:rPr>
          <w:rFonts w:hint="default" w:ascii="Times New Roman" w:hAnsi="Times New Roman" w:eastAsia="仿宋_GB2312" w:cs="Times New Roman"/>
          <w:color w:val="auto"/>
          <w:sz w:val="32"/>
          <w:szCs w:val="32"/>
          <w:lang w:val="en-US" w:eastAsia="zh-CN"/>
        </w:rPr>
        <w:t>2096.96</w:t>
      </w:r>
      <w:r>
        <w:rPr>
          <w:rFonts w:hint="default" w:ascii="Times New Roman" w:hAnsi="Times New Roman" w:eastAsia="仿宋_GB2312" w:cs="Times New Roman"/>
          <w:color w:val="auto"/>
          <w:sz w:val="32"/>
          <w:szCs w:val="32"/>
        </w:rPr>
        <w:t>万元。与上年相比，减少</w:t>
      </w:r>
      <w:r>
        <w:rPr>
          <w:rFonts w:hint="default" w:ascii="Times New Roman" w:hAnsi="Times New Roman" w:eastAsia="仿宋_GB2312" w:cs="Times New Roman"/>
          <w:color w:val="auto"/>
          <w:sz w:val="32"/>
          <w:szCs w:val="32"/>
          <w:lang w:val="en-US" w:eastAsia="zh-CN"/>
        </w:rPr>
        <w:t>227.35</w:t>
      </w:r>
      <w:r>
        <w:rPr>
          <w:rFonts w:hint="default" w:ascii="Times New Roman" w:hAnsi="Times New Roman" w:eastAsia="仿宋_GB2312" w:cs="Times New Roman"/>
          <w:color w:val="auto"/>
          <w:sz w:val="32"/>
          <w:szCs w:val="32"/>
        </w:rPr>
        <w:t>万元，减少</w:t>
      </w:r>
      <w:r>
        <w:rPr>
          <w:rFonts w:hint="default" w:ascii="Times New Roman" w:hAnsi="Times New Roman" w:eastAsia="仿宋_GB2312" w:cs="Times New Roman"/>
          <w:color w:val="auto"/>
          <w:sz w:val="32"/>
          <w:szCs w:val="32"/>
          <w:lang w:val="en-US" w:eastAsia="zh-CN"/>
        </w:rPr>
        <w:t>9.78</w:t>
      </w:r>
      <w:r>
        <w:rPr>
          <w:rFonts w:hint="default" w:ascii="Times New Roman" w:hAnsi="Times New Roman" w:eastAsia="仿宋_GB2312" w:cs="Times New Roman"/>
          <w:color w:val="auto"/>
          <w:sz w:val="32"/>
          <w:szCs w:val="32"/>
        </w:rPr>
        <w:t>%，主要是因为</w:t>
      </w:r>
      <w:r>
        <w:rPr>
          <w:rFonts w:hint="default" w:ascii="Times New Roman" w:hAnsi="Times New Roman" w:eastAsia="仿宋_GB2312" w:cs="Times New Roman"/>
          <w:color w:val="auto"/>
          <w:sz w:val="32"/>
          <w:szCs w:val="32"/>
          <w:lang w:eastAsia="zh-CN"/>
        </w:rPr>
        <w:t>本年度按有关政策厉行节约，严控支出。</w:t>
      </w:r>
    </w:p>
    <w:p w14:paraId="07DA9E3F">
      <w:pPr>
        <w:pStyle w:val="13"/>
        <w:keepNext w:val="0"/>
        <w:keepLines w:val="0"/>
        <w:pageBreakBefore w:val="0"/>
        <w:widowControl w:val="0"/>
        <w:kinsoku/>
        <w:wordWrap/>
        <w:overflowPunct/>
        <w:topLinePunct w:val="0"/>
        <w:bidi w:val="0"/>
        <w:snapToGrid/>
        <w:spacing w:line="600" w:lineRule="exact"/>
        <w:ind w:left="0" w:leftChars="0" w:firstLine="640" w:firstLineChars="200"/>
        <w:jc w:val="both"/>
        <w:textAlignment w:val="auto"/>
        <w:rPr>
          <w:rFonts w:hint="default" w:ascii="黑体" w:hAnsi="黑体" w:eastAsia="黑体" w:cs="黑体"/>
          <w:b w:val="0"/>
          <w:bCs/>
          <w:color w:val="auto"/>
          <w:sz w:val="32"/>
          <w:szCs w:val="32"/>
        </w:rPr>
      </w:pPr>
      <w:r>
        <w:rPr>
          <w:rFonts w:hint="default" w:ascii="黑体" w:hAnsi="黑体" w:eastAsia="黑体" w:cs="黑体"/>
          <w:b w:val="0"/>
          <w:bCs/>
          <w:color w:val="auto"/>
          <w:sz w:val="32"/>
          <w:szCs w:val="32"/>
        </w:rPr>
        <w:t>二、收入决算情况说明</w:t>
      </w:r>
    </w:p>
    <w:p w14:paraId="2A53B2AD">
      <w:pPr>
        <w:pStyle w:val="13"/>
        <w:keepNext w:val="0"/>
        <w:keepLines w:val="0"/>
        <w:pageBreakBefore w:val="0"/>
        <w:widowControl w:val="0"/>
        <w:kinsoku/>
        <w:wordWrap/>
        <w:overflowPunct/>
        <w:topLinePunct w:val="0"/>
        <w:bidi w:val="0"/>
        <w:snapToGrid/>
        <w:spacing w:line="600" w:lineRule="exact"/>
        <w:ind w:left="0" w:leftChars="0" w:firstLine="640" w:firstLineChars="200"/>
        <w:jc w:val="both"/>
        <w:textAlignment w:val="auto"/>
        <w:rPr>
          <w:rFonts w:hint="default" w:ascii="Times New Roman" w:hAnsi="Times New Roman" w:eastAsia="仿宋_GB2312" w:cs="Times New Roman"/>
          <w:color w:val="auto"/>
          <w:sz w:val="32"/>
          <w:szCs w:val="32"/>
        </w:rPr>
      </w:pPr>
      <w:r>
        <w:rPr>
          <w:rFonts w:hint="default" w:ascii="Times New Roman" w:hAnsi="Times New Roman" w:eastAsia="仿宋_GB2312" w:cs="Times New Roman"/>
          <w:color w:val="auto"/>
          <w:sz w:val="32"/>
          <w:szCs w:val="32"/>
        </w:rPr>
        <w:t>202</w:t>
      </w:r>
      <w:r>
        <w:rPr>
          <w:rFonts w:hint="default" w:ascii="Times New Roman" w:hAnsi="Times New Roman" w:eastAsia="仿宋_GB2312" w:cs="Times New Roman"/>
          <w:color w:val="auto"/>
          <w:sz w:val="32"/>
          <w:szCs w:val="32"/>
          <w:lang w:val="en-US" w:eastAsia="zh-CN"/>
        </w:rPr>
        <w:t>4</w:t>
      </w:r>
      <w:r>
        <w:rPr>
          <w:rFonts w:hint="default" w:ascii="Times New Roman" w:hAnsi="Times New Roman" w:eastAsia="仿宋_GB2312" w:cs="Times New Roman"/>
          <w:color w:val="auto"/>
          <w:sz w:val="32"/>
          <w:szCs w:val="32"/>
        </w:rPr>
        <w:t>年度收入合计</w:t>
      </w:r>
      <w:r>
        <w:rPr>
          <w:rFonts w:hint="default" w:ascii="Times New Roman" w:hAnsi="Times New Roman" w:eastAsia="仿宋_GB2312" w:cs="Times New Roman"/>
          <w:color w:val="auto"/>
          <w:sz w:val="32"/>
          <w:szCs w:val="32"/>
          <w:lang w:val="en-US" w:eastAsia="zh-CN"/>
        </w:rPr>
        <w:t>1989.43</w:t>
      </w:r>
      <w:r>
        <w:rPr>
          <w:rFonts w:hint="default" w:ascii="Times New Roman" w:hAnsi="Times New Roman" w:eastAsia="仿宋_GB2312" w:cs="Times New Roman"/>
          <w:color w:val="auto"/>
          <w:sz w:val="32"/>
          <w:szCs w:val="32"/>
        </w:rPr>
        <w:t>万元，其中：财政拨款收入</w:t>
      </w:r>
      <w:r>
        <w:rPr>
          <w:rFonts w:hint="default" w:ascii="Times New Roman" w:hAnsi="Times New Roman" w:eastAsia="仿宋_GB2312" w:cs="Times New Roman"/>
          <w:color w:val="auto"/>
          <w:sz w:val="32"/>
          <w:szCs w:val="32"/>
          <w:lang w:val="en-US" w:eastAsia="zh-CN"/>
        </w:rPr>
        <w:t>1983.05</w:t>
      </w:r>
      <w:r>
        <w:rPr>
          <w:rFonts w:hint="default" w:ascii="Times New Roman" w:hAnsi="Times New Roman" w:eastAsia="仿宋_GB2312" w:cs="Times New Roman"/>
          <w:color w:val="auto"/>
          <w:sz w:val="32"/>
          <w:szCs w:val="32"/>
        </w:rPr>
        <w:t>元，占</w:t>
      </w:r>
      <w:r>
        <w:rPr>
          <w:rFonts w:hint="default" w:ascii="Times New Roman" w:hAnsi="Times New Roman" w:eastAsia="仿宋_GB2312" w:cs="Times New Roman"/>
          <w:color w:val="auto"/>
          <w:sz w:val="32"/>
          <w:szCs w:val="32"/>
          <w:lang w:val="en-US" w:eastAsia="zh-CN"/>
        </w:rPr>
        <w:t>99.68</w:t>
      </w:r>
      <w:r>
        <w:rPr>
          <w:rFonts w:hint="default" w:ascii="Times New Roman" w:hAnsi="Times New Roman" w:eastAsia="仿宋_GB2312" w:cs="Times New Roman"/>
          <w:color w:val="auto"/>
          <w:sz w:val="32"/>
          <w:szCs w:val="32"/>
        </w:rPr>
        <w:t>%；上级补助收入</w:t>
      </w:r>
      <w:r>
        <w:rPr>
          <w:rFonts w:hint="default" w:ascii="Times New Roman" w:hAnsi="Times New Roman" w:eastAsia="仿宋_GB2312" w:cs="Times New Roman"/>
          <w:color w:val="auto"/>
          <w:sz w:val="32"/>
          <w:szCs w:val="32"/>
          <w:lang w:val="en-US" w:eastAsia="zh-CN"/>
        </w:rPr>
        <w:t>0</w:t>
      </w:r>
      <w:r>
        <w:rPr>
          <w:rFonts w:hint="default" w:ascii="Times New Roman" w:hAnsi="Times New Roman" w:eastAsia="仿宋_GB2312" w:cs="Times New Roman"/>
          <w:color w:val="auto"/>
          <w:sz w:val="32"/>
          <w:szCs w:val="32"/>
        </w:rPr>
        <w:t>万元，占</w:t>
      </w:r>
      <w:r>
        <w:rPr>
          <w:rFonts w:hint="default" w:ascii="Times New Roman" w:hAnsi="Times New Roman" w:eastAsia="仿宋_GB2312" w:cs="Times New Roman"/>
          <w:color w:val="auto"/>
          <w:sz w:val="32"/>
          <w:szCs w:val="32"/>
          <w:lang w:val="en-US" w:eastAsia="zh-CN"/>
        </w:rPr>
        <w:t>0</w:t>
      </w:r>
      <w:r>
        <w:rPr>
          <w:rFonts w:hint="default" w:ascii="Times New Roman" w:hAnsi="Times New Roman" w:eastAsia="仿宋_GB2312" w:cs="Times New Roman"/>
          <w:color w:val="auto"/>
          <w:sz w:val="32"/>
          <w:szCs w:val="32"/>
        </w:rPr>
        <w:t>%；事业收入</w:t>
      </w:r>
      <w:r>
        <w:rPr>
          <w:rFonts w:hint="default" w:ascii="Times New Roman" w:hAnsi="Times New Roman" w:eastAsia="仿宋_GB2312" w:cs="Times New Roman"/>
          <w:color w:val="auto"/>
          <w:sz w:val="32"/>
          <w:szCs w:val="32"/>
          <w:lang w:val="en-US" w:eastAsia="zh-CN"/>
        </w:rPr>
        <w:t>0</w:t>
      </w:r>
      <w:r>
        <w:rPr>
          <w:rFonts w:hint="default" w:ascii="Times New Roman" w:hAnsi="Times New Roman" w:eastAsia="仿宋_GB2312" w:cs="Times New Roman"/>
          <w:color w:val="auto"/>
          <w:sz w:val="32"/>
          <w:szCs w:val="32"/>
        </w:rPr>
        <w:t>万元，占</w:t>
      </w:r>
      <w:r>
        <w:rPr>
          <w:rFonts w:hint="default" w:ascii="Times New Roman" w:hAnsi="Times New Roman" w:eastAsia="仿宋_GB2312" w:cs="Times New Roman"/>
          <w:color w:val="auto"/>
          <w:sz w:val="32"/>
          <w:szCs w:val="32"/>
          <w:lang w:val="en-US" w:eastAsia="zh-CN"/>
        </w:rPr>
        <w:t>0</w:t>
      </w:r>
      <w:r>
        <w:rPr>
          <w:rFonts w:hint="default" w:ascii="Times New Roman" w:hAnsi="Times New Roman" w:eastAsia="仿宋_GB2312" w:cs="Times New Roman"/>
          <w:color w:val="auto"/>
          <w:sz w:val="32"/>
          <w:szCs w:val="32"/>
        </w:rPr>
        <w:t>%；经营收入</w:t>
      </w:r>
      <w:r>
        <w:rPr>
          <w:rFonts w:hint="default" w:ascii="Times New Roman" w:hAnsi="Times New Roman" w:eastAsia="仿宋_GB2312" w:cs="Times New Roman"/>
          <w:color w:val="auto"/>
          <w:sz w:val="32"/>
          <w:szCs w:val="32"/>
          <w:lang w:val="en-US" w:eastAsia="zh-CN"/>
        </w:rPr>
        <w:t>0</w:t>
      </w:r>
      <w:r>
        <w:rPr>
          <w:rFonts w:hint="default" w:ascii="Times New Roman" w:hAnsi="Times New Roman" w:eastAsia="仿宋_GB2312" w:cs="Times New Roman"/>
          <w:color w:val="auto"/>
          <w:sz w:val="32"/>
          <w:szCs w:val="32"/>
        </w:rPr>
        <w:t>万元，占</w:t>
      </w:r>
      <w:r>
        <w:rPr>
          <w:rFonts w:hint="default" w:ascii="Times New Roman" w:hAnsi="Times New Roman" w:eastAsia="仿宋_GB2312" w:cs="Times New Roman"/>
          <w:color w:val="auto"/>
          <w:sz w:val="32"/>
          <w:szCs w:val="32"/>
          <w:lang w:val="en-US" w:eastAsia="zh-CN"/>
        </w:rPr>
        <w:t>0</w:t>
      </w:r>
      <w:r>
        <w:rPr>
          <w:rFonts w:hint="default" w:ascii="Times New Roman" w:hAnsi="Times New Roman" w:eastAsia="仿宋_GB2312" w:cs="Times New Roman"/>
          <w:color w:val="auto"/>
          <w:sz w:val="32"/>
          <w:szCs w:val="32"/>
        </w:rPr>
        <w:t>%；附属单位上缴收入</w:t>
      </w:r>
      <w:r>
        <w:rPr>
          <w:rFonts w:hint="default" w:ascii="Times New Roman" w:hAnsi="Times New Roman" w:eastAsia="仿宋_GB2312" w:cs="Times New Roman"/>
          <w:color w:val="auto"/>
          <w:sz w:val="32"/>
          <w:szCs w:val="32"/>
          <w:lang w:val="en-US" w:eastAsia="zh-CN"/>
        </w:rPr>
        <w:t>0</w:t>
      </w:r>
      <w:r>
        <w:rPr>
          <w:rFonts w:hint="default" w:ascii="Times New Roman" w:hAnsi="Times New Roman" w:eastAsia="仿宋_GB2312" w:cs="Times New Roman"/>
          <w:color w:val="auto"/>
          <w:sz w:val="32"/>
          <w:szCs w:val="32"/>
        </w:rPr>
        <w:t>万元，占</w:t>
      </w:r>
      <w:r>
        <w:rPr>
          <w:rFonts w:hint="default" w:ascii="Times New Roman" w:hAnsi="Times New Roman" w:eastAsia="仿宋_GB2312" w:cs="Times New Roman"/>
          <w:color w:val="auto"/>
          <w:sz w:val="32"/>
          <w:szCs w:val="32"/>
          <w:lang w:val="en-US" w:eastAsia="zh-CN"/>
        </w:rPr>
        <w:t>0</w:t>
      </w:r>
      <w:r>
        <w:rPr>
          <w:rFonts w:hint="default" w:ascii="Times New Roman" w:hAnsi="Times New Roman" w:eastAsia="仿宋_GB2312" w:cs="Times New Roman"/>
          <w:color w:val="auto"/>
          <w:sz w:val="32"/>
          <w:szCs w:val="32"/>
        </w:rPr>
        <w:t>%；其他收入</w:t>
      </w:r>
      <w:r>
        <w:rPr>
          <w:rFonts w:hint="default" w:ascii="Times New Roman" w:hAnsi="Times New Roman" w:eastAsia="仿宋_GB2312" w:cs="Times New Roman"/>
          <w:color w:val="auto"/>
          <w:sz w:val="32"/>
          <w:szCs w:val="32"/>
          <w:lang w:val="en-US" w:eastAsia="zh-CN"/>
        </w:rPr>
        <w:t>6.38</w:t>
      </w:r>
      <w:r>
        <w:rPr>
          <w:rFonts w:hint="default" w:ascii="Times New Roman" w:hAnsi="Times New Roman" w:eastAsia="仿宋_GB2312" w:cs="Times New Roman"/>
          <w:color w:val="auto"/>
          <w:sz w:val="32"/>
          <w:szCs w:val="32"/>
        </w:rPr>
        <w:t>万元，占</w:t>
      </w:r>
      <w:r>
        <w:rPr>
          <w:rFonts w:hint="default" w:ascii="Times New Roman" w:hAnsi="Times New Roman" w:eastAsia="仿宋_GB2312" w:cs="Times New Roman"/>
          <w:color w:val="auto"/>
          <w:sz w:val="32"/>
          <w:szCs w:val="32"/>
          <w:lang w:val="en-US" w:eastAsia="zh-CN"/>
        </w:rPr>
        <w:t>0.32</w:t>
      </w:r>
      <w:r>
        <w:rPr>
          <w:rFonts w:hint="default" w:ascii="Times New Roman" w:hAnsi="Times New Roman" w:eastAsia="仿宋_GB2312" w:cs="Times New Roman"/>
          <w:color w:val="auto"/>
          <w:sz w:val="32"/>
          <w:szCs w:val="32"/>
        </w:rPr>
        <w:t>%。</w:t>
      </w:r>
    </w:p>
    <w:p w14:paraId="2D1A2B4D">
      <w:pPr>
        <w:pStyle w:val="13"/>
        <w:keepNext w:val="0"/>
        <w:keepLines w:val="0"/>
        <w:pageBreakBefore w:val="0"/>
        <w:widowControl w:val="0"/>
        <w:kinsoku/>
        <w:wordWrap/>
        <w:overflowPunct/>
        <w:topLinePunct w:val="0"/>
        <w:bidi w:val="0"/>
        <w:snapToGrid/>
        <w:spacing w:line="600" w:lineRule="exact"/>
        <w:ind w:left="0" w:leftChars="0" w:firstLine="640" w:firstLineChars="200"/>
        <w:jc w:val="both"/>
        <w:textAlignment w:val="auto"/>
        <w:rPr>
          <w:rFonts w:hint="default" w:ascii="黑体" w:hAnsi="黑体" w:eastAsia="黑体" w:cs="黑体"/>
          <w:b w:val="0"/>
          <w:bCs/>
          <w:color w:val="auto"/>
          <w:sz w:val="32"/>
          <w:szCs w:val="32"/>
        </w:rPr>
      </w:pPr>
      <w:r>
        <w:rPr>
          <w:rFonts w:hint="default" w:ascii="黑体" w:hAnsi="黑体" w:eastAsia="黑体" w:cs="黑体"/>
          <w:b w:val="0"/>
          <w:bCs/>
          <w:color w:val="auto"/>
          <w:sz w:val="32"/>
          <w:szCs w:val="32"/>
        </w:rPr>
        <w:t>三、支出决算情况说明</w:t>
      </w:r>
    </w:p>
    <w:p w14:paraId="28222937">
      <w:pPr>
        <w:pStyle w:val="13"/>
        <w:keepNext w:val="0"/>
        <w:keepLines w:val="0"/>
        <w:pageBreakBefore w:val="0"/>
        <w:widowControl w:val="0"/>
        <w:kinsoku/>
        <w:wordWrap/>
        <w:overflowPunct/>
        <w:topLinePunct w:val="0"/>
        <w:bidi w:val="0"/>
        <w:snapToGrid/>
        <w:spacing w:line="600" w:lineRule="exact"/>
        <w:ind w:left="0" w:leftChars="0" w:firstLine="640" w:firstLineChars="200"/>
        <w:jc w:val="both"/>
        <w:textAlignment w:val="auto"/>
        <w:rPr>
          <w:rFonts w:hint="default" w:ascii="Times New Roman" w:hAnsi="Times New Roman" w:eastAsia="仿宋_GB2312" w:cs="Times New Roman"/>
          <w:color w:val="auto"/>
          <w:sz w:val="32"/>
          <w:szCs w:val="32"/>
        </w:rPr>
      </w:pPr>
      <w:r>
        <w:rPr>
          <w:rFonts w:hint="default" w:ascii="Times New Roman" w:hAnsi="Times New Roman" w:eastAsia="仿宋_GB2312" w:cs="Times New Roman"/>
          <w:color w:val="auto"/>
          <w:sz w:val="32"/>
          <w:szCs w:val="32"/>
        </w:rPr>
        <w:t>202</w:t>
      </w:r>
      <w:r>
        <w:rPr>
          <w:rFonts w:hint="default" w:ascii="Times New Roman" w:hAnsi="Times New Roman" w:eastAsia="仿宋_GB2312" w:cs="Times New Roman"/>
          <w:color w:val="auto"/>
          <w:sz w:val="32"/>
          <w:szCs w:val="32"/>
          <w:lang w:val="en-US" w:eastAsia="zh-CN"/>
        </w:rPr>
        <w:t>4</w:t>
      </w:r>
      <w:r>
        <w:rPr>
          <w:rFonts w:hint="default" w:ascii="Times New Roman" w:hAnsi="Times New Roman" w:eastAsia="仿宋_GB2312" w:cs="Times New Roman"/>
          <w:color w:val="auto"/>
          <w:sz w:val="32"/>
          <w:szCs w:val="32"/>
        </w:rPr>
        <w:t>年度支出合计</w:t>
      </w:r>
      <w:r>
        <w:rPr>
          <w:rFonts w:hint="default" w:ascii="Times New Roman" w:hAnsi="Times New Roman" w:eastAsia="仿宋_GB2312" w:cs="Times New Roman"/>
          <w:color w:val="auto"/>
          <w:sz w:val="32"/>
          <w:szCs w:val="32"/>
          <w:lang w:val="en-US" w:eastAsia="zh-CN"/>
        </w:rPr>
        <w:t>2096.96</w:t>
      </w:r>
      <w:r>
        <w:rPr>
          <w:rFonts w:hint="default" w:ascii="Times New Roman" w:hAnsi="Times New Roman" w:eastAsia="仿宋_GB2312" w:cs="Times New Roman"/>
          <w:color w:val="auto"/>
          <w:sz w:val="32"/>
          <w:szCs w:val="32"/>
        </w:rPr>
        <w:t>万元，其中：基本支出</w:t>
      </w:r>
      <w:r>
        <w:rPr>
          <w:rFonts w:hint="default" w:ascii="Times New Roman" w:hAnsi="Times New Roman" w:eastAsia="仿宋_GB2312" w:cs="Times New Roman"/>
          <w:color w:val="auto"/>
          <w:sz w:val="32"/>
          <w:szCs w:val="32"/>
          <w:lang w:val="en-US" w:eastAsia="zh-CN"/>
        </w:rPr>
        <w:t>2060.04</w:t>
      </w:r>
      <w:r>
        <w:rPr>
          <w:rFonts w:hint="default" w:ascii="Times New Roman" w:hAnsi="Times New Roman" w:eastAsia="仿宋_GB2312" w:cs="Times New Roman"/>
          <w:color w:val="auto"/>
          <w:sz w:val="32"/>
          <w:szCs w:val="32"/>
        </w:rPr>
        <w:t>万元，占</w:t>
      </w:r>
      <w:r>
        <w:rPr>
          <w:rFonts w:hint="default" w:ascii="Times New Roman" w:hAnsi="Times New Roman" w:eastAsia="仿宋_GB2312" w:cs="Times New Roman"/>
          <w:color w:val="auto"/>
          <w:sz w:val="32"/>
          <w:szCs w:val="32"/>
          <w:lang w:val="en-US" w:eastAsia="zh-CN"/>
        </w:rPr>
        <w:t>98.24</w:t>
      </w:r>
      <w:r>
        <w:rPr>
          <w:rFonts w:hint="default" w:ascii="Times New Roman" w:hAnsi="Times New Roman" w:eastAsia="仿宋_GB2312" w:cs="Times New Roman"/>
          <w:color w:val="auto"/>
          <w:sz w:val="32"/>
          <w:szCs w:val="32"/>
        </w:rPr>
        <w:t>%；项目支出</w:t>
      </w:r>
      <w:r>
        <w:rPr>
          <w:rFonts w:hint="default" w:ascii="Times New Roman" w:hAnsi="Times New Roman" w:eastAsia="仿宋_GB2312" w:cs="Times New Roman"/>
          <w:color w:val="auto"/>
          <w:sz w:val="32"/>
          <w:szCs w:val="32"/>
          <w:lang w:val="en-US" w:eastAsia="zh-CN"/>
        </w:rPr>
        <w:t>36.92</w:t>
      </w:r>
      <w:r>
        <w:rPr>
          <w:rFonts w:hint="default" w:ascii="Times New Roman" w:hAnsi="Times New Roman" w:eastAsia="仿宋_GB2312" w:cs="Times New Roman"/>
          <w:color w:val="auto"/>
          <w:sz w:val="32"/>
          <w:szCs w:val="32"/>
        </w:rPr>
        <w:t>万元，占</w:t>
      </w:r>
      <w:r>
        <w:rPr>
          <w:rFonts w:hint="default" w:ascii="Times New Roman" w:hAnsi="Times New Roman" w:eastAsia="仿宋_GB2312" w:cs="Times New Roman"/>
          <w:color w:val="auto"/>
          <w:sz w:val="32"/>
          <w:szCs w:val="32"/>
          <w:lang w:val="en-US" w:eastAsia="zh-CN"/>
        </w:rPr>
        <w:t>1.76</w:t>
      </w:r>
      <w:r>
        <w:rPr>
          <w:rFonts w:hint="default" w:ascii="Times New Roman" w:hAnsi="Times New Roman" w:eastAsia="仿宋_GB2312" w:cs="Times New Roman"/>
          <w:color w:val="auto"/>
          <w:sz w:val="32"/>
          <w:szCs w:val="32"/>
        </w:rPr>
        <w:t>%；上缴上级支出</w:t>
      </w:r>
      <w:r>
        <w:rPr>
          <w:rFonts w:hint="default" w:ascii="Times New Roman" w:hAnsi="Times New Roman" w:eastAsia="仿宋_GB2312" w:cs="Times New Roman"/>
          <w:color w:val="auto"/>
          <w:sz w:val="32"/>
          <w:szCs w:val="32"/>
          <w:lang w:val="en-US" w:eastAsia="zh-CN"/>
        </w:rPr>
        <w:t>0</w:t>
      </w:r>
      <w:r>
        <w:rPr>
          <w:rFonts w:hint="default" w:ascii="Times New Roman" w:hAnsi="Times New Roman" w:eastAsia="仿宋_GB2312" w:cs="Times New Roman"/>
          <w:color w:val="auto"/>
          <w:sz w:val="32"/>
          <w:szCs w:val="32"/>
        </w:rPr>
        <w:t>万元，占</w:t>
      </w:r>
      <w:r>
        <w:rPr>
          <w:rFonts w:hint="default" w:ascii="Times New Roman" w:hAnsi="Times New Roman" w:eastAsia="仿宋_GB2312" w:cs="Times New Roman"/>
          <w:color w:val="auto"/>
          <w:sz w:val="32"/>
          <w:szCs w:val="32"/>
          <w:lang w:val="en-US" w:eastAsia="zh-CN"/>
        </w:rPr>
        <w:t>0</w:t>
      </w:r>
      <w:r>
        <w:rPr>
          <w:rFonts w:hint="default" w:ascii="Times New Roman" w:hAnsi="Times New Roman" w:eastAsia="仿宋_GB2312" w:cs="Times New Roman"/>
          <w:color w:val="auto"/>
          <w:sz w:val="32"/>
          <w:szCs w:val="32"/>
        </w:rPr>
        <w:t>%；经营支出</w:t>
      </w:r>
      <w:r>
        <w:rPr>
          <w:rFonts w:hint="default" w:ascii="Times New Roman" w:hAnsi="Times New Roman" w:eastAsia="仿宋_GB2312" w:cs="Times New Roman"/>
          <w:color w:val="auto"/>
          <w:sz w:val="32"/>
          <w:szCs w:val="32"/>
          <w:lang w:val="en-US" w:eastAsia="zh-CN"/>
        </w:rPr>
        <w:t>0</w:t>
      </w:r>
      <w:r>
        <w:rPr>
          <w:rFonts w:hint="default" w:ascii="Times New Roman" w:hAnsi="Times New Roman" w:eastAsia="仿宋_GB2312" w:cs="Times New Roman"/>
          <w:color w:val="auto"/>
          <w:sz w:val="32"/>
          <w:szCs w:val="32"/>
        </w:rPr>
        <w:t>万元，占</w:t>
      </w:r>
      <w:r>
        <w:rPr>
          <w:rFonts w:hint="default" w:ascii="Times New Roman" w:hAnsi="Times New Roman" w:eastAsia="仿宋_GB2312" w:cs="Times New Roman"/>
          <w:color w:val="auto"/>
          <w:sz w:val="32"/>
          <w:szCs w:val="32"/>
          <w:lang w:val="en-US" w:eastAsia="zh-CN"/>
        </w:rPr>
        <w:t>0</w:t>
      </w:r>
      <w:r>
        <w:rPr>
          <w:rFonts w:hint="default" w:ascii="Times New Roman" w:hAnsi="Times New Roman" w:eastAsia="仿宋_GB2312" w:cs="Times New Roman"/>
          <w:color w:val="auto"/>
          <w:sz w:val="32"/>
          <w:szCs w:val="32"/>
        </w:rPr>
        <w:t>%；对附属单位补助支出</w:t>
      </w:r>
      <w:r>
        <w:rPr>
          <w:rFonts w:hint="default" w:ascii="Times New Roman" w:hAnsi="Times New Roman" w:eastAsia="仿宋_GB2312" w:cs="Times New Roman"/>
          <w:color w:val="auto"/>
          <w:sz w:val="32"/>
          <w:szCs w:val="32"/>
          <w:lang w:val="en-US" w:eastAsia="zh-CN"/>
        </w:rPr>
        <w:t>0</w:t>
      </w:r>
      <w:r>
        <w:rPr>
          <w:rFonts w:hint="default" w:ascii="Times New Roman" w:hAnsi="Times New Roman" w:eastAsia="仿宋_GB2312" w:cs="Times New Roman"/>
          <w:color w:val="auto"/>
          <w:sz w:val="32"/>
          <w:szCs w:val="32"/>
        </w:rPr>
        <w:t>万元，占</w:t>
      </w:r>
      <w:r>
        <w:rPr>
          <w:rFonts w:hint="default" w:ascii="Times New Roman" w:hAnsi="Times New Roman" w:eastAsia="仿宋_GB2312" w:cs="Times New Roman"/>
          <w:color w:val="auto"/>
          <w:sz w:val="32"/>
          <w:szCs w:val="32"/>
          <w:lang w:val="en-US" w:eastAsia="zh-CN"/>
        </w:rPr>
        <w:t>0</w:t>
      </w:r>
      <w:r>
        <w:rPr>
          <w:rFonts w:hint="default" w:ascii="Times New Roman" w:hAnsi="Times New Roman" w:eastAsia="仿宋_GB2312" w:cs="Times New Roman"/>
          <w:color w:val="auto"/>
          <w:sz w:val="32"/>
          <w:szCs w:val="32"/>
        </w:rPr>
        <w:t>%。</w:t>
      </w:r>
    </w:p>
    <w:p w14:paraId="69857526">
      <w:pPr>
        <w:pStyle w:val="13"/>
        <w:keepNext w:val="0"/>
        <w:keepLines w:val="0"/>
        <w:pageBreakBefore w:val="0"/>
        <w:widowControl w:val="0"/>
        <w:kinsoku/>
        <w:wordWrap/>
        <w:overflowPunct/>
        <w:topLinePunct w:val="0"/>
        <w:bidi w:val="0"/>
        <w:snapToGrid/>
        <w:spacing w:line="600" w:lineRule="exact"/>
        <w:ind w:left="0" w:leftChars="0" w:firstLine="640" w:firstLineChars="200"/>
        <w:jc w:val="both"/>
        <w:textAlignment w:val="auto"/>
        <w:rPr>
          <w:rFonts w:hint="default" w:ascii="黑体" w:hAnsi="黑体" w:eastAsia="黑体" w:cs="黑体"/>
          <w:b w:val="0"/>
          <w:bCs/>
          <w:color w:val="auto"/>
          <w:sz w:val="32"/>
          <w:szCs w:val="32"/>
        </w:rPr>
      </w:pPr>
      <w:r>
        <w:rPr>
          <w:rFonts w:hint="default" w:ascii="黑体" w:hAnsi="黑体" w:eastAsia="黑体" w:cs="黑体"/>
          <w:b w:val="0"/>
          <w:bCs/>
          <w:color w:val="auto"/>
          <w:sz w:val="32"/>
          <w:szCs w:val="32"/>
        </w:rPr>
        <w:t>四、财政拨款收入支出决算总体情况说明</w:t>
      </w:r>
    </w:p>
    <w:p w14:paraId="3C142FD0">
      <w:pPr>
        <w:pStyle w:val="13"/>
        <w:keepNext w:val="0"/>
        <w:keepLines w:val="0"/>
        <w:pageBreakBefore w:val="0"/>
        <w:widowControl w:val="0"/>
        <w:kinsoku/>
        <w:wordWrap/>
        <w:overflowPunct/>
        <w:topLinePunct w:val="0"/>
        <w:bidi w:val="0"/>
        <w:snapToGrid/>
        <w:spacing w:line="600" w:lineRule="exact"/>
        <w:ind w:left="0" w:leftChars="0" w:firstLine="640" w:firstLineChars="200"/>
        <w:jc w:val="both"/>
        <w:textAlignment w:val="auto"/>
        <w:rPr>
          <w:rFonts w:hint="default" w:ascii="Times New Roman" w:hAnsi="Times New Roman" w:eastAsia="仿宋_GB2312" w:cs="Times New Roman"/>
          <w:color w:val="auto"/>
          <w:sz w:val="32"/>
          <w:szCs w:val="32"/>
          <w:lang w:val="en-US" w:eastAsia="zh-CN"/>
        </w:rPr>
      </w:pPr>
      <w:r>
        <w:rPr>
          <w:rFonts w:hint="default" w:ascii="Times New Roman" w:hAnsi="Times New Roman" w:eastAsia="仿宋_GB2312" w:cs="Times New Roman"/>
          <w:color w:val="auto"/>
          <w:sz w:val="32"/>
          <w:szCs w:val="32"/>
        </w:rPr>
        <w:t>202</w:t>
      </w:r>
      <w:r>
        <w:rPr>
          <w:rFonts w:hint="default" w:ascii="Times New Roman" w:hAnsi="Times New Roman" w:eastAsia="仿宋_GB2312" w:cs="Times New Roman"/>
          <w:color w:val="auto"/>
          <w:sz w:val="32"/>
          <w:szCs w:val="32"/>
          <w:lang w:val="en-US" w:eastAsia="zh-CN"/>
        </w:rPr>
        <w:t>4</w:t>
      </w:r>
      <w:r>
        <w:rPr>
          <w:rFonts w:hint="default" w:ascii="Times New Roman" w:hAnsi="Times New Roman" w:eastAsia="仿宋_GB2312" w:cs="Times New Roman"/>
          <w:color w:val="auto"/>
          <w:sz w:val="32"/>
          <w:szCs w:val="32"/>
        </w:rPr>
        <w:t>年度财政拨款收、支总计</w:t>
      </w:r>
      <w:r>
        <w:rPr>
          <w:rFonts w:hint="default" w:ascii="Times New Roman" w:hAnsi="Times New Roman" w:eastAsia="仿宋_GB2312" w:cs="Times New Roman"/>
          <w:color w:val="auto"/>
          <w:sz w:val="32"/>
          <w:szCs w:val="32"/>
          <w:lang w:val="en-US" w:eastAsia="zh-CN"/>
        </w:rPr>
        <w:t>1983.05</w:t>
      </w:r>
      <w:r>
        <w:rPr>
          <w:rFonts w:hint="default" w:ascii="Times New Roman" w:hAnsi="Times New Roman" w:eastAsia="仿宋_GB2312" w:cs="Times New Roman"/>
          <w:color w:val="auto"/>
          <w:sz w:val="32"/>
          <w:szCs w:val="32"/>
        </w:rPr>
        <w:t>万元，与上年相比，减少</w:t>
      </w:r>
      <w:r>
        <w:rPr>
          <w:rFonts w:hint="default" w:ascii="Times New Roman" w:hAnsi="Times New Roman" w:eastAsia="仿宋_GB2312" w:cs="Times New Roman"/>
          <w:color w:val="auto"/>
          <w:sz w:val="32"/>
          <w:szCs w:val="32"/>
          <w:lang w:val="en-US" w:eastAsia="zh-CN"/>
        </w:rPr>
        <w:t>149.79</w:t>
      </w:r>
      <w:r>
        <w:rPr>
          <w:rFonts w:hint="default" w:ascii="Times New Roman" w:hAnsi="Times New Roman" w:eastAsia="仿宋_GB2312" w:cs="Times New Roman"/>
          <w:color w:val="auto"/>
          <w:sz w:val="32"/>
          <w:szCs w:val="32"/>
        </w:rPr>
        <w:t>万元,减少</w:t>
      </w:r>
      <w:r>
        <w:rPr>
          <w:rFonts w:hint="default" w:ascii="Times New Roman" w:hAnsi="Times New Roman" w:eastAsia="仿宋_GB2312" w:cs="Times New Roman"/>
          <w:color w:val="auto"/>
          <w:sz w:val="32"/>
          <w:szCs w:val="32"/>
          <w:lang w:val="en-US" w:eastAsia="zh-CN"/>
        </w:rPr>
        <w:t>7.02</w:t>
      </w:r>
      <w:r>
        <w:rPr>
          <w:rFonts w:hint="default" w:ascii="Times New Roman" w:hAnsi="Times New Roman" w:eastAsia="仿宋_GB2312" w:cs="Times New Roman"/>
          <w:color w:val="auto"/>
          <w:sz w:val="32"/>
          <w:szCs w:val="32"/>
        </w:rPr>
        <w:t>%，主要是</w:t>
      </w:r>
      <w:r>
        <w:rPr>
          <w:rFonts w:hint="default" w:ascii="Times New Roman" w:hAnsi="Times New Roman" w:eastAsia="仿宋_GB2312" w:cs="Times New Roman"/>
          <w:color w:val="auto"/>
          <w:sz w:val="32"/>
          <w:szCs w:val="32"/>
          <w:lang w:eastAsia="zh-CN"/>
        </w:rPr>
        <w:t>因为本年度按有关政策厉行节约，严控支出。</w:t>
      </w:r>
    </w:p>
    <w:p w14:paraId="4BB30A62">
      <w:pPr>
        <w:pStyle w:val="13"/>
        <w:keepNext w:val="0"/>
        <w:keepLines w:val="0"/>
        <w:pageBreakBefore w:val="0"/>
        <w:widowControl w:val="0"/>
        <w:kinsoku/>
        <w:wordWrap/>
        <w:overflowPunct/>
        <w:topLinePunct w:val="0"/>
        <w:bidi w:val="0"/>
        <w:snapToGrid/>
        <w:spacing w:line="600" w:lineRule="exact"/>
        <w:ind w:left="0" w:leftChars="0" w:firstLine="640" w:firstLineChars="200"/>
        <w:jc w:val="both"/>
        <w:textAlignment w:val="auto"/>
        <w:rPr>
          <w:rFonts w:hint="default" w:ascii="黑体" w:hAnsi="黑体" w:eastAsia="黑体" w:cs="黑体"/>
          <w:b w:val="0"/>
          <w:bCs/>
          <w:color w:val="auto"/>
          <w:sz w:val="32"/>
          <w:szCs w:val="32"/>
        </w:rPr>
      </w:pPr>
      <w:r>
        <w:rPr>
          <w:rFonts w:hint="default" w:ascii="黑体" w:hAnsi="黑体" w:eastAsia="黑体" w:cs="黑体"/>
          <w:b w:val="0"/>
          <w:bCs/>
          <w:color w:val="auto"/>
          <w:sz w:val="32"/>
          <w:szCs w:val="32"/>
        </w:rPr>
        <w:t>五、一般公共预算财政拨款支出决算情况说明</w:t>
      </w:r>
    </w:p>
    <w:p w14:paraId="60232831">
      <w:pPr>
        <w:pStyle w:val="13"/>
        <w:keepNext w:val="0"/>
        <w:keepLines w:val="0"/>
        <w:pageBreakBefore w:val="0"/>
        <w:widowControl w:val="0"/>
        <w:kinsoku/>
        <w:wordWrap/>
        <w:overflowPunct/>
        <w:topLinePunct w:val="0"/>
        <w:bidi w:val="0"/>
        <w:snapToGrid/>
        <w:spacing w:line="600" w:lineRule="exact"/>
        <w:ind w:left="0" w:leftChars="0" w:firstLine="640" w:firstLineChars="200"/>
        <w:jc w:val="both"/>
        <w:textAlignment w:val="auto"/>
        <w:rPr>
          <w:rFonts w:hint="default" w:ascii="Times New Roman" w:hAnsi="Times New Roman" w:eastAsia="仿宋_GB2312" w:cs="Times New Roman"/>
          <w:b w:val="0"/>
          <w:bCs/>
          <w:color w:val="auto"/>
          <w:sz w:val="32"/>
          <w:szCs w:val="32"/>
        </w:rPr>
      </w:pPr>
      <w:r>
        <w:rPr>
          <w:rFonts w:hint="default" w:ascii="Times New Roman" w:hAnsi="Times New Roman" w:eastAsia="仿宋_GB2312" w:cs="Times New Roman"/>
          <w:b w:val="0"/>
          <w:bCs/>
          <w:color w:val="auto"/>
          <w:sz w:val="32"/>
          <w:szCs w:val="32"/>
        </w:rPr>
        <w:t>（一）一般公共预算财政拨款支出决算总体情况</w:t>
      </w:r>
    </w:p>
    <w:p w14:paraId="566CFCF3">
      <w:pPr>
        <w:pStyle w:val="13"/>
        <w:keepNext w:val="0"/>
        <w:keepLines w:val="0"/>
        <w:pageBreakBefore w:val="0"/>
        <w:widowControl w:val="0"/>
        <w:kinsoku/>
        <w:wordWrap/>
        <w:overflowPunct/>
        <w:topLinePunct w:val="0"/>
        <w:bidi w:val="0"/>
        <w:snapToGrid/>
        <w:spacing w:line="600" w:lineRule="exact"/>
        <w:ind w:left="0" w:leftChars="0" w:firstLine="640" w:firstLineChars="200"/>
        <w:jc w:val="both"/>
        <w:textAlignment w:val="auto"/>
        <w:rPr>
          <w:rFonts w:hint="default" w:ascii="Times New Roman" w:hAnsi="Times New Roman" w:eastAsia="仿宋_GB2312" w:cs="Times New Roman"/>
          <w:color w:val="auto"/>
          <w:sz w:val="32"/>
          <w:szCs w:val="32"/>
        </w:rPr>
      </w:pPr>
      <w:r>
        <w:rPr>
          <w:rFonts w:hint="default" w:ascii="Times New Roman" w:hAnsi="Times New Roman" w:eastAsia="仿宋_GB2312" w:cs="Times New Roman"/>
          <w:color w:val="auto"/>
          <w:sz w:val="32"/>
          <w:szCs w:val="32"/>
        </w:rPr>
        <w:t>202</w:t>
      </w:r>
      <w:r>
        <w:rPr>
          <w:rFonts w:hint="default" w:ascii="Times New Roman" w:hAnsi="Times New Roman" w:eastAsia="仿宋_GB2312" w:cs="Times New Roman"/>
          <w:color w:val="auto"/>
          <w:sz w:val="32"/>
          <w:szCs w:val="32"/>
          <w:lang w:val="en-US" w:eastAsia="zh-CN"/>
        </w:rPr>
        <w:t>4</w:t>
      </w:r>
      <w:r>
        <w:rPr>
          <w:rFonts w:hint="default" w:ascii="Times New Roman" w:hAnsi="Times New Roman" w:eastAsia="仿宋_GB2312" w:cs="Times New Roman"/>
          <w:color w:val="auto"/>
          <w:sz w:val="32"/>
          <w:szCs w:val="32"/>
        </w:rPr>
        <w:t>年度财政拨款支出</w:t>
      </w:r>
      <w:r>
        <w:rPr>
          <w:rFonts w:hint="default" w:ascii="Times New Roman" w:hAnsi="Times New Roman" w:eastAsia="仿宋_GB2312" w:cs="Times New Roman"/>
          <w:color w:val="auto"/>
          <w:sz w:val="32"/>
          <w:szCs w:val="32"/>
          <w:lang w:val="en-US" w:eastAsia="zh-CN"/>
        </w:rPr>
        <w:t>1983.05</w:t>
      </w:r>
      <w:r>
        <w:rPr>
          <w:rFonts w:hint="default" w:ascii="Times New Roman" w:hAnsi="Times New Roman" w:eastAsia="仿宋_GB2312" w:cs="Times New Roman"/>
          <w:color w:val="auto"/>
          <w:sz w:val="32"/>
          <w:szCs w:val="32"/>
        </w:rPr>
        <w:t>万元，占本年支出合计的</w:t>
      </w:r>
      <w:r>
        <w:rPr>
          <w:rFonts w:hint="default" w:ascii="Times New Roman" w:hAnsi="Times New Roman" w:eastAsia="仿宋_GB2312" w:cs="Times New Roman"/>
          <w:color w:val="auto"/>
          <w:sz w:val="32"/>
          <w:szCs w:val="32"/>
          <w:lang w:val="en-US" w:eastAsia="zh-CN"/>
        </w:rPr>
        <w:t>94.57</w:t>
      </w:r>
      <w:r>
        <w:rPr>
          <w:rFonts w:hint="default" w:ascii="Times New Roman" w:hAnsi="Times New Roman" w:eastAsia="仿宋_GB2312" w:cs="Times New Roman"/>
          <w:color w:val="auto"/>
          <w:sz w:val="32"/>
          <w:szCs w:val="32"/>
        </w:rPr>
        <w:t>%，与上年相比，财政拨款支出减少</w:t>
      </w:r>
      <w:r>
        <w:rPr>
          <w:rFonts w:hint="default" w:ascii="Times New Roman" w:hAnsi="Times New Roman" w:eastAsia="仿宋_GB2312" w:cs="Times New Roman"/>
          <w:color w:val="auto"/>
          <w:sz w:val="32"/>
          <w:szCs w:val="32"/>
          <w:lang w:val="en-US" w:eastAsia="zh-CN"/>
        </w:rPr>
        <w:t>149.79</w:t>
      </w:r>
      <w:r>
        <w:rPr>
          <w:rFonts w:hint="default" w:ascii="Times New Roman" w:hAnsi="Times New Roman" w:eastAsia="仿宋_GB2312" w:cs="Times New Roman"/>
          <w:color w:val="auto"/>
          <w:sz w:val="32"/>
          <w:szCs w:val="32"/>
        </w:rPr>
        <w:t>万元，减少</w:t>
      </w:r>
      <w:r>
        <w:rPr>
          <w:rFonts w:hint="default" w:ascii="Times New Roman" w:hAnsi="Times New Roman" w:eastAsia="仿宋_GB2312" w:cs="Times New Roman"/>
          <w:color w:val="auto"/>
          <w:sz w:val="32"/>
          <w:szCs w:val="32"/>
          <w:lang w:val="en-US" w:eastAsia="zh-CN"/>
        </w:rPr>
        <w:t>7.02</w:t>
      </w:r>
      <w:r>
        <w:rPr>
          <w:rFonts w:hint="default" w:ascii="Times New Roman" w:hAnsi="Times New Roman" w:eastAsia="仿宋_GB2312" w:cs="Times New Roman"/>
          <w:color w:val="auto"/>
          <w:sz w:val="32"/>
          <w:szCs w:val="32"/>
        </w:rPr>
        <w:t>%，主要是因为</w:t>
      </w:r>
      <w:r>
        <w:rPr>
          <w:rFonts w:hint="default" w:ascii="Times New Roman" w:hAnsi="Times New Roman" w:eastAsia="仿宋_GB2312" w:cs="Times New Roman"/>
          <w:color w:val="auto"/>
          <w:sz w:val="32"/>
          <w:szCs w:val="32"/>
          <w:lang w:eastAsia="zh-CN"/>
        </w:rPr>
        <w:t>本年度按有关政策厉行节约，严控支出。</w:t>
      </w:r>
    </w:p>
    <w:p w14:paraId="66C54C85">
      <w:pPr>
        <w:pStyle w:val="13"/>
        <w:keepNext w:val="0"/>
        <w:keepLines w:val="0"/>
        <w:pageBreakBefore w:val="0"/>
        <w:widowControl w:val="0"/>
        <w:kinsoku/>
        <w:wordWrap/>
        <w:overflowPunct/>
        <w:topLinePunct w:val="0"/>
        <w:bidi w:val="0"/>
        <w:snapToGrid/>
        <w:spacing w:line="600" w:lineRule="exact"/>
        <w:ind w:left="0" w:leftChars="0" w:firstLine="640" w:firstLineChars="200"/>
        <w:jc w:val="both"/>
        <w:textAlignment w:val="auto"/>
        <w:rPr>
          <w:rFonts w:hint="default" w:ascii="Times New Roman" w:hAnsi="Times New Roman" w:eastAsia="仿宋_GB2312" w:cs="Times New Roman"/>
          <w:b w:val="0"/>
          <w:bCs/>
          <w:color w:val="auto"/>
          <w:sz w:val="32"/>
          <w:szCs w:val="32"/>
        </w:rPr>
      </w:pPr>
      <w:r>
        <w:rPr>
          <w:rFonts w:hint="default" w:ascii="Times New Roman" w:hAnsi="Times New Roman" w:eastAsia="仿宋_GB2312" w:cs="Times New Roman"/>
          <w:b w:val="0"/>
          <w:bCs/>
          <w:color w:val="auto"/>
          <w:sz w:val="32"/>
          <w:szCs w:val="32"/>
        </w:rPr>
        <w:t>（二）一般公共预算财政拨款支出决算结构情况</w:t>
      </w:r>
    </w:p>
    <w:p w14:paraId="100B560A">
      <w:pPr>
        <w:pStyle w:val="13"/>
        <w:keepNext w:val="0"/>
        <w:keepLines w:val="0"/>
        <w:pageBreakBefore w:val="0"/>
        <w:widowControl w:val="0"/>
        <w:kinsoku/>
        <w:wordWrap/>
        <w:overflowPunct/>
        <w:topLinePunct w:val="0"/>
        <w:bidi w:val="0"/>
        <w:snapToGrid/>
        <w:spacing w:line="600" w:lineRule="exact"/>
        <w:ind w:left="0" w:leftChars="0" w:firstLine="640" w:firstLineChars="200"/>
        <w:jc w:val="both"/>
        <w:textAlignment w:val="auto"/>
        <w:rPr>
          <w:rFonts w:hint="default" w:ascii="Times New Roman" w:hAnsi="Times New Roman" w:eastAsia="仿宋_GB2312" w:cs="Times New Roman"/>
          <w:color w:val="auto"/>
          <w:sz w:val="32"/>
          <w:szCs w:val="32"/>
        </w:rPr>
      </w:pPr>
      <w:r>
        <w:rPr>
          <w:rFonts w:hint="default" w:ascii="Times New Roman" w:hAnsi="Times New Roman" w:eastAsia="仿宋_GB2312" w:cs="Times New Roman"/>
          <w:color w:val="auto"/>
          <w:sz w:val="32"/>
          <w:szCs w:val="32"/>
        </w:rPr>
        <w:t>202</w:t>
      </w:r>
      <w:r>
        <w:rPr>
          <w:rFonts w:hint="default" w:ascii="Times New Roman" w:hAnsi="Times New Roman" w:eastAsia="仿宋_GB2312" w:cs="Times New Roman"/>
          <w:color w:val="auto"/>
          <w:sz w:val="32"/>
          <w:szCs w:val="32"/>
          <w:lang w:val="en-US" w:eastAsia="zh-CN"/>
        </w:rPr>
        <w:t>4</w:t>
      </w:r>
      <w:r>
        <w:rPr>
          <w:rFonts w:hint="default" w:ascii="Times New Roman" w:hAnsi="Times New Roman" w:eastAsia="仿宋_GB2312" w:cs="Times New Roman"/>
          <w:color w:val="auto"/>
          <w:sz w:val="32"/>
          <w:szCs w:val="32"/>
        </w:rPr>
        <w:t>年度财政拨款支出</w:t>
      </w:r>
      <w:r>
        <w:rPr>
          <w:rFonts w:hint="default" w:ascii="Times New Roman" w:hAnsi="Times New Roman" w:eastAsia="仿宋_GB2312" w:cs="Times New Roman"/>
          <w:color w:val="auto"/>
          <w:sz w:val="32"/>
          <w:szCs w:val="32"/>
          <w:lang w:val="en-US" w:eastAsia="zh-CN"/>
        </w:rPr>
        <w:t>1983.05</w:t>
      </w:r>
      <w:r>
        <w:rPr>
          <w:rFonts w:hint="default" w:ascii="Times New Roman" w:hAnsi="Times New Roman" w:eastAsia="仿宋_GB2312" w:cs="Times New Roman"/>
          <w:color w:val="auto"/>
          <w:sz w:val="32"/>
          <w:szCs w:val="32"/>
        </w:rPr>
        <w:t>万元，主要用于以下方面：</w:t>
      </w:r>
      <w:r>
        <w:rPr>
          <w:rFonts w:hint="default" w:ascii="Times New Roman" w:hAnsi="Times New Roman" w:eastAsia="仿宋_GB2312" w:cs="Times New Roman"/>
          <w:color w:val="auto"/>
          <w:sz w:val="32"/>
          <w:szCs w:val="32"/>
          <w:lang w:eastAsia="zh-CN"/>
        </w:rPr>
        <w:t>社会保障和就业</w:t>
      </w:r>
      <w:r>
        <w:rPr>
          <w:rFonts w:hint="default" w:ascii="Times New Roman" w:hAnsi="Times New Roman" w:eastAsia="仿宋_GB2312" w:cs="Times New Roman"/>
          <w:color w:val="auto"/>
          <w:sz w:val="32"/>
          <w:szCs w:val="32"/>
        </w:rPr>
        <w:t>支出</w:t>
      </w:r>
      <w:r>
        <w:rPr>
          <w:rFonts w:hint="default" w:ascii="Times New Roman" w:hAnsi="Times New Roman" w:eastAsia="仿宋_GB2312" w:cs="Times New Roman"/>
          <w:color w:val="auto"/>
          <w:sz w:val="32"/>
          <w:szCs w:val="32"/>
          <w:lang w:val="en-US" w:eastAsia="zh-CN"/>
        </w:rPr>
        <w:t>191.87万</w:t>
      </w:r>
      <w:r>
        <w:rPr>
          <w:rFonts w:hint="default" w:ascii="Times New Roman" w:hAnsi="Times New Roman" w:eastAsia="仿宋_GB2312" w:cs="Times New Roman"/>
          <w:color w:val="auto"/>
          <w:sz w:val="32"/>
          <w:szCs w:val="32"/>
        </w:rPr>
        <w:t>元，占</w:t>
      </w:r>
      <w:r>
        <w:rPr>
          <w:rFonts w:hint="default" w:ascii="Times New Roman" w:hAnsi="Times New Roman" w:eastAsia="仿宋_GB2312" w:cs="Times New Roman"/>
          <w:color w:val="auto"/>
          <w:sz w:val="32"/>
          <w:szCs w:val="32"/>
          <w:lang w:val="en-US" w:eastAsia="zh-CN"/>
        </w:rPr>
        <w:t>9.68</w:t>
      </w:r>
      <w:r>
        <w:rPr>
          <w:rFonts w:hint="default" w:ascii="Times New Roman" w:hAnsi="Times New Roman" w:eastAsia="仿宋_GB2312" w:cs="Times New Roman"/>
          <w:color w:val="auto"/>
          <w:sz w:val="32"/>
          <w:szCs w:val="32"/>
        </w:rPr>
        <w:t>%；</w:t>
      </w:r>
      <w:r>
        <w:rPr>
          <w:rFonts w:hint="default" w:ascii="Times New Roman" w:hAnsi="Times New Roman" w:eastAsia="仿宋_GB2312" w:cs="Times New Roman"/>
          <w:color w:val="auto"/>
          <w:sz w:val="32"/>
          <w:szCs w:val="32"/>
          <w:lang w:eastAsia="zh-CN"/>
        </w:rPr>
        <w:t>卫生健康支出</w:t>
      </w:r>
      <w:r>
        <w:rPr>
          <w:rFonts w:hint="default" w:ascii="Times New Roman" w:hAnsi="Times New Roman" w:eastAsia="仿宋_GB2312" w:cs="Times New Roman"/>
          <w:color w:val="auto"/>
          <w:sz w:val="32"/>
          <w:szCs w:val="32"/>
          <w:lang w:val="en-US" w:eastAsia="zh-CN"/>
        </w:rPr>
        <w:t>103.39</w:t>
      </w:r>
      <w:r>
        <w:rPr>
          <w:rFonts w:hint="default" w:ascii="Times New Roman" w:hAnsi="Times New Roman" w:eastAsia="仿宋_GB2312" w:cs="Times New Roman"/>
          <w:color w:val="auto"/>
          <w:sz w:val="32"/>
          <w:szCs w:val="32"/>
        </w:rPr>
        <w:t>万元，占</w:t>
      </w:r>
      <w:r>
        <w:rPr>
          <w:rFonts w:hint="default" w:ascii="Times New Roman" w:hAnsi="Times New Roman" w:eastAsia="仿宋_GB2312" w:cs="Times New Roman"/>
          <w:color w:val="auto"/>
          <w:sz w:val="32"/>
          <w:szCs w:val="32"/>
          <w:lang w:val="en-US" w:eastAsia="zh-CN"/>
        </w:rPr>
        <w:t>5.21</w:t>
      </w:r>
      <w:r>
        <w:rPr>
          <w:rFonts w:hint="default" w:ascii="Times New Roman" w:hAnsi="Times New Roman" w:eastAsia="仿宋_GB2312" w:cs="Times New Roman"/>
          <w:color w:val="auto"/>
          <w:sz w:val="32"/>
          <w:szCs w:val="32"/>
        </w:rPr>
        <w:t>%;城乡社区支出</w:t>
      </w:r>
      <w:r>
        <w:rPr>
          <w:rFonts w:hint="default" w:ascii="Times New Roman" w:hAnsi="Times New Roman" w:eastAsia="仿宋_GB2312" w:cs="Times New Roman"/>
          <w:color w:val="auto"/>
          <w:sz w:val="32"/>
          <w:szCs w:val="32"/>
          <w:lang w:val="en-US" w:eastAsia="zh-CN"/>
        </w:rPr>
        <w:t>153.01万元，占7.72%；资源勘探工业信息等支出1411.42万元，占71.17%；住房保障支出123.36万元，占6.22%。</w:t>
      </w:r>
    </w:p>
    <w:p w14:paraId="5CDBADF9">
      <w:pPr>
        <w:pStyle w:val="13"/>
        <w:keepNext w:val="0"/>
        <w:keepLines w:val="0"/>
        <w:pageBreakBefore w:val="0"/>
        <w:widowControl w:val="0"/>
        <w:kinsoku/>
        <w:wordWrap/>
        <w:overflowPunct/>
        <w:topLinePunct w:val="0"/>
        <w:bidi w:val="0"/>
        <w:snapToGrid/>
        <w:spacing w:line="600" w:lineRule="exact"/>
        <w:ind w:left="0" w:leftChars="0" w:firstLine="640" w:firstLineChars="200"/>
        <w:jc w:val="both"/>
        <w:textAlignment w:val="auto"/>
        <w:rPr>
          <w:rFonts w:hint="default" w:ascii="Times New Roman" w:hAnsi="Times New Roman" w:eastAsia="仿宋_GB2312" w:cs="Times New Roman"/>
          <w:b w:val="0"/>
          <w:bCs/>
          <w:color w:val="auto"/>
          <w:sz w:val="32"/>
          <w:szCs w:val="32"/>
        </w:rPr>
      </w:pPr>
      <w:r>
        <w:rPr>
          <w:rFonts w:hint="default" w:ascii="Times New Roman" w:hAnsi="Times New Roman" w:eastAsia="仿宋_GB2312" w:cs="Times New Roman"/>
          <w:b w:val="0"/>
          <w:bCs/>
          <w:color w:val="auto"/>
          <w:sz w:val="32"/>
          <w:szCs w:val="32"/>
        </w:rPr>
        <w:t>（三）一般公共预算财政拨款支出决算具体情况</w:t>
      </w:r>
    </w:p>
    <w:p w14:paraId="5B07DAE0">
      <w:pPr>
        <w:pStyle w:val="13"/>
        <w:keepNext w:val="0"/>
        <w:keepLines w:val="0"/>
        <w:pageBreakBefore w:val="0"/>
        <w:widowControl w:val="0"/>
        <w:kinsoku/>
        <w:wordWrap/>
        <w:overflowPunct/>
        <w:topLinePunct w:val="0"/>
        <w:bidi w:val="0"/>
        <w:snapToGrid/>
        <w:spacing w:line="600" w:lineRule="exact"/>
        <w:ind w:left="0" w:leftChars="0" w:firstLine="640" w:firstLineChars="200"/>
        <w:jc w:val="both"/>
        <w:textAlignment w:val="auto"/>
        <w:rPr>
          <w:rFonts w:hint="default" w:ascii="Times New Roman" w:hAnsi="Times New Roman" w:eastAsia="仿宋_GB2312" w:cs="Times New Roman"/>
          <w:color w:val="auto"/>
          <w:sz w:val="32"/>
          <w:szCs w:val="32"/>
        </w:rPr>
      </w:pPr>
      <w:r>
        <w:rPr>
          <w:rFonts w:hint="default" w:ascii="Times New Roman" w:hAnsi="Times New Roman" w:eastAsia="仿宋_GB2312" w:cs="Times New Roman"/>
          <w:color w:val="auto"/>
          <w:sz w:val="32"/>
          <w:szCs w:val="32"/>
        </w:rPr>
        <w:t>202</w:t>
      </w:r>
      <w:r>
        <w:rPr>
          <w:rFonts w:hint="default" w:ascii="Times New Roman" w:hAnsi="Times New Roman" w:eastAsia="仿宋_GB2312" w:cs="Times New Roman"/>
          <w:color w:val="auto"/>
          <w:sz w:val="32"/>
          <w:szCs w:val="32"/>
          <w:lang w:val="en-US" w:eastAsia="zh-CN"/>
        </w:rPr>
        <w:t>4</w:t>
      </w:r>
      <w:r>
        <w:rPr>
          <w:rFonts w:hint="default" w:ascii="Times New Roman" w:hAnsi="Times New Roman" w:eastAsia="仿宋_GB2312" w:cs="Times New Roman"/>
          <w:color w:val="auto"/>
          <w:sz w:val="32"/>
          <w:szCs w:val="32"/>
        </w:rPr>
        <w:t>年度财政拨款支出年初预算数为</w:t>
      </w:r>
      <w:r>
        <w:rPr>
          <w:rFonts w:hint="default" w:ascii="Times New Roman" w:hAnsi="Times New Roman" w:eastAsia="仿宋_GB2312" w:cs="Times New Roman"/>
          <w:color w:val="auto"/>
          <w:sz w:val="32"/>
          <w:szCs w:val="32"/>
          <w:lang w:val="en-US" w:eastAsia="zh-CN"/>
        </w:rPr>
        <w:t>1924.24</w:t>
      </w:r>
      <w:r>
        <w:rPr>
          <w:rFonts w:hint="default" w:ascii="Times New Roman" w:hAnsi="Times New Roman" w:eastAsia="仿宋_GB2312" w:cs="Times New Roman"/>
          <w:color w:val="auto"/>
          <w:sz w:val="32"/>
          <w:szCs w:val="32"/>
        </w:rPr>
        <w:t>万元，支出决算数为</w:t>
      </w:r>
      <w:r>
        <w:rPr>
          <w:rFonts w:hint="default" w:ascii="Times New Roman" w:hAnsi="Times New Roman" w:eastAsia="仿宋_GB2312" w:cs="Times New Roman"/>
          <w:color w:val="auto"/>
          <w:sz w:val="32"/>
          <w:szCs w:val="32"/>
          <w:lang w:val="en-US" w:eastAsia="zh-CN"/>
        </w:rPr>
        <w:t>1983.05</w:t>
      </w:r>
      <w:r>
        <w:rPr>
          <w:rFonts w:hint="default" w:ascii="Times New Roman" w:hAnsi="Times New Roman" w:eastAsia="仿宋_GB2312" w:cs="Times New Roman"/>
          <w:color w:val="auto"/>
          <w:sz w:val="32"/>
          <w:szCs w:val="32"/>
        </w:rPr>
        <w:t>万元，完成年初预算的</w:t>
      </w:r>
      <w:r>
        <w:rPr>
          <w:rFonts w:hint="default" w:ascii="Times New Roman" w:hAnsi="Times New Roman" w:eastAsia="仿宋_GB2312" w:cs="Times New Roman"/>
          <w:color w:val="auto"/>
          <w:sz w:val="32"/>
          <w:szCs w:val="32"/>
          <w:lang w:val="en-US" w:eastAsia="zh-CN"/>
        </w:rPr>
        <w:t>103.06</w:t>
      </w:r>
      <w:r>
        <w:rPr>
          <w:rFonts w:hint="default" w:ascii="Times New Roman" w:hAnsi="Times New Roman" w:eastAsia="仿宋_GB2312" w:cs="Times New Roman"/>
          <w:color w:val="auto"/>
          <w:sz w:val="32"/>
          <w:szCs w:val="32"/>
        </w:rPr>
        <w:t>%，其中：</w:t>
      </w:r>
    </w:p>
    <w:p w14:paraId="237A4D60">
      <w:pPr>
        <w:pStyle w:val="13"/>
        <w:keepNext w:val="0"/>
        <w:keepLines w:val="0"/>
        <w:pageBreakBefore w:val="0"/>
        <w:widowControl w:val="0"/>
        <w:kinsoku/>
        <w:wordWrap/>
        <w:overflowPunct/>
        <w:topLinePunct w:val="0"/>
        <w:bidi w:val="0"/>
        <w:snapToGrid/>
        <w:spacing w:line="600" w:lineRule="exact"/>
        <w:ind w:left="0" w:leftChars="0" w:firstLine="640" w:firstLineChars="200"/>
        <w:jc w:val="both"/>
        <w:textAlignment w:val="auto"/>
        <w:rPr>
          <w:rFonts w:hint="default" w:ascii="Times New Roman" w:hAnsi="Times New Roman" w:eastAsia="仿宋_GB2312" w:cs="Times New Roman"/>
          <w:color w:val="auto"/>
          <w:sz w:val="32"/>
          <w:szCs w:val="32"/>
        </w:rPr>
      </w:pPr>
      <w:r>
        <w:rPr>
          <w:rFonts w:hint="default" w:ascii="Times New Roman" w:hAnsi="Times New Roman" w:eastAsia="仿宋_GB2312" w:cs="Times New Roman"/>
          <w:color w:val="auto"/>
          <w:sz w:val="32"/>
          <w:szCs w:val="32"/>
        </w:rPr>
        <w:t>1、</w:t>
      </w:r>
      <w:r>
        <w:rPr>
          <w:rFonts w:hint="default" w:ascii="Times New Roman" w:hAnsi="Times New Roman" w:eastAsia="仿宋_GB2312" w:cs="Times New Roman"/>
          <w:color w:val="auto"/>
          <w:sz w:val="32"/>
          <w:szCs w:val="32"/>
          <w:lang w:eastAsia="zh-CN"/>
        </w:rPr>
        <w:t>社会保障和就业</w:t>
      </w:r>
      <w:r>
        <w:rPr>
          <w:rFonts w:hint="default" w:ascii="Times New Roman" w:hAnsi="Times New Roman" w:eastAsia="仿宋_GB2312" w:cs="Times New Roman"/>
          <w:color w:val="auto"/>
          <w:sz w:val="32"/>
          <w:szCs w:val="32"/>
        </w:rPr>
        <w:t>支出（类）行政事业单位养老支出（款） 机关事业单位基本养老保险缴费支出（项）。</w:t>
      </w:r>
    </w:p>
    <w:p w14:paraId="2F3FC9F1">
      <w:pPr>
        <w:pStyle w:val="13"/>
        <w:keepNext w:val="0"/>
        <w:keepLines w:val="0"/>
        <w:pageBreakBefore w:val="0"/>
        <w:widowControl w:val="0"/>
        <w:kinsoku/>
        <w:wordWrap/>
        <w:overflowPunct/>
        <w:topLinePunct w:val="0"/>
        <w:bidi w:val="0"/>
        <w:snapToGrid/>
        <w:spacing w:line="600" w:lineRule="exact"/>
        <w:ind w:left="0" w:leftChars="0" w:firstLine="640" w:firstLineChars="200"/>
        <w:jc w:val="both"/>
        <w:textAlignment w:val="auto"/>
        <w:rPr>
          <w:rFonts w:hint="default" w:ascii="Times New Roman" w:hAnsi="Times New Roman" w:eastAsia="仿宋_GB2312" w:cs="Times New Roman"/>
          <w:color w:val="auto"/>
          <w:sz w:val="32"/>
          <w:szCs w:val="32"/>
          <w:lang w:eastAsia="zh-CN"/>
        </w:rPr>
      </w:pPr>
      <w:r>
        <w:rPr>
          <w:rFonts w:hint="default" w:ascii="Times New Roman" w:hAnsi="Times New Roman" w:eastAsia="仿宋_GB2312" w:cs="Times New Roman"/>
          <w:color w:val="auto"/>
          <w:sz w:val="32"/>
          <w:szCs w:val="32"/>
        </w:rPr>
        <w:t>年初预算为</w:t>
      </w:r>
      <w:r>
        <w:rPr>
          <w:rFonts w:hint="default" w:ascii="Times New Roman" w:hAnsi="Times New Roman" w:eastAsia="仿宋_GB2312" w:cs="Times New Roman"/>
          <w:color w:val="auto"/>
          <w:sz w:val="32"/>
          <w:szCs w:val="32"/>
          <w:lang w:val="en-US" w:eastAsia="zh-CN"/>
        </w:rPr>
        <w:t>179.33</w:t>
      </w:r>
      <w:r>
        <w:rPr>
          <w:rFonts w:hint="default" w:ascii="Times New Roman" w:hAnsi="Times New Roman" w:eastAsia="仿宋_GB2312" w:cs="Times New Roman"/>
          <w:color w:val="auto"/>
          <w:sz w:val="32"/>
          <w:szCs w:val="32"/>
        </w:rPr>
        <w:t>万元，支出决算为</w:t>
      </w:r>
      <w:r>
        <w:rPr>
          <w:rFonts w:hint="default" w:ascii="Times New Roman" w:hAnsi="Times New Roman" w:eastAsia="仿宋_GB2312" w:cs="Times New Roman"/>
          <w:color w:val="auto"/>
          <w:sz w:val="32"/>
          <w:szCs w:val="32"/>
          <w:lang w:val="en-US" w:eastAsia="zh-CN"/>
        </w:rPr>
        <w:t>168.39</w:t>
      </w:r>
      <w:r>
        <w:rPr>
          <w:rFonts w:hint="default" w:ascii="Times New Roman" w:hAnsi="Times New Roman" w:eastAsia="仿宋_GB2312" w:cs="Times New Roman"/>
          <w:color w:val="auto"/>
          <w:sz w:val="32"/>
          <w:szCs w:val="32"/>
        </w:rPr>
        <w:t>万元，完成年初预算的</w:t>
      </w:r>
      <w:r>
        <w:rPr>
          <w:rFonts w:hint="default" w:ascii="Times New Roman" w:hAnsi="Times New Roman" w:eastAsia="仿宋_GB2312" w:cs="Times New Roman"/>
          <w:color w:val="auto"/>
          <w:sz w:val="32"/>
          <w:szCs w:val="32"/>
          <w:lang w:val="en-US" w:eastAsia="zh-CN"/>
        </w:rPr>
        <w:t>93.9</w:t>
      </w:r>
      <w:r>
        <w:rPr>
          <w:rFonts w:hint="default" w:ascii="Times New Roman" w:hAnsi="Times New Roman" w:eastAsia="仿宋_GB2312" w:cs="Times New Roman"/>
          <w:color w:val="auto"/>
          <w:sz w:val="32"/>
          <w:szCs w:val="32"/>
        </w:rPr>
        <w:t>%，决算数小于年初预算数的主要原因是：</w:t>
      </w:r>
      <w:r>
        <w:rPr>
          <w:rFonts w:hint="default" w:ascii="Times New Roman" w:hAnsi="Times New Roman" w:eastAsia="仿宋_GB2312" w:cs="Times New Roman"/>
          <w:color w:val="auto"/>
          <w:sz w:val="32"/>
          <w:szCs w:val="32"/>
          <w:lang w:eastAsia="zh-CN"/>
        </w:rPr>
        <w:t>本年度增加退休人员。</w:t>
      </w:r>
    </w:p>
    <w:p w14:paraId="18B7B69A">
      <w:pPr>
        <w:pStyle w:val="13"/>
        <w:keepNext w:val="0"/>
        <w:keepLines w:val="0"/>
        <w:pageBreakBefore w:val="0"/>
        <w:widowControl w:val="0"/>
        <w:numPr>
          <w:ilvl w:val="0"/>
          <w:numId w:val="0"/>
        </w:numPr>
        <w:kinsoku/>
        <w:wordWrap/>
        <w:overflowPunct/>
        <w:topLinePunct w:val="0"/>
        <w:bidi w:val="0"/>
        <w:snapToGrid/>
        <w:spacing w:line="600" w:lineRule="exact"/>
        <w:ind w:left="0" w:leftChars="0" w:firstLine="640" w:firstLineChars="200"/>
        <w:jc w:val="both"/>
        <w:textAlignment w:val="auto"/>
        <w:rPr>
          <w:rFonts w:hint="default" w:ascii="Times New Roman" w:hAnsi="Times New Roman" w:eastAsia="仿宋_GB2312" w:cs="Times New Roman"/>
          <w:color w:val="auto"/>
          <w:sz w:val="32"/>
          <w:szCs w:val="32"/>
        </w:rPr>
      </w:pPr>
      <w:r>
        <w:rPr>
          <w:rFonts w:hint="default" w:ascii="Times New Roman" w:hAnsi="Times New Roman" w:eastAsia="仿宋_GB2312" w:cs="Times New Roman"/>
          <w:color w:val="auto"/>
          <w:sz w:val="32"/>
          <w:szCs w:val="32"/>
          <w:lang w:val="en-US" w:eastAsia="zh-CN"/>
        </w:rPr>
        <w:t>2、</w:t>
      </w:r>
      <w:r>
        <w:rPr>
          <w:rFonts w:hint="default" w:ascii="Times New Roman" w:hAnsi="Times New Roman" w:eastAsia="仿宋_GB2312" w:cs="Times New Roman"/>
          <w:color w:val="auto"/>
          <w:sz w:val="32"/>
          <w:szCs w:val="32"/>
          <w:lang w:eastAsia="zh-CN"/>
        </w:rPr>
        <w:t>社会保障和就业</w:t>
      </w:r>
      <w:r>
        <w:rPr>
          <w:rFonts w:hint="default" w:ascii="Times New Roman" w:hAnsi="Times New Roman" w:eastAsia="仿宋_GB2312" w:cs="Times New Roman"/>
          <w:color w:val="auto"/>
          <w:sz w:val="32"/>
          <w:szCs w:val="32"/>
        </w:rPr>
        <w:t>支出（类）抚恤（款） 其他优抚支出（项）。</w:t>
      </w:r>
    </w:p>
    <w:p w14:paraId="2FC4BF7E">
      <w:pPr>
        <w:pStyle w:val="13"/>
        <w:keepNext w:val="0"/>
        <w:keepLines w:val="0"/>
        <w:pageBreakBefore w:val="0"/>
        <w:widowControl w:val="0"/>
        <w:numPr>
          <w:ilvl w:val="0"/>
          <w:numId w:val="0"/>
        </w:numPr>
        <w:kinsoku/>
        <w:wordWrap/>
        <w:overflowPunct/>
        <w:topLinePunct w:val="0"/>
        <w:autoSpaceDE w:val="0"/>
        <w:autoSpaceDN w:val="0"/>
        <w:bidi w:val="0"/>
        <w:adjustRightInd w:val="0"/>
        <w:snapToGrid/>
        <w:spacing w:line="600" w:lineRule="exact"/>
        <w:ind w:left="0" w:leftChars="0" w:firstLine="640" w:firstLineChars="200"/>
        <w:jc w:val="both"/>
        <w:textAlignment w:val="auto"/>
        <w:rPr>
          <w:rFonts w:hint="default" w:ascii="Times New Roman" w:hAnsi="Times New Roman" w:eastAsia="仿宋_GB2312" w:cs="Times New Roman"/>
          <w:color w:val="auto"/>
          <w:sz w:val="32"/>
          <w:szCs w:val="32"/>
          <w:lang w:val="en-US" w:eastAsia="zh-CN"/>
        </w:rPr>
      </w:pPr>
      <w:r>
        <w:rPr>
          <w:rFonts w:hint="default" w:ascii="Times New Roman" w:hAnsi="Times New Roman" w:eastAsia="仿宋_GB2312" w:cs="Times New Roman"/>
          <w:color w:val="auto"/>
          <w:sz w:val="32"/>
          <w:szCs w:val="32"/>
        </w:rPr>
        <w:t>年初预算为</w:t>
      </w:r>
      <w:r>
        <w:rPr>
          <w:rFonts w:hint="default" w:ascii="Times New Roman" w:hAnsi="Times New Roman" w:eastAsia="仿宋_GB2312" w:cs="Times New Roman"/>
          <w:color w:val="auto"/>
          <w:sz w:val="32"/>
          <w:szCs w:val="32"/>
          <w:lang w:val="en-US" w:eastAsia="zh-CN"/>
        </w:rPr>
        <w:t>0</w:t>
      </w:r>
      <w:r>
        <w:rPr>
          <w:rFonts w:hint="default" w:ascii="Times New Roman" w:hAnsi="Times New Roman" w:eastAsia="仿宋_GB2312" w:cs="Times New Roman"/>
          <w:color w:val="auto"/>
          <w:sz w:val="32"/>
          <w:szCs w:val="32"/>
        </w:rPr>
        <w:t>万元，支出决算为</w:t>
      </w:r>
      <w:r>
        <w:rPr>
          <w:rFonts w:hint="default" w:ascii="Times New Roman" w:hAnsi="Times New Roman" w:eastAsia="仿宋_GB2312" w:cs="Times New Roman"/>
          <w:color w:val="auto"/>
          <w:sz w:val="32"/>
          <w:szCs w:val="32"/>
          <w:lang w:val="en-US" w:eastAsia="zh-CN"/>
        </w:rPr>
        <w:t>7.37</w:t>
      </w:r>
      <w:r>
        <w:rPr>
          <w:rFonts w:hint="default" w:ascii="Times New Roman" w:hAnsi="Times New Roman" w:eastAsia="仿宋_GB2312" w:cs="Times New Roman"/>
          <w:color w:val="auto"/>
          <w:sz w:val="32"/>
          <w:szCs w:val="32"/>
        </w:rPr>
        <w:t>万元，决算数</w:t>
      </w:r>
      <w:r>
        <w:rPr>
          <w:rFonts w:hint="default" w:ascii="Times New Roman" w:hAnsi="Times New Roman" w:eastAsia="仿宋_GB2312" w:cs="Times New Roman"/>
          <w:color w:val="auto"/>
          <w:sz w:val="32"/>
          <w:szCs w:val="32"/>
          <w:lang w:eastAsia="zh-CN"/>
        </w:rPr>
        <w:t>大</w:t>
      </w:r>
      <w:r>
        <w:rPr>
          <w:rFonts w:hint="default" w:ascii="Times New Roman" w:hAnsi="Times New Roman" w:eastAsia="仿宋_GB2312" w:cs="Times New Roman"/>
          <w:color w:val="auto"/>
          <w:sz w:val="32"/>
          <w:szCs w:val="32"/>
        </w:rPr>
        <w:t>于年初预算数的主要原因是：</w:t>
      </w:r>
      <w:r>
        <w:rPr>
          <w:rFonts w:hint="default" w:ascii="Times New Roman" w:hAnsi="Times New Roman" w:eastAsia="仿宋_GB2312" w:cs="Times New Roman"/>
          <w:color w:val="auto"/>
          <w:sz w:val="32"/>
          <w:szCs w:val="32"/>
          <w:lang w:eastAsia="zh-CN"/>
        </w:rPr>
        <w:t>本年度有退休人员死亡，财政下拨了怃恤费。</w:t>
      </w:r>
      <w:r>
        <w:rPr>
          <w:rFonts w:hint="default" w:ascii="Times New Roman" w:hAnsi="Times New Roman" w:eastAsia="仿宋_GB2312" w:cs="Times New Roman"/>
          <w:color w:val="auto"/>
          <w:sz w:val="32"/>
          <w:szCs w:val="32"/>
          <w:lang w:val="en-US" w:eastAsia="zh-CN"/>
        </w:rPr>
        <w:t xml:space="preserve"> </w:t>
      </w:r>
    </w:p>
    <w:p w14:paraId="19C73F95">
      <w:pPr>
        <w:pStyle w:val="13"/>
        <w:keepNext w:val="0"/>
        <w:keepLines w:val="0"/>
        <w:pageBreakBefore w:val="0"/>
        <w:widowControl w:val="0"/>
        <w:numPr>
          <w:ilvl w:val="0"/>
          <w:numId w:val="0"/>
        </w:numPr>
        <w:kinsoku/>
        <w:wordWrap/>
        <w:overflowPunct/>
        <w:topLinePunct w:val="0"/>
        <w:autoSpaceDE w:val="0"/>
        <w:autoSpaceDN w:val="0"/>
        <w:bidi w:val="0"/>
        <w:adjustRightInd w:val="0"/>
        <w:snapToGrid/>
        <w:spacing w:line="600" w:lineRule="exact"/>
        <w:ind w:left="0" w:leftChars="0" w:firstLine="640" w:firstLineChars="200"/>
        <w:jc w:val="both"/>
        <w:textAlignment w:val="auto"/>
        <w:rPr>
          <w:rFonts w:hint="default" w:ascii="Times New Roman" w:hAnsi="Times New Roman" w:eastAsia="仿宋_GB2312" w:cs="Times New Roman"/>
          <w:color w:val="auto"/>
          <w:sz w:val="32"/>
          <w:szCs w:val="32"/>
        </w:rPr>
      </w:pPr>
      <w:r>
        <w:rPr>
          <w:rFonts w:hint="default" w:ascii="Times New Roman" w:hAnsi="Times New Roman" w:eastAsia="仿宋_GB2312" w:cs="Times New Roman"/>
          <w:color w:val="auto"/>
          <w:sz w:val="32"/>
          <w:szCs w:val="32"/>
          <w:lang w:val="en-US" w:eastAsia="zh-CN"/>
        </w:rPr>
        <w:t>3、</w:t>
      </w:r>
      <w:r>
        <w:rPr>
          <w:rFonts w:hint="default" w:ascii="Times New Roman" w:hAnsi="Times New Roman" w:eastAsia="仿宋_GB2312" w:cs="Times New Roman"/>
          <w:color w:val="auto"/>
          <w:sz w:val="32"/>
          <w:szCs w:val="32"/>
          <w:lang w:eastAsia="zh-CN"/>
        </w:rPr>
        <w:t>社会保障和就业</w:t>
      </w:r>
      <w:r>
        <w:rPr>
          <w:rFonts w:hint="default" w:ascii="Times New Roman" w:hAnsi="Times New Roman" w:eastAsia="仿宋_GB2312" w:cs="Times New Roman"/>
          <w:color w:val="auto"/>
          <w:sz w:val="32"/>
          <w:szCs w:val="32"/>
        </w:rPr>
        <w:t>支出（类）残疾人事业（款） 其他残疾人事业支出（项）。</w:t>
      </w:r>
    </w:p>
    <w:p w14:paraId="011C65D0">
      <w:pPr>
        <w:pStyle w:val="13"/>
        <w:keepNext w:val="0"/>
        <w:keepLines w:val="0"/>
        <w:pageBreakBefore w:val="0"/>
        <w:widowControl w:val="0"/>
        <w:numPr>
          <w:ilvl w:val="0"/>
          <w:numId w:val="0"/>
        </w:numPr>
        <w:kinsoku/>
        <w:wordWrap/>
        <w:overflowPunct/>
        <w:topLinePunct w:val="0"/>
        <w:autoSpaceDE w:val="0"/>
        <w:autoSpaceDN w:val="0"/>
        <w:bidi w:val="0"/>
        <w:adjustRightInd w:val="0"/>
        <w:snapToGrid/>
        <w:spacing w:line="600" w:lineRule="exact"/>
        <w:ind w:left="0" w:leftChars="0" w:firstLine="640" w:firstLineChars="200"/>
        <w:jc w:val="both"/>
        <w:textAlignment w:val="auto"/>
        <w:rPr>
          <w:rFonts w:hint="default" w:ascii="Times New Roman" w:hAnsi="Times New Roman" w:eastAsia="仿宋_GB2312" w:cs="Times New Roman"/>
          <w:color w:val="auto"/>
          <w:sz w:val="32"/>
          <w:szCs w:val="32"/>
          <w:lang w:val="en-US" w:eastAsia="zh-CN"/>
        </w:rPr>
      </w:pPr>
      <w:r>
        <w:rPr>
          <w:rFonts w:hint="default" w:ascii="Times New Roman" w:hAnsi="Times New Roman" w:eastAsia="仿宋_GB2312" w:cs="Times New Roman"/>
          <w:color w:val="auto"/>
          <w:sz w:val="32"/>
          <w:szCs w:val="32"/>
        </w:rPr>
        <w:t>年初预算为</w:t>
      </w:r>
      <w:r>
        <w:rPr>
          <w:rFonts w:hint="default" w:ascii="Times New Roman" w:hAnsi="Times New Roman" w:eastAsia="仿宋_GB2312" w:cs="Times New Roman"/>
          <w:color w:val="auto"/>
          <w:sz w:val="32"/>
          <w:szCs w:val="32"/>
          <w:lang w:val="en-US" w:eastAsia="zh-CN"/>
        </w:rPr>
        <w:t>12.83</w:t>
      </w:r>
      <w:r>
        <w:rPr>
          <w:rFonts w:hint="default" w:ascii="Times New Roman" w:hAnsi="Times New Roman" w:eastAsia="仿宋_GB2312" w:cs="Times New Roman"/>
          <w:color w:val="auto"/>
          <w:sz w:val="32"/>
          <w:szCs w:val="32"/>
        </w:rPr>
        <w:t>万元，支出决算为</w:t>
      </w:r>
      <w:r>
        <w:rPr>
          <w:rFonts w:hint="default" w:ascii="Times New Roman" w:hAnsi="Times New Roman" w:eastAsia="仿宋_GB2312" w:cs="Times New Roman"/>
          <w:color w:val="auto"/>
          <w:sz w:val="32"/>
          <w:szCs w:val="32"/>
          <w:lang w:val="en-US" w:eastAsia="zh-CN"/>
        </w:rPr>
        <w:t>12.83</w:t>
      </w:r>
      <w:r>
        <w:rPr>
          <w:rFonts w:hint="default" w:ascii="Times New Roman" w:hAnsi="Times New Roman" w:eastAsia="仿宋_GB2312" w:cs="Times New Roman"/>
          <w:color w:val="auto"/>
          <w:sz w:val="32"/>
          <w:szCs w:val="32"/>
        </w:rPr>
        <w:t>万元，决算数</w:t>
      </w:r>
      <w:r>
        <w:rPr>
          <w:rFonts w:hint="default" w:ascii="Times New Roman" w:hAnsi="Times New Roman" w:eastAsia="仿宋_GB2312" w:cs="Times New Roman"/>
          <w:color w:val="auto"/>
          <w:sz w:val="32"/>
          <w:szCs w:val="32"/>
          <w:lang w:eastAsia="zh-CN"/>
        </w:rPr>
        <w:t>与</w:t>
      </w:r>
      <w:r>
        <w:rPr>
          <w:rFonts w:hint="default" w:ascii="Times New Roman" w:hAnsi="Times New Roman" w:eastAsia="仿宋_GB2312" w:cs="Times New Roman"/>
          <w:color w:val="auto"/>
          <w:sz w:val="32"/>
          <w:szCs w:val="32"/>
        </w:rPr>
        <w:t>年初预算数</w:t>
      </w:r>
      <w:r>
        <w:rPr>
          <w:rFonts w:hint="default" w:ascii="Times New Roman" w:hAnsi="Times New Roman" w:eastAsia="仿宋_GB2312" w:cs="Times New Roman"/>
          <w:color w:val="auto"/>
          <w:sz w:val="32"/>
          <w:szCs w:val="32"/>
          <w:lang w:eastAsia="zh-CN"/>
        </w:rPr>
        <w:t>持平，</w:t>
      </w:r>
      <w:r>
        <w:rPr>
          <w:rFonts w:hint="default" w:ascii="Times New Roman" w:hAnsi="Times New Roman" w:eastAsia="仿宋_GB2312" w:cs="Times New Roman"/>
          <w:color w:val="auto"/>
          <w:sz w:val="32"/>
          <w:szCs w:val="32"/>
          <w:lang w:val="en-US" w:eastAsia="zh-CN"/>
        </w:rPr>
        <w:t>主要原因是严格按预算执行。</w:t>
      </w:r>
    </w:p>
    <w:p w14:paraId="2A5E2FCA">
      <w:pPr>
        <w:pStyle w:val="13"/>
        <w:keepNext w:val="0"/>
        <w:keepLines w:val="0"/>
        <w:pageBreakBefore w:val="0"/>
        <w:widowControl w:val="0"/>
        <w:numPr>
          <w:ilvl w:val="0"/>
          <w:numId w:val="0"/>
        </w:numPr>
        <w:kinsoku/>
        <w:wordWrap/>
        <w:overflowPunct/>
        <w:topLinePunct w:val="0"/>
        <w:autoSpaceDE w:val="0"/>
        <w:autoSpaceDN w:val="0"/>
        <w:bidi w:val="0"/>
        <w:adjustRightInd w:val="0"/>
        <w:snapToGrid/>
        <w:spacing w:line="600" w:lineRule="exact"/>
        <w:ind w:left="0" w:leftChars="0" w:firstLine="640" w:firstLineChars="200"/>
        <w:jc w:val="both"/>
        <w:textAlignment w:val="auto"/>
        <w:rPr>
          <w:rFonts w:hint="default" w:ascii="Times New Roman" w:hAnsi="Times New Roman" w:eastAsia="仿宋_GB2312" w:cs="Times New Roman"/>
          <w:color w:val="auto"/>
          <w:sz w:val="32"/>
          <w:szCs w:val="32"/>
        </w:rPr>
      </w:pPr>
      <w:r>
        <w:rPr>
          <w:rFonts w:hint="default" w:ascii="Times New Roman" w:hAnsi="Times New Roman" w:eastAsia="仿宋_GB2312" w:cs="Times New Roman"/>
          <w:color w:val="auto"/>
          <w:sz w:val="32"/>
          <w:szCs w:val="32"/>
          <w:lang w:val="en-US" w:eastAsia="zh-CN"/>
        </w:rPr>
        <w:t>4、</w:t>
      </w:r>
      <w:r>
        <w:rPr>
          <w:rFonts w:hint="default" w:ascii="Times New Roman" w:hAnsi="Times New Roman" w:eastAsia="仿宋_GB2312" w:cs="Times New Roman"/>
          <w:color w:val="auto"/>
          <w:sz w:val="32"/>
          <w:szCs w:val="32"/>
          <w:lang w:eastAsia="zh-CN"/>
        </w:rPr>
        <w:t>社会保障和就业</w:t>
      </w:r>
      <w:r>
        <w:rPr>
          <w:rFonts w:hint="default" w:ascii="Times New Roman" w:hAnsi="Times New Roman" w:eastAsia="仿宋_GB2312" w:cs="Times New Roman"/>
          <w:color w:val="auto"/>
          <w:sz w:val="32"/>
          <w:szCs w:val="32"/>
        </w:rPr>
        <w:t>支出（类）其他社会保障和就业支出（款） 其他社会保障和就业支出（项）。</w:t>
      </w:r>
    </w:p>
    <w:p w14:paraId="31AE4291">
      <w:pPr>
        <w:pStyle w:val="13"/>
        <w:keepNext w:val="0"/>
        <w:keepLines w:val="0"/>
        <w:pageBreakBefore w:val="0"/>
        <w:widowControl w:val="0"/>
        <w:numPr>
          <w:ilvl w:val="0"/>
          <w:numId w:val="0"/>
        </w:numPr>
        <w:kinsoku/>
        <w:wordWrap/>
        <w:overflowPunct/>
        <w:topLinePunct w:val="0"/>
        <w:autoSpaceDE w:val="0"/>
        <w:autoSpaceDN w:val="0"/>
        <w:bidi w:val="0"/>
        <w:adjustRightInd w:val="0"/>
        <w:snapToGrid/>
        <w:spacing w:line="600" w:lineRule="exact"/>
        <w:ind w:left="0" w:leftChars="0" w:firstLine="640" w:firstLineChars="200"/>
        <w:jc w:val="both"/>
        <w:textAlignment w:val="auto"/>
        <w:rPr>
          <w:rFonts w:hint="default" w:ascii="Times New Roman" w:hAnsi="Times New Roman" w:eastAsia="仿宋_GB2312" w:cs="Times New Roman"/>
          <w:color w:val="auto"/>
          <w:sz w:val="32"/>
          <w:szCs w:val="32"/>
          <w:lang w:val="en-US" w:eastAsia="zh-CN"/>
        </w:rPr>
      </w:pPr>
      <w:r>
        <w:rPr>
          <w:rFonts w:hint="default" w:ascii="Times New Roman" w:hAnsi="Times New Roman" w:eastAsia="仿宋_GB2312" w:cs="Times New Roman"/>
          <w:color w:val="auto"/>
          <w:sz w:val="32"/>
          <w:szCs w:val="32"/>
        </w:rPr>
        <w:t>年初预算为</w:t>
      </w:r>
      <w:r>
        <w:rPr>
          <w:rFonts w:hint="default" w:ascii="Times New Roman" w:hAnsi="Times New Roman" w:eastAsia="仿宋_GB2312" w:cs="Times New Roman"/>
          <w:color w:val="auto"/>
          <w:sz w:val="32"/>
          <w:szCs w:val="32"/>
          <w:lang w:val="en-US" w:eastAsia="zh-CN"/>
        </w:rPr>
        <w:t>3.28</w:t>
      </w:r>
      <w:r>
        <w:rPr>
          <w:rFonts w:hint="default" w:ascii="Times New Roman" w:hAnsi="Times New Roman" w:eastAsia="仿宋_GB2312" w:cs="Times New Roman"/>
          <w:color w:val="auto"/>
          <w:sz w:val="32"/>
          <w:szCs w:val="32"/>
        </w:rPr>
        <w:t>万元，支出决算为</w:t>
      </w:r>
      <w:r>
        <w:rPr>
          <w:rFonts w:hint="default" w:ascii="Times New Roman" w:hAnsi="Times New Roman" w:eastAsia="仿宋_GB2312" w:cs="Times New Roman"/>
          <w:color w:val="auto"/>
          <w:sz w:val="32"/>
          <w:szCs w:val="32"/>
          <w:lang w:val="en-US" w:eastAsia="zh-CN"/>
        </w:rPr>
        <w:t>3.28</w:t>
      </w:r>
      <w:r>
        <w:rPr>
          <w:rFonts w:hint="default" w:ascii="Times New Roman" w:hAnsi="Times New Roman" w:eastAsia="仿宋_GB2312" w:cs="Times New Roman"/>
          <w:color w:val="auto"/>
          <w:sz w:val="32"/>
          <w:szCs w:val="32"/>
        </w:rPr>
        <w:t>万元，决算数</w:t>
      </w:r>
      <w:r>
        <w:rPr>
          <w:rFonts w:hint="default" w:ascii="Times New Roman" w:hAnsi="Times New Roman" w:eastAsia="仿宋_GB2312" w:cs="Times New Roman"/>
          <w:color w:val="auto"/>
          <w:sz w:val="32"/>
          <w:szCs w:val="32"/>
          <w:lang w:eastAsia="zh-CN"/>
        </w:rPr>
        <w:t>与</w:t>
      </w:r>
      <w:r>
        <w:rPr>
          <w:rFonts w:hint="default" w:ascii="Times New Roman" w:hAnsi="Times New Roman" w:eastAsia="仿宋_GB2312" w:cs="Times New Roman"/>
          <w:color w:val="auto"/>
          <w:sz w:val="32"/>
          <w:szCs w:val="32"/>
        </w:rPr>
        <w:t>年初预算数</w:t>
      </w:r>
      <w:r>
        <w:rPr>
          <w:rFonts w:hint="default" w:ascii="Times New Roman" w:hAnsi="Times New Roman" w:eastAsia="仿宋_GB2312" w:cs="Times New Roman"/>
          <w:color w:val="auto"/>
          <w:sz w:val="32"/>
          <w:szCs w:val="32"/>
          <w:lang w:eastAsia="zh-CN"/>
        </w:rPr>
        <w:t>持平，</w:t>
      </w:r>
      <w:r>
        <w:rPr>
          <w:rFonts w:hint="default" w:ascii="Times New Roman" w:hAnsi="Times New Roman" w:eastAsia="仿宋_GB2312" w:cs="Times New Roman"/>
          <w:color w:val="auto"/>
          <w:sz w:val="32"/>
          <w:szCs w:val="32"/>
          <w:lang w:val="en-US" w:eastAsia="zh-CN"/>
        </w:rPr>
        <w:t>主要原因是严格按预算执行。</w:t>
      </w:r>
    </w:p>
    <w:p w14:paraId="3443D2AF">
      <w:pPr>
        <w:pStyle w:val="13"/>
        <w:keepNext w:val="0"/>
        <w:keepLines w:val="0"/>
        <w:pageBreakBefore w:val="0"/>
        <w:widowControl w:val="0"/>
        <w:kinsoku/>
        <w:wordWrap/>
        <w:overflowPunct/>
        <w:topLinePunct w:val="0"/>
        <w:bidi w:val="0"/>
        <w:snapToGrid/>
        <w:spacing w:line="600" w:lineRule="exact"/>
        <w:ind w:left="0" w:leftChars="0" w:firstLine="640" w:firstLineChars="200"/>
        <w:jc w:val="both"/>
        <w:textAlignment w:val="auto"/>
        <w:rPr>
          <w:rFonts w:hint="default" w:ascii="Times New Roman" w:hAnsi="Times New Roman" w:eastAsia="仿宋_GB2312" w:cs="Times New Roman"/>
          <w:color w:val="auto"/>
          <w:sz w:val="32"/>
          <w:szCs w:val="32"/>
        </w:rPr>
      </w:pPr>
      <w:r>
        <w:rPr>
          <w:rFonts w:hint="default" w:ascii="Times New Roman" w:hAnsi="Times New Roman" w:eastAsia="仿宋_GB2312" w:cs="Times New Roman"/>
          <w:color w:val="auto"/>
          <w:sz w:val="32"/>
          <w:szCs w:val="32"/>
          <w:lang w:val="en-US" w:eastAsia="zh-CN"/>
        </w:rPr>
        <w:t>5</w:t>
      </w:r>
      <w:r>
        <w:rPr>
          <w:rFonts w:hint="default" w:ascii="Times New Roman" w:hAnsi="Times New Roman" w:eastAsia="仿宋_GB2312" w:cs="Times New Roman"/>
          <w:color w:val="auto"/>
          <w:sz w:val="32"/>
          <w:szCs w:val="32"/>
        </w:rPr>
        <w:t>、卫生健康支出（类）行政事业单位医疗（款）事业单位医疗（项）。</w:t>
      </w:r>
    </w:p>
    <w:p w14:paraId="6D40D851">
      <w:pPr>
        <w:pStyle w:val="13"/>
        <w:keepNext w:val="0"/>
        <w:keepLines w:val="0"/>
        <w:pageBreakBefore w:val="0"/>
        <w:widowControl w:val="0"/>
        <w:kinsoku/>
        <w:wordWrap/>
        <w:overflowPunct/>
        <w:topLinePunct w:val="0"/>
        <w:bidi w:val="0"/>
        <w:snapToGrid/>
        <w:spacing w:line="600" w:lineRule="exact"/>
        <w:ind w:left="0" w:leftChars="0" w:firstLine="640" w:firstLineChars="200"/>
        <w:jc w:val="both"/>
        <w:textAlignment w:val="auto"/>
        <w:rPr>
          <w:rFonts w:hint="default" w:ascii="Times New Roman" w:hAnsi="Times New Roman" w:eastAsia="仿宋_GB2312" w:cs="Times New Roman"/>
          <w:color w:val="auto"/>
          <w:sz w:val="32"/>
          <w:szCs w:val="32"/>
        </w:rPr>
      </w:pPr>
      <w:r>
        <w:rPr>
          <w:rFonts w:hint="default" w:ascii="Times New Roman" w:hAnsi="Times New Roman" w:eastAsia="仿宋_GB2312" w:cs="Times New Roman"/>
          <w:color w:val="auto"/>
          <w:sz w:val="32"/>
          <w:szCs w:val="32"/>
        </w:rPr>
        <w:t>年初预算为</w:t>
      </w:r>
      <w:r>
        <w:rPr>
          <w:rFonts w:hint="default" w:ascii="Times New Roman" w:hAnsi="Times New Roman" w:eastAsia="仿宋_GB2312" w:cs="Times New Roman"/>
          <w:color w:val="auto"/>
          <w:sz w:val="32"/>
          <w:szCs w:val="32"/>
          <w:lang w:val="en-US" w:eastAsia="zh-CN"/>
        </w:rPr>
        <w:t>104.40</w:t>
      </w:r>
      <w:r>
        <w:rPr>
          <w:rFonts w:hint="default" w:ascii="Times New Roman" w:hAnsi="Times New Roman" w:eastAsia="仿宋_GB2312" w:cs="Times New Roman"/>
          <w:color w:val="auto"/>
          <w:sz w:val="32"/>
          <w:szCs w:val="32"/>
        </w:rPr>
        <w:t>万元，支出决算为</w:t>
      </w:r>
      <w:r>
        <w:rPr>
          <w:rFonts w:hint="default" w:ascii="Times New Roman" w:hAnsi="Times New Roman" w:eastAsia="仿宋_GB2312" w:cs="Times New Roman"/>
          <w:color w:val="auto"/>
          <w:sz w:val="32"/>
          <w:szCs w:val="32"/>
          <w:lang w:val="en-US" w:eastAsia="zh-CN"/>
        </w:rPr>
        <w:t>103.39</w:t>
      </w:r>
      <w:r>
        <w:rPr>
          <w:rFonts w:hint="default" w:ascii="Times New Roman" w:hAnsi="Times New Roman" w:eastAsia="仿宋_GB2312" w:cs="Times New Roman"/>
          <w:color w:val="auto"/>
          <w:sz w:val="32"/>
          <w:szCs w:val="32"/>
        </w:rPr>
        <w:t>万元，完成年初预算的</w:t>
      </w:r>
      <w:r>
        <w:rPr>
          <w:rFonts w:hint="default" w:ascii="Times New Roman" w:hAnsi="Times New Roman" w:eastAsia="仿宋_GB2312" w:cs="Times New Roman"/>
          <w:color w:val="auto"/>
          <w:sz w:val="32"/>
          <w:szCs w:val="32"/>
          <w:lang w:val="en-US" w:eastAsia="zh-CN"/>
        </w:rPr>
        <w:t>99.03</w:t>
      </w:r>
      <w:r>
        <w:rPr>
          <w:rFonts w:hint="default" w:ascii="Times New Roman" w:hAnsi="Times New Roman" w:eastAsia="仿宋_GB2312" w:cs="Times New Roman"/>
          <w:color w:val="auto"/>
          <w:sz w:val="32"/>
          <w:szCs w:val="32"/>
        </w:rPr>
        <w:t>%，决算数小于年初预算数的主要原因是：</w:t>
      </w:r>
      <w:r>
        <w:rPr>
          <w:rFonts w:hint="default" w:ascii="Times New Roman" w:hAnsi="Times New Roman" w:eastAsia="仿宋_GB2312" w:cs="Times New Roman"/>
          <w:color w:val="auto"/>
          <w:sz w:val="32"/>
          <w:szCs w:val="32"/>
          <w:lang w:eastAsia="zh-CN"/>
        </w:rPr>
        <w:t>本年度增加退休人员。</w:t>
      </w:r>
    </w:p>
    <w:p w14:paraId="20F19F92">
      <w:pPr>
        <w:pStyle w:val="13"/>
        <w:keepNext w:val="0"/>
        <w:keepLines w:val="0"/>
        <w:pageBreakBefore w:val="0"/>
        <w:widowControl w:val="0"/>
        <w:kinsoku/>
        <w:wordWrap/>
        <w:overflowPunct/>
        <w:topLinePunct w:val="0"/>
        <w:bidi w:val="0"/>
        <w:snapToGrid/>
        <w:spacing w:line="600" w:lineRule="exact"/>
        <w:ind w:left="0" w:leftChars="0" w:firstLine="640" w:firstLineChars="200"/>
        <w:jc w:val="both"/>
        <w:textAlignment w:val="auto"/>
        <w:rPr>
          <w:rFonts w:hint="default" w:ascii="Times New Roman" w:hAnsi="Times New Roman" w:eastAsia="仿宋_GB2312" w:cs="Times New Roman"/>
          <w:color w:val="auto"/>
          <w:sz w:val="32"/>
          <w:szCs w:val="32"/>
        </w:rPr>
      </w:pPr>
      <w:r>
        <w:rPr>
          <w:rFonts w:hint="default" w:ascii="Times New Roman" w:hAnsi="Times New Roman" w:eastAsia="仿宋_GB2312" w:cs="Times New Roman"/>
          <w:color w:val="auto"/>
          <w:sz w:val="32"/>
          <w:szCs w:val="32"/>
          <w:lang w:val="en-US" w:eastAsia="zh-CN"/>
        </w:rPr>
        <w:t>6、</w:t>
      </w:r>
      <w:r>
        <w:rPr>
          <w:rFonts w:hint="default" w:ascii="Times New Roman" w:hAnsi="Times New Roman" w:eastAsia="仿宋_GB2312" w:cs="Times New Roman"/>
          <w:color w:val="auto"/>
          <w:sz w:val="32"/>
          <w:szCs w:val="32"/>
        </w:rPr>
        <w:t>城乡社区支出（类）城乡社区管理事务（款）其他城乡社区管理事务支出（项）。</w:t>
      </w:r>
    </w:p>
    <w:p w14:paraId="0446F146">
      <w:pPr>
        <w:pStyle w:val="13"/>
        <w:keepNext w:val="0"/>
        <w:keepLines w:val="0"/>
        <w:pageBreakBefore w:val="0"/>
        <w:widowControl w:val="0"/>
        <w:kinsoku/>
        <w:wordWrap/>
        <w:overflowPunct/>
        <w:topLinePunct w:val="0"/>
        <w:bidi w:val="0"/>
        <w:snapToGrid/>
        <w:spacing w:line="600" w:lineRule="exact"/>
        <w:ind w:left="0" w:leftChars="0" w:firstLine="640" w:firstLineChars="200"/>
        <w:jc w:val="both"/>
        <w:textAlignment w:val="auto"/>
        <w:rPr>
          <w:rFonts w:hint="default" w:ascii="Times New Roman" w:hAnsi="Times New Roman" w:eastAsia="仿宋_GB2312" w:cs="Times New Roman"/>
          <w:color w:val="auto"/>
          <w:sz w:val="32"/>
          <w:szCs w:val="32"/>
          <w:lang w:eastAsia="zh-CN"/>
        </w:rPr>
      </w:pPr>
      <w:r>
        <w:rPr>
          <w:rFonts w:hint="default" w:ascii="Times New Roman" w:hAnsi="Times New Roman" w:eastAsia="仿宋_GB2312" w:cs="Times New Roman"/>
          <w:color w:val="auto"/>
          <w:sz w:val="32"/>
          <w:szCs w:val="32"/>
        </w:rPr>
        <w:t>年初预算为</w:t>
      </w:r>
      <w:r>
        <w:rPr>
          <w:rFonts w:hint="default" w:ascii="Times New Roman" w:hAnsi="Times New Roman" w:eastAsia="仿宋_GB2312" w:cs="Times New Roman"/>
          <w:color w:val="auto"/>
          <w:sz w:val="32"/>
          <w:szCs w:val="32"/>
          <w:lang w:val="en-US" w:eastAsia="zh-CN"/>
        </w:rPr>
        <w:t>0</w:t>
      </w:r>
      <w:r>
        <w:rPr>
          <w:rFonts w:hint="default" w:ascii="Times New Roman" w:hAnsi="Times New Roman" w:eastAsia="仿宋_GB2312" w:cs="Times New Roman"/>
          <w:color w:val="auto"/>
          <w:sz w:val="32"/>
          <w:szCs w:val="32"/>
        </w:rPr>
        <w:t>万元，支出决算为</w:t>
      </w:r>
      <w:r>
        <w:rPr>
          <w:rFonts w:hint="default" w:ascii="Times New Roman" w:hAnsi="Times New Roman" w:eastAsia="仿宋_GB2312" w:cs="Times New Roman"/>
          <w:color w:val="auto"/>
          <w:sz w:val="32"/>
          <w:szCs w:val="32"/>
          <w:lang w:val="en-US" w:eastAsia="zh-CN"/>
        </w:rPr>
        <w:t>10.46</w:t>
      </w:r>
      <w:r>
        <w:rPr>
          <w:rFonts w:hint="default" w:ascii="Times New Roman" w:hAnsi="Times New Roman" w:eastAsia="仿宋_GB2312" w:cs="Times New Roman"/>
          <w:color w:val="auto"/>
          <w:sz w:val="32"/>
          <w:szCs w:val="32"/>
        </w:rPr>
        <w:t>万元，决算数</w:t>
      </w:r>
      <w:r>
        <w:rPr>
          <w:rFonts w:hint="default" w:ascii="Times New Roman" w:hAnsi="Times New Roman" w:eastAsia="仿宋_GB2312" w:cs="Times New Roman"/>
          <w:color w:val="auto"/>
          <w:sz w:val="32"/>
          <w:szCs w:val="32"/>
          <w:lang w:eastAsia="zh-CN"/>
        </w:rPr>
        <w:t>大</w:t>
      </w:r>
      <w:r>
        <w:rPr>
          <w:rFonts w:hint="default" w:ascii="Times New Roman" w:hAnsi="Times New Roman" w:eastAsia="仿宋_GB2312" w:cs="Times New Roman"/>
          <w:color w:val="auto"/>
          <w:sz w:val="32"/>
          <w:szCs w:val="32"/>
        </w:rPr>
        <w:t>于年初预算数的主要原因是：</w:t>
      </w:r>
      <w:r>
        <w:rPr>
          <w:rFonts w:hint="default" w:ascii="Times New Roman" w:hAnsi="Times New Roman" w:eastAsia="仿宋_GB2312" w:cs="Times New Roman"/>
          <w:color w:val="auto"/>
          <w:sz w:val="32"/>
          <w:szCs w:val="32"/>
          <w:lang w:eastAsia="zh-CN"/>
        </w:rPr>
        <w:t>使用非税收入。</w:t>
      </w:r>
    </w:p>
    <w:p w14:paraId="198A0822">
      <w:pPr>
        <w:keepNext w:val="0"/>
        <w:keepLines w:val="0"/>
        <w:pageBreakBefore w:val="0"/>
        <w:widowControl w:val="0"/>
        <w:numPr>
          <w:ilvl w:val="0"/>
          <w:numId w:val="1"/>
        </w:numPr>
        <w:kinsoku/>
        <w:wordWrap/>
        <w:topLinePunct w:val="0"/>
        <w:autoSpaceDE w:val="0"/>
        <w:autoSpaceDN w:val="0"/>
        <w:bidi w:val="0"/>
        <w:adjustRightInd w:val="0"/>
        <w:snapToGrid/>
        <w:spacing w:line="600" w:lineRule="exact"/>
        <w:ind w:left="0" w:leftChars="0" w:firstLine="640" w:firstLineChars="200"/>
        <w:jc w:val="both"/>
        <w:textAlignment w:val="auto"/>
        <w:rPr>
          <w:rFonts w:hint="default" w:ascii="Times New Roman" w:hAnsi="Times New Roman" w:eastAsia="仿宋_GB2312" w:cs="Times New Roman"/>
          <w:color w:val="auto"/>
          <w:sz w:val="32"/>
          <w:szCs w:val="32"/>
        </w:rPr>
      </w:pPr>
      <w:r>
        <w:rPr>
          <w:rFonts w:hint="default" w:ascii="Times New Roman" w:hAnsi="Times New Roman" w:eastAsia="仿宋_GB2312" w:cs="Times New Roman"/>
          <w:color w:val="auto"/>
          <w:sz w:val="32"/>
          <w:szCs w:val="32"/>
        </w:rPr>
        <w:t>城乡社区支出（类）城乡社区规划与管理（款） 城乡社区规划与管理（项）。</w:t>
      </w:r>
    </w:p>
    <w:p w14:paraId="64EB1749">
      <w:pPr>
        <w:pStyle w:val="13"/>
        <w:keepNext w:val="0"/>
        <w:keepLines w:val="0"/>
        <w:pageBreakBefore w:val="0"/>
        <w:widowControl w:val="0"/>
        <w:kinsoku/>
        <w:wordWrap/>
        <w:overflowPunct/>
        <w:topLinePunct w:val="0"/>
        <w:bidi w:val="0"/>
        <w:snapToGrid/>
        <w:spacing w:line="600" w:lineRule="exact"/>
        <w:ind w:left="0" w:leftChars="0" w:firstLine="640" w:firstLineChars="200"/>
        <w:jc w:val="both"/>
        <w:textAlignment w:val="auto"/>
        <w:rPr>
          <w:rFonts w:hint="default" w:ascii="Times New Roman" w:hAnsi="Times New Roman" w:eastAsia="仿宋_GB2312" w:cs="Times New Roman"/>
          <w:color w:val="auto"/>
          <w:sz w:val="32"/>
          <w:szCs w:val="32"/>
          <w:lang w:eastAsia="zh-CN"/>
        </w:rPr>
      </w:pPr>
      <w:r>
        <w:rPr>
          <w:rFonts w:hint="default" w:ascii="Times New Roman" w:hAnsi="Times New Roman" w:eastAsia="仿宋_GB2312" w:cs="Times New Roman"/>
          <w:color w:val="auto"/>
          <w:sz w:val="32"/>
          <w:szCs w:val="32"/>
        </w:rPr>
        <w:t>年初预算为</w:t>
      </w:r>
      <w:r>
        <w:rPr>
          <w:rFonts w:hint="default" w:ascii="Times New Roman" w:hAnsi="Times New Roman" w:eastAsia="仿宋_GB2312" w:cs="Times New Roman"/>
          <w:color w:val="auto"/>
          <w:sz w:val="32"/>
          <w:szCs w:val="32"/>
          <w:lang w:val="en-US" w:eastAsia="zh-CN"/>
        </w:rPr>
        <w:t>41</w:t>
      </w:r>
      <w:r>
        <w:rPr>
          <w:rFonts w:hint="default" w:ascii="Times New Roman" w:hAnsi="Times New Roman" w:eastAsia="仿宋_GB2312" w:cs="Times New Roman"/>
          <w:color w:val="auto"/>
          <w:sz w:val="32"/>
          <w:szCs w:val="32"/>
        </w:rPr>
        <w:t>万元，支出决算为</w:t>
      </w:r>
      <w:r>
        <w:rPr>
          <w:rFonts w:hint="default" w:ascii="Times New Roman" w:hAnsi="Times New Roman" w:eastAsia="仿宋_GB2312" w:cs="Times New Roman"/>
          <w:color w:val="auto"/>
          <w:sz w:val="32"/>
          <w:szCs w:val="32"/>
          <w:lang w:val="en-US" w:eastAsia="zh-CN"/>
        </w:rPr>
        <w:t>36.92</w:t>
      </w:r>
      <w:r>
        <w:rPr>
          <w:rFonts w:hint="default" w:ascii="Times New Roman" w:hAnsi="Times New Roman" w:eastAsia="仿宋_GB2312" w:cs="Times New Roman"/>
          <w:color w:val="auto"/>
          <w:sz w:val="32"/>
          <w:szCs w:val="32"/>
        </w:rPr>
        <w:t>万元，完成年初预算的</w:t>
      </w:r>
      <w:r>
        <w:rPr>
          <w:rFonts w:hint="default" w:ascii="Times New Roman" w:hAnsi="Times New Roman" w:eastAsia="仿宋_GB2312" w:cs="Times New Roman"/>
          <w:color w:val="auto"/>
          <w:sz w:val="32"/>
          <w:szCs w:val="32"/>
          <w:lang w:val="en-US" w:eastAsia="zh-CN"/>
        </w:rPr>
        <w:t>90.05</w:t>
      </w:r>
      <w:r>
        <w:rPr>
          <w:rFonts w:hint="default" w:ascii="Times New Roman" w:hAnsi="Times New Roman" w:eastAsia="仿宋_GB2312" w:cs="Times New Roman"/>
          <w:color w:val="auto"/>
          <w:sz w:val="32"/>
          <w:szCs w:val="32"/>
        </w:rPr>
        <w:t>%，决算数小于年初预算数的主要原因是：</w:t>
      </w:r>
      <w:r>
        <w:rPr>
          <w:rFonts w:hint="default" w:ascii="Times New Roman" w:hAnsi="Times New Roman" w:eastAsia="仿宋_GB2312" w:cs="Times New Roman"/>
          <w:color w:val="auto"/>
          <w:sz w:val="32"/>
          <w:szCs w:val="32"/>
          <w:lang w:eastAsia="zh-CN"/>
        </w:rPr>
        <w:t>本年度按有关政策厉行节约，严控支出。</w:t>
      </w:r>
    </w:p>
    <w:p w14:paraId="18D3679C">
      <w:pPr>
        <w:keepNext w:val="0"/>
        <w:keepLines w:val="0"/>
        <w:pageBreakBefore w:val="0"/>
        <w:widowControl w:val="0"/>
        <w:numPr>
          <w:ilvl w:val="0"/>
          <w:numId w:val="1"/>
        </w:numPr>
        <w:kinsoku/>
        <w:wordWrap/>
        <w:topLinePunct w:val="0"/>
        <w:autoSpaceDE w:val="0"/>
        <w:autoSpaceDN w:val="0"/>
        <w:bidi w:val="0"/>
        <w:adjustRightInd w:val="0"/>
        <w:snapToGrid/>
        <w:spacing w:line="600" w:lineRule="exact"/>
        <w:ind w:left="0" w:leftChars="0" w:firstLine="640" w:firstLineChars="200"/>
        <w:jc w:val="both"/>
        <w:textAlignment w:val="auto"/>
        <w:rPr>
          <w:rFonts w:hint="default" w:ascii="Times New Roman" w:hAnsi="Times New Roman" w:eastAsia="仿宋_GB2312" w:cs="Times New Roman"/>
          <w:color w:val="auto"/>
          <w:sz w:val="32"/>
          <w:szCs w:val="32"/>
        </w:rPr>
      </w:pPr>
      <w:r>
        <w:rPr>
          <w:rFonts w:hint="default" w:ascii="Times New Roman" w:hAnsi="Times New Roman" w:eastAsia="仿宋_GB2312" w:cs="Times New Roman"/>
          <w:color w:val="auto"/>
          <w:sz w:val="32"/>
          <w:szCs w:val="32"/>
        </w:rPr>
        <w:t>城乡社区支出（类）其他城乡社区支出（款）  其他城乡社区支出（项）。</w:t>
      </w:r>
    </w:p>
    <w:p w14:paraId="0EB59357">
      <w:pPr>
        <w:pStyle w:val="13"/>
        <w:keepNext w:val="0"/>
        <w:keepLines w:val="0"/>
        <w:pageBreakBefore w:val="0"/>
        <w:widowControl w:val="0"/>
        <w:kinsoku/>
        <w:wordWrap/>
        <w:overflowPunct/>
        <w:topLinePunct w:val="0"/>
        <w:bidi w:val="0"/>
        <w:snapToGrid/>
        <w:spacing w:line="600" w:lineRule="exact"/>
        <w:ind w:left="0" w:leftChars="0" w:firstLine="640" w:firstLineChars="200"/>
        <w:jc w:val="both"/>
        <w:textAlignment w:val="auto"/>
        <w:rPr>
          <w:rFonts w:hint="default" w:ascii="Times New Roman" w:hAnsi="Times New Roman" w:eastAsia="仿宋_GB2312" w:cs="Times New Roman"/>
          <w:color w:val="auto"/>
          <w:sz w:val="32"/>
          <w:szCs w:val="32"/>
          <w:lang w:eastAsia="zh-CN"/>
        </w:rPr>
      </w:pPr>
      <w:r>
        <w:rPr>
          <w:rFonts w:hint="default" w:ascii="Times New Roman" w:hAnsi="Times New Roman" w:eastAsia="仿宋_GB2312" w:cs="Times New Roman"/>
          <w:color w:val="auto"/>
          <w:sz w:val="32"/>
          <w:szCs w:val="32"/>
        </w:rPr>
        <w:t>年初预算为</w:t>
      </w:r>
      <w:r>
        <w:rPr>
          <w:rFonts w:hint="default" w:ascii="Times New Roman" w:hAnsi="Times New Roman" w:eastAsia="仿宋_GB2312" w:cs="Times New Roman"/>
          <w:color w:val="auto"/>
          <w:sz w:val="32"/>
          <w:szCs w:val="32"/>
          <w:lang w:val="en-US" w:eastAsia="zh-CN"/>
        </w:rPr>
        <w:t>0</w:t>
      </w:r>
      <w:r>
        <w:rPr>
          <w:rFonts w:hint="default" w:ascii="Times New Roman" w:hAnsi="Times New Roman" w:eastAsia="仿宋_GB2312" w:cs="Times New Roman"/>
          <w:color w:val="auto"/>
          <w:sz w:val="32"/>
          <w:szCs w:val="32"/>
        </w:rPr>
        <w:t>万元，支出决算为</w:t>
      </w:r>
      <w:r>
        <w:rPr>
          <w:rFonts w:hint="default" w:ascii="Times New Roman" w:hAnsi="Times New Roman" w:eastAsia="仿宋_GB2312" w:cs="Times New Roman"/>
          <w:color w:val="auto"/>
          <w:sz w:val="32"/>
          <w:szCs w:val="32"/>
          <w:lang w:val="en-US" w:eastAsia="zh-CN"/>
        </w:rPr>
        <w:t>105.63</w:t>
      </w:r>
      <w:r>
        <w:rPr>
          <w:rFonts w:hint="default" w:ascii="Times New Roman" w:hAnsi="Times New Roman" w:eastAsia="仿宋_GB2312" w:cs="Times New Roman"/>
          <w:color w:val="auto"/>
          <w:sz w:val="32"/>
          <w:szCs w:val="32"/>
        </w:rPr>
        <w:t>万元，决算数</w:t>
      </w:r>
      <w:r>
        <w:rPr>
          <w:rFonts w:hint="default" w:ascii="Times New Roman" w:hAnsi="Times New Roman" w:eastAsia="仿宋_GB2312" w:cs="Times New Roman"/>
          <w:color w:val="auto"/>
          <w:sz w:val="32"/>
          <w:szCs w:val="32"/>
          <w:lang w:eastAsia="zh-CN"/>
        </w:rPr>
        <w:t>大</w:t>
      </w:r>
      <w:r>
        <w:rPr>
          <w:rFonts w:hint="default" w:ascii="Times New Roman" w:hAnsi="Times New Roman" w:eastAsia="仿宋_GB2312" w:cs="Times New Roman"/>
          <w:color w:val="auto"/>
          <w:sz w:val="32"/>
          <w:szCs w:val="32"/>
        </w:rPr>
        <w:t>于年初预算数的主要原因是：</w:t>
      </w:r>
      <w:r>
        <w:rPr>
          <w:rFonts w:hint="default" w:ascii="Times New Roman" w:hAnsi="Times New Roman" w:eastAsia="仿宋_GB2312" w:cs="Times New Roman"/>
          <w:color w:val="auto"/>
          <w:sz w:val="32"/>
          <w:szCs w:val="32"/>
          <w:lang w:eastAsia="zh-CN"/>
        </w:rPr>
        <w:t>使用</w:t>
      </w:r>
      <w:r>
        <w:rPr>
          <w:rFonts w:hint="eastAsia" w:ascii="Times New Roman" w:hAnsi="Times New Roman" w:eastAsia="仿宋_GB2312" w:cs="Times New Roman"/>
          <w:color w:val="auto"/>
          <w:sz w:val="32"/>
          <w:szCs w:val="32"/>
          <w:lang w:eastAsia="zh-CN"/>
        </w:rPr>
        <w:t>了</w:t>
      </w:r>
      <w:r>
        <w:rPr>
          <w:rFonts w:hint="default" w:ascii="Times New Roman" w:hAnsi="Times New Roman" w:eastAsia="仿宋_GB2312" w:cs="Times New Roman"/>
          <w:color w:val="auto"/>
          <w:sz w:val="32"/>
          <w:szCs w:val="32"/>
          <w:lang w:eastAsia="zh-CN"/>
        </w:rPr>
        <w:t>其他资金和财政年中追加</w:t>
      </w:r>
      <w:r>
        <w:rPr>
          <w:rFonts w:hint="eastAsia" w:ascii="Times New Roman" w:hAnsi="Times New Roman" w:eastAsia="仿宋_GB2312" w:cs="Times New Roman"/>
          <w:color w:val="auto"/>
          <w:sz w:val="32"/>
          <w:szCs w:val="32"/>
          <w:lang w:eastAsia="zh-CN"/>
        </w:rPr>
        <w:t>了</w:t>
      </w:r>
      <w:r>
        <w:rPr>
          <w:rFonts w:hint="default" w:ascii="Times New Roman" w:hAnsi="Times New Roman" w:eastAsia="仿宋_GB2312" w:cs="Times New Roman"/>
          <w:color w:val="auto"/>
          <w:sz w:val="32"/>
          <w:szCs w:val="32"/>
          <w:lang w:eastAsia="zh-CN"/>
        </w:rPr>
        <w:t>预算资金。</w:t>
      </w:r>
    </w:p>
    <w:p w14:paraId="0312D92C">
      <w:pPr>
        <w:pStyle w:val="13"/>
        <w:keepNext w:val="0"/>
        <w:keepLines w:val="0"/>
        <w:pageBreakBefore w:val="0"/>
        <w:widowControl w:val="0"/>
        <w:numPr>
          <w:ilvl w:val="0"/>
          <w:numId w:val="0"/>
        </w:numPr>
        <w:kinsoku/>
        <w:wordWrap/>
        <w:overflowPunct/>
        <w:topLinePunct w:val="0"/>
        <w:bidi w:val="0"/>
        <w:snapToGrid/>
        <w:spacing w:line="600" w:lineRule="exact"/>
        <w:ind w:left="0" w:leftChars="0" w:firstLine="640" w:firstLineChars="200"/>
        <w:jc w:val="both"/>
        <w:textAlignment w:val="auto"/>
        <w:rPr>
          <w:rFonts w:hint="default" w:ascii="Times New Roman" w:hAnsi="Times New Roman" w:eastAsia="仿宋_GB2312" w:cs="Times New Roman"/>
          <w:color w:val="auto"/>
          <w:sz w:val="32"/>
          <w:szCs w:val="32"/>
        </w:rPr>
      </w:pPr>
      <w:r>
        <w:rPr>
          <w:rFonts w:hint="default" w:ascii="Times New Roman" w:hAnsi="Times New Roman" w:eastAsia="仿宋_GB2312" w:cs="Times New Roman"/>
          <w:color w:val="auto"/>
          <w:sz w:val="32"/>
          <w:szCs w:val="32"/>
          <w:lang w:val="en-US" w:eastAsia="zh-CN"/>
        </w:rPr>
        <w:t>9、</w:t>
      </w:r>
      <w:r>
        <w:rPr>
          <w:rFonts w:hint="default" w:ascii="Times New Roman" w:hAnsi="Times New Roman" w:eastAsia="仿宋_GB2312" w:cs="Times New Roman"/>
          <w:color w:val="auto"/>
          <w:sz w:val="32"/>
          <w:szCs w:val="32"/>
        </w:rPr>
        <w:t>资源勘探工业信息等支出（类）建筑业（款） 行政运行（项）</w:t>
      </w:r>
    </w:p>
    <w:p w14:paraId="15D9FC0A">
      <w:pPr>
        <w:pStyle w:val="13"/>
        <w:keepNext w:val="0"/>
        <w:keepLines w:val="0"/>
        <w:pageBreakBefore w:val="0"/>
        <w:widowControl w:val="0"/>
        <w:kinsoku/>
        <w:wordWrap/>
        <w:overflowPunct/>
        <w:topLinePunct w:val="0"/>
        <w:bidi w:val="0"/>
        <w:snapToGrid/>
        <w:spacing w:line="600" w:lineRule="exact"/>
        <w:ind w:left="0" w:leftChars="0" w:firstLine="640" w:firstLineChars="200"/>
        <w:jc w:val="both"/>
        <w:textAlignment w:val="auto"/>
        <w:rPr>
          <w:rFonts w:hint="default" w:ascii="Times New Roman" w:hAnsi="Times New Roman" w:eastAsia="仿宋_GB2312" w:cs="Times New Roman"/>
          <w:color w:val="auto"/>
          <w:sz w:val="32"/>
          <w:szCs w:val="32"/>
          <w:lang w:eastAsia="zh-CN"/>
        </w:rPr>
      </w:pPr>
      <w:r>
        <w:rPr>
          <w:rFonts w:hint="default" w:ascii="Times New Roman" w:hAnsi="Times New Roman" w:eastAsia="仿宋_GB2312" w:cs="Times New Roman"/>
          <w:color w:val="auto"/>
          <w:sz w:val="32"/>
          <w:szCs w:val="32"/>
        </w:rPr>
        <w:t>年初预算为</w:t>
      </w:r>
      <w:r>
        <w:rPr>
          <w:rFonts w:hint="default" w:ascii="Times New Roman" w:hAnsi="Times New Roman" w:eastAsia="仿宋_GB2312" w:cs="Times New Roman"/>
          <w:color w:val="auto"/>
          <w:sz w:val="32"/>
          <w:szCs w:val="32"/>
          <w:lang w:val="en-US" w:eastAsia="zh-CN"/>
        </w:rPr>
        <w:t>1454.22</w:t>
      </w:r>
      <w:r>
        <w:rPr>
          <w:rFonts w:hint="default" w:ascii="Times New Roman" w:hAnsi="Times New Roman" w:eastAsia="仿宋_GB2312" w:cs="Times New Roman"/>
          <w:color w:val="auto"/>
          <w:sz w:val="32"/>
          <w:szCs w:val="32"/>
        </w:rPr>
        <w:t>万元，支出决算为</w:t>
      </w:r>
      <w:r>
        <w:rPr>
          <w:rFonts w:hint="default" w:ascii="Times New Roman" w:hAnsi="Times New Roman" w:eastAsia="仿宋_GB2312" w:cs="Times New Roman"/>
          <w:color w:val="auto"/>
          <w:sz w:val="32"/>
          <w:szCs w:val="32"/>
          <w:lang w:val="en-US" w:eastAsia="zh-CN"/>
        </w:rPr>
        <w:t>1411.42</w:t>
      </w:r>
      <w:r>
        <w:rPr>
          <w:rFonts w:hint="default" w:ascii="Times New Roman" w:hAnsi="Times New Roman" w:eastAsia="仿宋_GB2312" w:cs="Times New Roman"/>
          <w:color w:val="auto"/>
          <w:sz w:val="32"/>
          <w:szCs w:val="32"/>
        </w:rPr>
        <w:t>万元，完成年初预算的</w:t>
      </w:r>
      <w:r>
        <w:rPr>
          <w:rFonts w:hint="default" w:ascii="Times New Roman" w:hAnsi="Times New Roman" w:eastAsia="仿宋_GB2312" w:cs="Times New Roman"/>
          <w:color w:val="auto"/>
          <w:sz w:val="32"/>
          <w:szCs w:val="32"/>
          <w:lang w:val="en-US" w:eastAsia="zh-CN"/>
        </w:rPr>
        <w:t>97.06</w:t>
      </w:r>
      <w:r>
        <w:rPr>
          <w:rFonts w:hint="default" w:ascii="Times New Roman" w:hAnsi="Times New Roman" w:eastAsia="仿宋_GB2312" w:cs="Times New Roman"/>
          <w:color w:val="auto"/>
          <w:sz w:val="32"/>
          <w:szCs w:val="32"/>
        </w:rPr>
        <w:t>%，决算数小于年初预算数的主要原因是：</w:t>
      </w:r>
      <w:r>
        <w:rPr>
          <w:rFonts w:hint="default" w:ascii="Times New Roman" w:hAnsi="Times New Roman" w:eastAsia="仿宋_GB2312" w:cs="Times New Roman"/>
          <w:color w:val="auto"/>
          <w:sz w:val="32"/>
          <w:szCs w:val="32"/>
          <w:lang w:eastAsia="zh-CN"/>
        </w:rPr>
        <w:t>本年度按有关政策厉行节约，严控支出。</w:t>
      </w:r>
    </w:p>
    <w:p w14:paraId="756D5F6E">
      <w:pPr>
        <w:pStyle w:val="13"/>
        <w:keepNext w:val="0"/>
        <w:keepLines w:val="0"/>
        <w:pageBreakBefore w:val="0"/>
        <w:widowControl w:val="0"/>
        <w:numPr>
          <w:ilvl w:val="0"/>
          <w:numId w:val="0"/>
        </w:numPr>
        <w:kinsoku/>
        <w:wordWrap/>
        <w:overflowPunct/>
        <w:topLinePunct w:val="0"/>
        <w:bidi w:val="0"/>
        <w:snapToGrid/>
        <w:spacing w:line="600" w:lineRule="exact"/>
        <w:ind w:left="0" w:leftChars="0" w:firstLine="640" w:firstLineChars="200"/>
        <w:jc w:val="both"/>
        <w:textAlignment w:val="auto"/>
        <w:rPr>
          <w:rFonts w:hint="default" w:ascii="Times New Roman" w:hAnsi="Times New Roman" w:eastAsia="仿宋_GB2312" w:cs="Times New Roman"/>
          <w:color w:val="auto"/>
          <w:sz w:val="32"/>
          <w:szCs w:val="32"/>
        </w:rPr>
      </w:pPr>
      <w:r>
        <w:rPr>
          <w:rFonts w:hint="default" w:ascii="Times New Roman" w:hAnsi="Times New Roman" w:eastAsia="仿宋_GB2312" w:cs="Times New Roman"/>
          <w:color w:val="auto"/>
          <w:sz w:val="32"/>
          <w:szCs w:val="32"/>
          <w:lang w:val="en-US" w:eastAsia="zh-CN"/>
        </w:rPr>
        <w:t>10、</w:t>
      </w:r>
      <w:r>
        <w:rPr>
          <w:rFonts w:hint="default" w:ascii="Times New Roman" w:hAnsi="Times New Roman" w:eastAsia="仿宋_GB2312" w:cs="Times New Roman"/>
          <w:color w:val="auto"/>
          <w:sz w:val="32"/>
          <w:szCs w:val="32"/>
        </w:rPr>
        <w:t>住房保障支出（类）住房改革支出（款）住房公积金（项）</w:t>
      </w:r>
    </w:p>
    <w:p w14:paraId="6B867DD7">
      <w:pPr>
        <w:pStyle w:val="13"/>
        <w:keepNext w:val="0"/>
        <w:keepLines w:val="0"/>
        <w:pageBreakBefore w:val="0"/>
        <w:widowControl w:val="0"/>
        <w:kinsoku/>
        <w:wordWrap/>
        <w:overflowPunct/>
        <w:topLinePunct w:val="0"/>
        <w:bidi w:val="0"/>
        <w:snapToGrid/>
        <w:spacing w:line="600" w:lineRule="exact"/>
        <w:ind w:left="0" w:leftChars="0" w:firstLine="640" w:firstLineChars="200"/>
        <w:jc w:val="both"/>
        <w:textAlignment w:val="auto"/>
        <w:rPr>
          <w:rFonts w:hint="default" w:ascii="Times New Roman" w:hAnsi="Times New Roman" w:eastAsia="仿宋_GB2312" w:cs="Times New Roman"/>
          <w:color w:val="auto"/>
          <w:sz w:val="32"/>
          <w:szCs w:val="32"/>
          <w:lang w:val="en-US" w:eastAsia="zh-CN"/>
        </w:rPr>
      </w:pPr>
      <w:r>
        <w:rPr>
          <w:rFonts w:hint="default" w:ascii="Times New Roman" w:hAnsi="Times New Roman" w:eastAsia="仿宋_GB2312" w:cs="Times New Roman"/>
          <w:color w:val="auto"/>
          <w:sz w:val="32"/>
          <w:szCs w:val="32"/>
        </w:rPr>
        <w:t>年初预算为</w:t>
      </w:r>
      <w:r>
        <w:rPr>
          <w:rFonts w:hint="default" w:ascii="Times New Roman" w:hAnsi="Times New Roman" w:eastAsia="仿宋_GB2312" w:cs="Times New Roman"/>
          <w:color w:val="auto"/>
          <w:sz w:val="32"/>
          <w:szCs w:val="32"/>
          <w:lang w:val="en-US" w:eastAsia="zh-CN"/>
        </w:rPr>
        <w:t>129.18</w:t>
      </w:r>
      <w:r>
        <w:rPr>
          <w:rFonts w:hint="default" w:ascii="Times New Roman" w:hAnsi="Times New Roman" w:eastAsia="仿宋_GB2312" w:cs="Times New Roman"/>
          <w:color w:val="auto"/>
          <w:sz w:val="32"/>
          <w:szCs w:val="32"/>
        </w:rPr>
        <w:t>万元，支出决算为</w:t>
      </w:r>
      <w:r>
        <w:rPr>
          <w:rFonts w:hint="default" w:ascii="Times New Roman" w:hAnsi="Times New Roman" w:eastAsia="仿宋_GB2312" w:cs="Times New Roman"/>
          <w:color w:val="auto"/>
          <w:sz w:val="32"/>
          <w:szCs w:val="32"/>
          <w:lang w:val="en-US" w:eastAsia="zh-CN"/>
        </w:rPr>
        <w:t>123.36</w:t>
      </w:r>
      <w:r>
        <w:rPr>
          <w:rFonts w:hint="default" w:ascii="Times New Roman" w:hAnsi="Times New Roman" w:eastAsia="仿宋_GB2312" w:cs="Times New Roman"/>
          <w:color w:val="auto"/>
          <w:sz w:val="32"/>
          <w:szCs w:val="32"/>
        </w:rPr>
        <w:t>万元，完成年初预算的</w:t>
      </w:r>
      <w:r>
        <w:rPr>
          <w:rFonts w:hint="default" w:ascii="Times New Roman" w:hAnsi="Times New Roman" w:eastAsia="仿宋_GB2312" w:cs="Times New Roman"/>
          <w:color w:val="auto"/>
          <w:sz w:val="32"/>
          <w:szCs w:val="32"/>
          <w:lang w:val="en-US" w:eastAsia="zh-CN"/>
        </w:rPr>
        <w:t>95.49</w:t>
      </w:r>
      <w:r>
        <w:rPr>
          <w:rFonts w:hint="default" w:ascii="Times New Roman" w:hAnsi="Times New Roman" w:eastAsia="仿宋_GB2312" w:cs="Times New Roman"/>
          <w:color w:val="auto"/>
          <w:sz w:val="32"/>
          <w:szCs w:val="32"/>
        </w:rPr>
        <w:t>%，决算数小于年初预算数的主要原因是：</w:t>
      </w:r>
      <w:r>
        <w:rPr>
          <w:rFonts w:hint="default" w:ascii="Times New Roman" w:hAnsi="Times New Roman" w:eastAsia="仿宋_GB2312" w:cs="Times New Roman"/>
          <w:color w:val="auto"/>
          <w:sz w:val="32"/>
          <w:szCs w:val="32"/>
          <w:lang w:eastAsia="zh-CN"/>
        </w:rPr>
        <w:t>本年度按有关政策厉行节约，严控支出。</w:t>
      </w:r>
    </w:p>
    <w:p w14:paraId="373E8BA2">
      <w:pPr>
        <w:pStyle w:val="13"/>
        <w:keepNext w:val="0"/>
        <w:keepLines w:val="0"/>
        <w:pageBreakBefore w:val="0"/>
        <w:widowControl w:val="0"/>
        <w:kinsoku/>
        <w:wordWrap/>
        <w:overflowPunct/>
        <w:topLinePunct w:val="0"/>
        <w:bidi w:val="0"/>
        <w:snapToGrid/>
        <w:spacing w:line="600" w:lineRule="exact"/>
        <w:ind w:left="0" w:leftChars="0" w:firstLine="640" w:firstLineChars="200"/>
        <w:jc w:val="both"/>
        <w:textAlignment w:val="auto"/>
        <w:rPr>
          <w:rFonts w:hint="default" w:ascii="黑体" w:hAnsi="黑体" w:eastAsia="黑体" w:cs="黑体"/>
          <w:b w:val="0"/>
          <w:bCs/>
          <w:color w:val="auto"/>
          <w:sz w:val="32"/>
          <w:szCs w:val="32"/>
        </w:rPr>
      </w:pPr>
      <w:r>
        <w:rPr>
          <w:rFonts w:hint="default" w:ascii="黑体" w:hAnsi="黑体" w:eastAsia="黑体" w:cs="黑体"/>
          <w:b w:val="0"/>
          <w:bCs/>
          <w:color w:val="auto"/>
          <w:sz w:val="32"/>
          <w:szCs w:val="32"/>
        </w:rPr>
        <w:t>六、一般公共预算财政拨款基本支出决算情况说明</w:t>
      </w:r>
    </w:p>
    <w:p w14:paraId="293AEB61">
      <w:pPr>
        <w:pStyle w:val="13"/>
        <w:keepNext w:val="0"/>
        <w:keepLines w:val="0"/>
        <w:pageBreakBefore w:val="0"/>
        <w:widowControl w:val="0"/>
        <w:kinsoku/>
        <w:wordWrap/>
        <w:overflowPunct/>
        <w:topLinePunct w:val="0"/>
        <w:bidi w:val="0"/>
        <w:snapToGrid/>
        <w:spacing w:line="600" w:lineRule="exact"/>
        <w:ind w:left="0" w:leftChars="0" w:firstLine="640" w:firstLineChars="200"/>
        <w:jc w:val="both"/>
        <w:textAlignment w:val="auto"/>
        <w:rPr>
          <w:rFonts w:hint="default" w:ascii="Times New Roman" w:hAnsi="Times New Roman" w:eastAsia="仿宋_GB2312" w:cs="Times New Roman"/>
          <w:color w:val="auto"/>
          <w:sz w:val="32"/>
          <w:szCs w:val="32"/>
        </w:rPr>
      </w:pPr>
      <w:r>
        <w:rPr>
          <w:rFonts w:hint="default" w:ascii="Times New Roman" w:hAnsi="Times New Roman" w:eastAsia="仿宋_GB2312" w:cs="Times New Roman"/>
          <w:color w:val="auto"/>
          <w:sz w:val="32"/>
          <w:szCs w:val="32"/>
        </w:rPr>
        <w:t>202</w:t>
      </w:r>
      <w:r>
        <w:rPr>
          <w:rFonts w:hint="default" w:ascii="Times New Roman" w:hAnsi="Times New Roman" w:eastAsia="仿宋_GB2312" w:cs="Times New Roman"/>
          <w:color w:val="auto"/>
          <w:sz w:val="32"/>
          <w:szCs w:val="32"/>
          <w:lang w:val="en-US" w:eastAsia="zh-CN"/>
        </w:rPr>
        <w:t>4</w:t>
      </w:r>
      <w:r>
        <w:rPr>
          <w:rFonts w:hint="default" w:ascii="Times New Roman" w:hAnsi="Times New Roman" w:eastAsia="仿宋_GB2312" w:cs="Times New Roman"/>
          <w:color w:val="auto"/>
          <w:sz w:val="32"/>
          <w:szCs w:val="32"/>
        </w:rPr>
        <w:t>年度</w:t>
      </w:r>
      <w:r>
        <w:rPr>
          <w:rFonts w:hint="default" w:ascii="Times New Roman" w:hAnsi="Times New Roman" w:eastAsia="仿宋_GB2312" w:cs="Times New Roman"/>
          <w:color w:val="auto"/>
          <w:sz w:val="32"/>
          <w:szCs w:val="32"/>
          <w:lang w:eastAsia="zh-CN"/>
        </w:rPr>
        <w:t>一般公共预算</w:t>
      </w:r>
      <w:r>
        <w:rPr>
          <w:rFonts w:hint="default" w:ascii="Times New Roman" w:hAnsi="Times New Roman" w:eastAsia="仿宋_GB2312" w:cs="Times New Roman"/>
          <w:color w:val="auto"/>
          <w:sz w:val="32"/>
          <w:szCs w:val="32"/>
        </w:rPr>
        <w:t>财政拨款基本支出</w:t>
      </w:r>
      <w:r>
        <w:rPr>
          <w:rFonts w:hint="default" w:ascii="Times New Roman" w:hAnsi="Times New Roman" w:eastAsia="仿宋_GB2312" w:cs="Times New Roman"/>
          <w:color w:val="auto"/>
          <w:sz w:val="32"/>
          <w:szCs w:val="32"/>
          <w:lang w:val="en-US" w:eastAsia="zh-CN"/>
        </w:rPr>
        <w:t>1946.13</w:t>
      </w:r>
      <w:r>
        <w:rPr>
          <w:rFonts w:hint="default" w:ascii="Times New Roman" w:hAnsi="Times New Roman" w:eastAsia="仿宋_GB2312" w:cs="Times New Roman"/>
          <w:color w:val="auto"/>
          <w:sz w:val="32"/>
          <w:szCs w:val="32"/>
        </w:rPr>
        <w:t>万元，其中：</w:t>
      </w:r>
    </w:p>
    <w:p w14:paraId="107E539E">
      <w:pPr>
        <w:pStyle w:val="13"/>
        <w:keepNext w:val="0"/>
        <w:keepLines w:val="0"/>
        <w:pageBreakBefore w:val="0"/>
        <w:widowControl w:val="0"/>
        <w:kinsoku/>
        <w:wordWrap/>
        <w:overflowPunct/>
        <w:topLinePunct w:val="0"/>
        <w:bidi w:val="0"/>
        <w:snapToGrid/>
        <w:spacing w:line="600" w:lineRule="exact"/>
        <w:ind w:left="0" w:leftChars="0" w:firstLine="643" w:firstLineChars="200"/>
        <w:jc w:val="both"/>
        <w:textAlignment w:val="auto"/>
        <w:rPr>
          <w:rFonts w:hint="default" w:ascii="Times New Roman" w:hAnsi="Times New Roman" w:eastAsia="仿宋_GB2312" w:cs="Times New Roman"/>
          <w:color w:val="auto"/>
          <w:sz w:val="32"/>
          <w:szCs w:val="32"/>
          <w:lang w:eastAsia="zh-CN"/>
        </w:rPr>
      </w:pPr>
      <w:r>
        <w:rPr>
          <w:rFonts w:hint="default" w:ascii="Times New Roman" w:hAnsi="Times New Roman" w:eastAsia="仿宋_GB2312" w:cs="Times New Roman"/>
          <w:b/>
          <w:bCs/>
          <w:color w:val="auto"/>
          <w:sz w:val="32"/>
          <w:szCs w:val="32"/>
        </w:rPr>
        <w:t>人员经费</w:t>
      </w:r>
      <w:r>
        <w:rPr>
          <w:rFonts w:hint="default" w:ascii="Times New Roman" w:hAnsi="Times New Roman" w:eastAsia="仿宋_GB2312" w:cs="Times New Roman"/>
          <w:color w:val="auto"/>
          <w:sz w:val="32"/>
          <w:szCs w:val="32"/>
          <w:lang w:val="en-US" w:eastAsia="zh-CN"/>
        </w:rPr>
        <w:t>1834.54</w:t>
      </w:r>
      <w:r>
        <w:rPr>
          <w:rFonts w:hint="default" w:ascii="Times New Roman" w:hAnsi="Times New Roman" w:eastAsia="仿宋_GB2312" w:cs="Times New Roman"/>
          <w:color w:val="auto"/>
          <w:sz w:val="32"/>
          <w:szCs w:val="32"/>
        </w:rPr>
        <w:t>万元，占基本支出的</w:t>
      </w:r>
      <w:r>
        <w:rPr>
          <w:rFonts w:hint="default" w:ascii="Times New Roman" w:hAnsi="Times New Roman" w:eastAsia="仿宋_GB2312" w:cs="Times New Roman"/>
          <w:color w:val="auto"/>
          <w:sz w:val="32"/>
          <w:szCs w:val="32"/>
          <w:lang w:val="en-US" w:eastAsia="zh-CN"/>
        </w:rPr>
        <w:t>94.27</w:t>
      </w:r>
      <w:r>
        <w:rPr>
          <w:rFonts w:hint="default" w:ascii="Times New Roman" w:hAnsi="Times New Roman" w:eastAsia="仿宋_GB2312" w:cs="Times New Roman"/>
          <w:color w:val="auto"/>
          <w:sz w:val="32"/>
          <w:szCs w:val="32"/>
        </w:rPr>
        <w:t>%,主要包括基本工资、津贴补贴、奖金、伙食补助费</w:t>
      </w:r>
      <w:r>
        <w:rPr>
          <w:rFonts w:hint="default" w:ascii="Times New Roman" w:hAnsi="Times New Roman" w:eastAsia="仿宋_GB2312" w:cs="Times New Roman"/>
          <w:color w:val="auto"/>
          <w:sz w:val="32"/>
          <w:szCs w:val="32"/>
          <w:lang w:eastAsia="zh-CN"/>
        </w:rPr>
        <w:t>、绩效工资、机关事业单位基本养老保险缴费、职工基本医疗保险缴费、其他社会保障费、住房公积金、退休费、生活补助、医疗费补助、其他对个人和家庭补助。</w:t>
      </w:r>
    </w:p>
    <w:p w14:paraId="48A9DFBB">
      <w:pPr>
        <w:keepNext w:val="0"/>
        <w:keepLines w:val="0"/>
        <w:pageBreakBefore w:val="0"/>
        <w:widowControl w:val="0"/>
        <w:kinsoku/>
        <w:wordWrap/>
        <w:overflowPunct/>
        <w:topLinePunct w:val="0"/>
        <w:autoSpaceDE w:val="0"/>
        <w:autoSpaceDN w:val="0"/>
        <w:bidi w:val="0"/>
        <w:adjustRightInd w:val="0"/>
        <w:snapToGrid/>
        <w:spacing w:line="600" w:lineRule="exact"/>
        <w:ind w:left="0" w:leftChars="0" w:firstLine="643" w:firstLineChars="200"/>
        <w:jc w:val="both"/>
        <w:textAlignment w:val="auto"/>
        <w:rPr>
          <w:rFonts w:hint="default" w:ascii="Times New Roman" w:hAnsi="Times New Roman" w:eastAsia="仿宋_GB2312" w:cs="Times New Roman"/>
          <w:b w:val="0"/>
          <w:bCs/>
          <w:color w:val="auto"/>
          <w:sz w:val="32"/>
          <w:szCs w:val="32"/>
        </w:rPr>
      </w:pPr>
      <w:r>
        <w:rPr>
          <w:rFonts w:hint="default" w:ascii="Times New Roman" w:hAnsi="Times New Roman" w:eastAsia="仿宋_GB2312" w:cs="Times New Roman"/>
          <w:b/>
          <w:bCs/>
          <w:color w:val="auto"/>
          <w:sz w:val="32"/>
          <w:szCs w:val="32"/>
        </w:rPr>
        <w:t>公用经费</w:t>
      </w:r>
      <w:r>
        <w:rPr>
          <w:rFonts w:hint="default" w:ascii="Times New Roman" w:hAnsi="Times New Roman" w:eastAsia="仿宋_GB2312" w:cs="Times New Roman"/>
          <w:color w:val="auto"/>
          <w:sz w:val="32"/>
          <w:szCs w:val="32"/>
          <w:lang w:val="en-US" w:eastAsia="zh-CN"/>
        </w:rPr>
        <w:t>111.59</w:t>
      </w:r>
      <w:r>
        <w:rPr>
          <w:rFonts w:hint="default" w:ascii="Times New Roman" w:hAnsi="Times New Roman" w:eastAsia="仿宋_GB2312" w:cs="Times New Roman"/>
          <w:color w:val="auto"/>
          <w:sz w:val="32"/>
          <w:szCs w:val="32"/>
        </w:rPr>
        <w:t>万元，占基本支出的</w:t>
      </w:r>
      <w:r>
        <w:rPr>
          <w:rFonts w:hint="default" w:ascii="Times New Roman" w:hAnsi="Times New Roman" w:eastAsia="仿宋_GB2312" w:cs="Times New Roman"/>
          <w:color w:val="auto"/>
          <w:sz w:val="32"/>
          <w:szCs w:val="32"/>
          <w:lang w:val="en-US" w:eastAsia="zh-CN"/>
        </w:rPr>
        <w:t>5.73</w:t>
      </w:r>
      <w:r>
        <w:rPr>
          <w:rFonts w:hint="default" w:ascii="Times New Roman" w:hAnsi="Times New Roman" w:eastAsia="仿宋_GB2312" w:cs="Times New Roman"/>
          <w:color w:val="auto"/>
          <w:sz w:val="32"/>
          <w:szCs w:val="32"/>
        </w:rPr>
        <w:t>%，主要包括办公费、印刷费、</w:t>
      </w:r>
      <w:r>
        <w:rPr>
          <w:rFonts w:hint="default" w:ascii="Times New Roman" w:hAnsi="Times New Roman" w:eastAsia="仿宋_GB2312" w:cs="Times New Roman"/>
          <w:color w:val="auto"/>
          <w:sz w:val="32"/>
          <w:szCs w:val="32"/>
          <w:lang w:eastAsia="zh-CN"/>
        </w:rPr>
        <w:t>邮电费、电费、物业管理费、差旅费、维修（护）费、培训费、劳务费、工会经费、福利费、其他交通费用、其他商品和服务支出、办公设备购置费。</w:t>
      </w:r>
    </w:p>
    <w:p w14:paraId="238B2762">
      <w:pPr>
        <w:pStyle w:val="13"/>
        <w:keepNext w:val="0"/>
        <w:keepLines w:val="0"/>
        <w:pageBreakBefore w:val="0"/>
        <w:widowControl w:val="0"/>
        <w:kinsoku/>
        <w:wordWrap/>
        <w:overflowPunct/>
        <w:topLinePunct w:val="0"/>
        <w:bidi w:val="0"/>
        <w:snapToGrid/>
        <w:spacing w:line="600" w:lineRule="exact"/>
        <w:ind w:left="0" w:leftChars="0" w:firstLine="640" w:firstLineChars="200"/>
        <w:jc w:val="both"/>
        <w:textAlignment w:val="auto"/>
        <w:rPr>
          <w:rFonts w:hint="default" w:ascii="黑体" w:hAnsi="黑体" w:eastAsia="黑体" w:cs="黑体"/>
          <w:b w:val="0"/>
          <w:bCs/>
          <w:color w:val="auto"/>
          <w:sz w:val="32"/>
          <w:szCs w:val="32"/>
        </w:rPr>
      </w:pPr>
      <w:r>
        <w:rPr>
          <w:rFonts w:hint="default" w:ascii="黑体" w:hAnsi="黑体" w:eastAsia="黑体" w:cs="黑体"/>
          <w:b w:val="0"/>
          <w:bCs/>
          <w:color w:val="auto"/>
          <w:sz w:val="32"/>
          <w:szCs w:val="32"/>
        </w:rPr>
        <w:t>七、政府性基金预算收入支出决算情况</w:t>
      </w:r>
    </w:p>
    <w:p w14:paraId="289657FE">
      <w:pPr>
        <w:pStyle w:val="13"/>
        <w:keepNext w:val="0"/>
        <w:keepLines w:val="0"/>
        <w:pageBreakBefore w:val="0"/>
        <w:widowControl w:val="0"/>
        <w:kinsoku/>
        <w:wordWrap/>
        <w:overflowPunct/>
        <w:topLinePunct w:val="0"/>
        <w:bidi w:val="0"/>
        <w:snapToGrid/>
        <w:spacing w:line="600" w:lineRule="exact"/>
        <w:ind w:left="0" w:leftChars="0" w:firstLine="640" w:firstLineChars="200"/>
        <w:jc w:val="both"/>
        <w:textAlignment w:val="auto"/>
        <w:rPr>
          <w:rFonts w:hint="default" w:ascii="Times New Roman" w:hAnsi="Times New Roman" w:eastAsia="仿宋_GB2312" w:cs="Times New Roman"/>
          <w:color w:val="auto"/>
          <w:sz w:val="32"/>
          <w:szCs w:val="32"/>
        </w:rPr>
      </w:pPr>
      <w:r>
        <w:rPr>
          <w:rFonts w:hint="default" w:ascii="Times New Roman" w:hAnsi="Times New Roman" w:eastAsia="仿宋_GB2312" w:cs="Times New Roman"/>
          <w:color w:val="auto"/>
          <w:sz w:val="32"/>
          <w:szCs w:val="32"/>
        </w:rPr>
        <w:t>202</w:t>
      </w:r>
      <w:r>
        <w:rPr>
          <w:rFonts w:hint="default" w:ascii="Times New Roman" w:hAnsi="Times New Roman" w:eastAsia="仿宋_GB2312" w:cs="Times New Roman"/>
          <w:color w:val="auto"/>
          <w:sz w:val="32"/>
          <w:szCs w:val="32"/>
          <w:lang w:val="en-US" w:eastAsia="zh-CN"/>
        </w:rPr>
        <w:t>4</w:t>
      </w:r>
      <w:r>
        <w:rPr>
          <w:rFonts w:hint="default" w:ascii="Times New Roman" w:hAnsi="Times New Roman" w:eastAsia="仿宋_GB2312" w:cs="Times New Roman"/>
          <w:color w:val="auto"/>
          <w:sz w:val="32"/>
          <w:szCs w:val="32"/>
        </w:rPr>
        <w:t>年度政府性基金预算财政拨款收入</w:t>
      </w:r>
      <w:r>
        <w:rPr>
          <w:rFonts w:hint="default" w:ascii="Times New Roman" w:hAnsi="Times New Roman" w:eastAsia="仿宋_GB2312" w:cs="Times New Roman"/>
          <w:color w:val="auto"/>
          <w:sz w:val="32"/>
          <w:szCs w:val="32"/>
          <w:lang w:val="en-US" w:eastAsia="zh-CN"/>
        </w:rPr>
        <w:t>0</w:t>
      </w:r>
      <w:r>
        <w:rPr>
          <w:rFonts w:hint="default" w:ascii="Times New Roman" w:hAnsi="Times New Roman" w:eastAsia="仿宋_GB2312" w:cs="Times New Roman"/>
          <w:color w:val="auto"/>
          <w:sz w:val="32"/>
          <w:szCs w:val="32"/>
        </w:rPr>
        <w:t>万元；年初结转和结余</w:t>
      </w:r>
      <w:r>
        <w:rPr>
          <w:rFonts w:hint="default" w:ascii="Times New Roman" w:hAnsi="Times New Roman" w:eastAsia="仿宋_GB2312" w:cs="Times New Roman"/>
          <w:color w:val="auto"/>
          <w:sz w:val="32"/>
          <w:szCs w:val="32"/>
          <w:lang w:val="en-US" w:eastAsia="zh-CN"/>
        </w:rPr>
        <w:t>0</w:t>
      </w:r>
      <w:r>
        <w:rPr>
          <w:rFonts w:hint="default" w:ascii="Times New Roman" w:hAnsi="Times New Roman" w:eastAsia="仿宋_GB2312" w:cs="Times New Roman"/>
          <w:color w:val="auto"/>
          <w:sz w:val="32"/>
          <w:szCs w:val="32"/>
        </w:rPr>
        <w:t>万元；支出</w:t>
      </w:r>
      <w:r>
        <w:rPr>
          <w:rFonts w:hint="default" w:ascii="Times New Roman" w:hAnsi="Times New Roman" w:eastAsia="仿宋_GB2312" w:cs="Times New Roman"/>
          <w:color w:val="auto"/>
          <w:sz w:val="32"/>
          <w:szCs w:val="32"/>
          <w:lang w:val="en-US" w:eastAsia="zh-CN"/>
        </w:rPr>
        <w:t>0</w:t>
      </w:r>
      <w:r>
        <w:rPr>
          <w:rFonts w:hint="default" w:ascii="Times New Roman" w:hAnsi="Times New Roman" w:eastAsia="仿宋_GB2312" w:cs="Times New Roman"/>
          <w:color w:val="auto"/>
          <w:sz w:val="32"/>
          <w:szCs w:val="32"/>
        </w:rPr>
        <w:t>万元，其中基本支出</w:t>
      </w:r>
      <w:r>
        <w:rPr>
          <w:rFonts w:hint="default" w:ascii="Times New Roman" w:hAnsi="Times New Roman" w:eastAsia="仿宋_GB2312" w:cs="Times New Roman"/>
          <w:color w:val="auto"/>
          <w:sz w:val="32"/>
          <w:szCs w:val="32"/>
          <w:lang w:val="en-US" w:eastAsia="zh-CN"/>
        </w:rPr>
        <w:t>0</w:t>
      </w:r>
      <w:r>
        <w:rPr>
          <w:rFonts w:hint="default" w:ascii="Times New Roman" w:hAnsi="Times New Roman" w:eastAsia="仿宋_GB2312" w:cs="Times New Roman"/>
          <w:color w:val="auto"/>
          <w:sz w:val="32"/>
          <w:szCs w:val="32"/>
        </w:rPr>
        <w:t>万元，项目支出</w:t>
      </w:r>
      <w:r>
        <w:rPr>
          <w:rFonts w:hint="default" w:ascii="Times New Roman" w:hAnsi="Times New Roman" w:eastAsia="仿宋_GB2312" w:cs="Times New Roman"/>
          <w:color w:val="auto"/>
          <w:sz w:val="32"/>
          <w:szCs w:val="32"/>
          <w:lang w:val="en-US" w:eastAsia="zh-CN"/>
        </w:rPr>
        <w:t>0</w:t>
      </w:r>
      <w:r>
        <w:rPr>
          <w:rFonts w:hint="default" w:ascii="Times New Roman" w:hAnsi="Times New Roman" w:eastAsia="仿宋_GB2312" w:cs="Times New Roman"/>
          <w:color w:val="auto"/>
          <w:sz w:val="32"/>
          <w:szCs w:val="32"/>
        </w:rPr>
        <w:t>万元；年末结转和结余</w:t>
      </w:r>
      <w:r>
        <w:rPr>
          <w:rFonts w:hint="default" w:ascii="Times New Roman" w:hAnsi="Times New Roman" w:eastAsia="仿宋_GB2312" w:cs="Times New Roman"/>
          <w:color w:val="auto"/>
          <w:sz w:val="32"/>
          <w:szCs w:val="32"/>
          <w:lang w:val="en-US" w:eastAsia="zh-CN"/>
        </w:rPr>
        <w:t>0</w:t>
      </w:r>
      <w:r>
        <w:rPr>
          <w:rFonts w:hint="default" w:ascii="Times New Roman" w:hAnsi="Times New Roman" w:eastAsia="仿宋_GB2312" w:cs="Times New Roman"/>
          <w:color w:val="auto"/>
          <w:sz w:val="32"/>
          <w:szCs w:val="32"/>
        </w:rPr>
        <w:t>万元。</w:t>
      </w:r>
      <w:r>
        <w:rPr>
          <w:rFonts w:hint="default" w:ascii="Times New Roman" w:hAnsi="Times New Roman" w:eastAsia="仿宋_GB2312" w:cs="Times New Roman"/>
          <w:color w:val="auto"/>
          <w:sz w:val="32"/>
          <w:szCs w:val="32"/>
          <w:highlight w:val="none"/>
          <w:lang w:eastAsia="zh-CN"/>
        </w:rPr>
        <w:t>因本单位无政府性基金收支。</w:t>
      </w:r>
    </w:p>
    <w:p w14:paraId="28BDC771">
      <w:pPr>
        <w:pStyle w:val="13"/>
        <w:keepNext w:val="0"/>
        <w:keepLines w:val="0"/>
        <w:pageBreakBefore w:val="0"/>
        <w:widowControl w:val="0"/>
        <w:kinsoku/>
        <w:wordWrap/>
        <w:overflowPunct/>
        <w:topLinePunct w:val="0"/>
        <w:bidi w:val="0"/>
        <w:snapToGrid/>
        <w:spacing w:line="600" w:lineRule="exact"/>
        <w:ind w:left="0" w:leftChars="0" w:firstLine="640" w:firstLineChars="200"/>
        <w:jc w:val="both"/>
        <w:textAlignment w:val="auto"/>
        <w:rPr>
          <w:rFonts w:hint="default" w:ascii="黑体" w:hAnsi="黑体" w:eastAsia="黑体" w:cs="黑体"/>
          <w:b w:val="0"/>
          <w:bCs/>
          <w:color w:val="auto"/>
          <w:sz w:val="32"/>
          <w:szCs w:val="32"/>
          <w:lang w:val="en-US" w:eastAsia="zh-CN"/>
        </w:rPr>
      </w:pPr>
      <w:r>
        <w:rPr>
          <w:rFonts w:hint="default" w:ascii="黑体" w:hAnsi="黑体" w:eastAsia="黑体" w:cs="黑体"/>
          <w:b w:val="0"/>
          <w:bCs/>
          <w:color w:val="auto"/>
          <w:sz w:val="32"/>
          <w:szCs w:val="32"/>
          <w:lang w:val="en-US" w:eastAsia="zh-CN"/>
        </w:rPr>
        <w:t>八、国有资本经营预算财政拨款支出决算情况</w:t>
      </w:r>
    </w:p>
    <w:p w14:paraId="035AF045">
      <w:pPr>
        <w:keepNext w:val="0"/>
        <w:keepLines w:val="0"/>
        <w:pageBreakBefore w:val="0"/>
        <w:widowControl w:val="0"/>
        <w:numPr>
          <w:ilvl w:val="0"/>
          <w:numId w:val="0"/>
        </w:numPr>
        <w:kinsoku/>
        <w:wordWrap/>
        <w:overflowPunct/>
        <w:topLinePunct w:val="0"/>
        <w:autoSpaceDE w:val="0"/>
        <w:autoSpaceDN w:val="0"/>
        <w:bidi w:val="0"/>
        <w:adjustRightInd w:val="0"/>
        <w:snapToGrid/>
        <w:spacing w:line="600" w:lineRule="exact"/>
        <w:ind w:left="0" w:leftChars="0" w:firstLine="640" w:firstLineChars="200"/>
        <w:jc w:val="both"/>
        <w:textAlignment w:val="auto"/>
        <w:rPr>
          <w:rFonts w:hint="default" w:ascii="Times New Roman" w:hAnsi="Times New Roman" w:eastAsia="仿宋_GB2312" w:cs="Times New Roman"/>
          <w:b w:val="0"/>
          <w:bCs/>
          <w:color w:val="auto"/>
          <w:sz w:val="32"/>
          <w:szCs w:val="32"/>
        </w:rPr>
      </w:pPr>
      <w:r>
        <w:rPr>
          <w:rFonts w:hint="default" w:ascii="Times New Roman" w:hAnsi="Times New Roman" w:eastAsia="仿宋_GB2312" w:cs="Times New Roman"/>
          <w:color w:val="auto"/>
          <w:kern w:val="0"/>
          <w:sz w:val="32"/>
          <w:szCs w:val="32"/>
          <w:highlight w:val="none"/>
          <w:lang w:val="en-US" w:eastAsia="zh-CN" w:bidi="ar-SA"/>
        </w:rPr>
        <w:t>2024年度国有资本经营预算财政拨款收入0万元；年初结转和结余0万；支出0万元，</w:t>
      </w:r>
      <w:r>
        <w:rPr>
          <w:rFonts w:hint="default" w:ascii="Times New Roman" w:hAnsi="Times New Roman" w:eastAsia="仿宋_GB2312" w:cs="Times New Roman"/>
          <w:i w:val="0"/>
          <w:iCs/>
          <w:color w:val="auto"/>
          <w:kern w:val="0"/>
          <w:sz w:val="32"/>
          <w:szCs w:val="32"/>
          <w:highlight w:val="none"/>
          <w:lang w:val="en-US" w:eastAsia="zh-CN" w:bidi="ar-SA"/>
        </w:rPr>
        <w:t>其中：基本支出0万元，项目支出0万元</w:t>
      </w:r>
      <w:r>
        <w:rPr>
          <w:rFonts w:hint="default" w:ascii="Times New Roman" w:hAnsi="Times New Roman" w:eastAsia="仿宋_GB2312" w:cs="Times New Roman"/>
          <w:color w:val="auto"/>
          <w:kern w:val="0"/>
          <w:sz w:val="32"/>
          <w:szCs w:val="32"/>
          <w:highlight w:val="none"/>
          <w:lang w:val="en-US" w:eastAsia="zh-CN" w:bidi="ar-SA"/>
        </w:rPr>
        <w:t>；年末结转和结余0万元。</w:t>
      </w:r>
      <w:r>
        <w:rPr>
          <w:rFonts w:hint="default" w:ascii="Times New Roman" w:hAnsi="Times New Roman" w:eastAsia="仿宋_GB2312" w:cs="Times New Roman"/>
          <w:color w:val="auto"/>
          <w:kern w:val="0"/>
          <w:sz w:val="32"/>
          <w:szCs w:val="32"/>
          <w:lang w:val="en-US" w:eastAsia="zh-CN" w:bidi="ar-SA"/>
        </w:rPr>
        <w:t>因本单位无国有资本经营预算财政拨款支出。</w:t>
      </w:r>
    </w:p>
    <w:p w14:paraId="5876C252">
      <w:pPr>
        <w:pStyle w:val="13"/>
        <w:keepNext w:val="0"/>
        <w:keepLines w:val="0"/>
        <w:pageBreakBefore w:val="0"/>
        <w:widowControl w:val="0"/>
        <w:kinsoku/>
        <w:wordWrap/>
        <w:overflowPunct/>
        <w:topLinePunct w:val="0"/>
        <w:bidi w:val="0"/>
        <w:snapToGrid/>
        <w:spacing w:line="600" w:lineRule="exact"/>
        <w:ind w:left="0" w:leftChars="0" w:firstLine="640" w:firstLineChars="200"/>
        <w:jc w:val="both"/>
        <w:textAlignment w:val="auto"/>
        <w:rPr>
          <w:rFonts w:hint="default" w:ascii="黑体" w:hAnsi="黑体" w:eastAsia="黑体" w:cs="黑体"/>
          <w:b w:val="0"/>
          <w:bCs/>
          <w:color w:val="auto"/>
          <w:sz w:val="32"/>
          <w:szCs w:val="32"/>
        </w:rPr>
      </w:pPr>
      <w:r>
        <w:rPr>
          <w:rFonts w:hint="default" w:ascii="黑体" w:hAnsi="黑体" w:eastAsia="黑体" w:cs="黑体"/>
          <w:b w:val="0"/>
          <w:bCs/>
          <w:color w:val="auto"/>
          <w:sz w:val="32"/>
          <w:szCs w:val="32"/>
          <w:lang w:eastAsia="zh-CN"/>
        </w:rPr>
        <w:t>九、</w:t>
      </w:r>
      <w:r>
        <w:rPr>
          <w:rFonts w:hint="default" w:ascii="黑体" w:hAnsi="黑体" w:eastAsia="黑体" w:cs="黑体"/>
          <w:b w:val="0"/>
          <w:bCs/>
          <w:color w:val="auto"/>
          <w:sz w:val="32"/>
          <w:szCs w:val="32"/>
        </w:rPr>
        <w:t>财政拨款三公经费支出决算情况说明</w:t>
      </w:r>
    </w:p>
    <w:p w14:paraId="6298EF1D">
      <w:pPr>
        <w:pStyle w:val="13"/>
        <w:keepNext w:val="0"/>
        <w:keepLines w:val="0"/>
        <w:pageBreakBefore w:val="0"/>
        <w:kinsoku/>
        <w:wordWrap/>
        <w:overflowPunct w:val="0"/>
        <w:topLinePunct w:val="0"/>
        <w:autoSpaceDE/>
        <w:autoSpaceDN/>
        <w:bidi w:val="0"/>
        <w:snapToGrid/>
        <w:spacing w:line="600" w:lineRule="exact"/>
        <w:ind w:left="0" w:leftChars="0" w:firstLine="643" w:firstLineChars="200"/>
        <w:jc w:val="both"/>
        <w:textAlignment w:val="auto"/>
        <w:rPr>
          <w:rFonts w:hint="default" w:ascii="Times New Roman" w:hAnsi="Times New Roman" w:eastAsia="仿宋_GB2312" w:cs="Times New Roman"/>
          <w:b/>
          <w:color w:val="auto"/>
          <w:sz w:val="32"/>
          <w:szCs w:val="32"/>
        </w:rPr>
      </w:pPr>
      <w:r>
        <w:rPr>
          <w:rFonts w:hint="default" w:ascii="Times New Roman" w:hAnsi="Times New Roman" w:eastAsia="仿宋_GB2312" w:cs="Times New Roman"/>
          <w:b/>
          <w:color w:val="auto"/>
          <w:sz w:val="32"/>
          <w:szCs w:val="32"/>
        </w:rPr>
        <w:t>（一）</w:t>
      </w:r>
      <w:r>
        <w:rPr>
          <w:rFonts w:hint="default" w:ascii="Times New Roman" w:hAnsi="Times New Roman" w:eastAsia="仿宋_GB2312" w:cs="Times New Roman"/>
          <w:b/>
          <w:color w:val="auto"/>
          <w:sz w:val="32"/>
          <w:szCs w:val="32"/>
          <w:lang w:eastAsia="zh-CN"/>
        </w:rPr>
        <w:t>“三公”</w:t>
      </w:r>
      <w:r>
        <w:rPr>
          <w:rFonts w:hint="default" w:ascii="Times New Roman" w:hAnsi="Times New Roman" w:eastAsia="仿宋_GB2312" w:cs="Times New Roman"/>
          <w:b/>
          <w:color w:val="auto"/>
          <w:sz w:val="32"/>
          <w:szCs w:val="32"/>
        </w:rPr>
        <w:t>经费财政拨款支出决算总体情况说明</w:t>
      </w:r>
    </w:p>
    <w:p w14:paraId="4EA2DEC1">
      <w:pPr>
        <w:pStyle w:val="13"/>
        <w:keepNext w:val="0"/>
        <w:keepLines w:val="0"/>
        <w:pageBreakBefore w:val="0"/>
        <w:kinsoku/>
        <w:wordWrap/>
        <w:overflowPunct w:val="0"/>
        <w:topLinePunct w:val="0"/>
        <w:autoSpaceDE/>
        <w:autoSpaceDN/>
        <w:bidi w:val="0"/>
        <w:snapToGrid/>
        <w:spacing w:line="600" w:lineRule="exact"/>
        <w:ind w:left="0" w:leftChars="0" w:firstLine="640" w:firstLineChars="200"/>
        <w:jc w:val="both"/>
        <w:textAlignment w:val="auto"/>
        <w:rPr>
          <w:rFonts w:hint="default" w:ascii="Times New Roman" w:hAnsi="Times New Roman" w:eastAsia="仿宋_GB2312" w:cs="Times New Roman"/>
          <w:color w:val="auto"/>
          <w:sz w:val="32"/>
          <w:szCs w:val="32"/>
          <w:lang w:val="en-US" w:eastAsia="zh-CN"/>
        </w:rPr>
      </w:pPr>
      <w:r>
        <w:rPr>
          <w:rFonts w:hint="default" w:ascii="Times New Roman" w:hAnsi="Times New Roman" w:eastAsia="仿宋_GB2312" w:cs="Times New Roman"/>
          <w:color w:val="auto"/>
          <w:sz w:val="32"/>
          <w:szCs w:val="32"/>
        </w:rPr>
        <w:t>2024年度“三公”经费财政拨款支出预算为</w:t>
      </w:r>
      <w:r>
        <w:rPr>
          <w:rFonts w:hint="default" w:ascii="Times New Roman" w:hAnsi="Times New Roman" w:eastAsia="仿宋_GB2312" w:cs="Times New Roman"/>
          <w:color w:val="auto"/>
          <w:sz w:val="32"/>
          <w:szCs w:val="32"/>
          <w:lang w:val="en-US" w:eastAsia="zh-CN"/>
        </w:rPr>
        <w:t>0</w:t>
      </w:r>
      <w:r>
        <w:rPr>
          <w:rFonts w:hint="default" w:ascii="Times New Roman" w:hAnsi="Times New Roman" w:eastAsia="仿宋_GB2312" w:cs="Times New Roman"/>
          <w:color w:val="auto"/>
          <w:sz w:val="32"/>
          <w:szCs w:val="32"/>
        </w:rPr>
        <w:t>万元，支出决算为</w:t>
      </w:r>
      <w:r>
        <w:rPr>
          <w:rFonts w:hint="default" w:ascii="Times New Roman" w:hAnsi="Times New Roman" w:eastAsia="仿宋_GB2312" w:cs="Times New Roman"/>
          <w:color w:val="auto"/>
          <w:sz w:val="32"/>
          <w:szCs w:val="32"/>
          <w:lang w:val="en-US" w:eastAsia="zh-CN"/>
        </w:rPr>
        <w:t>0</w:t>
      </w:r>
      <w:r>
        <w:rPr>
          <w:rFonts w:hint="default" w:ascii="Times New Roman" w:hAnsi="Times New Roman" w:eastAsia="仿宋_GB2312" w:cs="Times New Roman"/>
          <w:color w:val="auto"/>
          <w:sz w:val="32"/>
          <w:szCs w:val="32"/>
        </w:rPr>
        <w:t>万元，</w:t>
      </w:r>
      <w:r>
        <w:rPr>
          <w:rFonts w:hint="default" w:ascii="Times New Roman" w:hAnsi="Times New Roman" w:eastAsia="仿宋_GB2312" w:cs="Times New Roman"/>
          <w:color w:val="auto"/>
          <w:sz w:val="32"/>
          <w:szCs w:val="32"/>
          <w:lang w:eastAsia="zh-CN"/>
        </w:rPr>
        <w:t>决算数等于预算数</w:t>
      </w:r>
      <w:r>
        <w:rPr>
          <w:rFonts w:hint="default" w:ascii="Times New Roman" w:hAnsi="Times New Roman" w:eastAsia="仿宋_GB2312" w:cs="Times New Roman"/>
          <w:color w:val="auto"/>
          <w:sz w:val="32"/>
          <w:szCs w:val="32"/>
          <w:lang w:val="en-US" w:eastAsia="zh-CN"/>
        </w:rPr>
        <w:t>，主要原因是我单位严格按预算执行决算；与上年一致，无增减变动，主要原因是按有关政策厉行节约，严控“三公经费”支出。</w:t>
      </w:r>
    </w:p>
    <w:p w14:paraId="352D03A7">
      <w:pPr>
        <w:pStyle w:val="13"/>
        <w:keepNext w:val="0"/>
        <w:keepLines w:val="0"/>
        <w:pageBreakBefore w:val="0"/>
        <w:kinsoku/>
        <w:wordWrap/>
        <w:overflowPunct w:val="0"/>
        <w:topLinePunct w:val="0"/>
        <w:autoSpaceDE/>
        <w:autoSpaceDN/>
        <w:bidi w:val="0"/>
        <w:snapToGrid/>
        <w:spacing w:line="600" w:lineRule="exact"/>
        <w:ind w:left="0" w:leftChars="0" w:firstLine="643" w:firstLineChars="200"/>
        <w:jc w:val="both"/>
        <w:textAlignment w:val="auto"/>
        <w:rPr>
          <w:rFonts w:hint="default" w:ascii="Times New Roman" w:hAnsi="Times New Roman" w:eastAsia="仿宋_GB2312" w:cs="Times New Roman"/>
          <w:b/>
          <w:color w:val="auto"/>
          <w:sz w:val="32"/>
          <w:szCs w:val="32"/>
        </w:rPr>
      </w:pPr>
      <w:r>
        <w:rPr>
          <w:rFonts w:hint="default" w:ascii="Times New Roman" w:hAnsi="Times New Roman" w:eastAsia="仿宋_GB2312" w:cs="Times New Roman"/>
          <w:b/>
          <w:color w:val="auto"/>
          <w:sz w:val="32"/>
          <w:szCs w:val="32"/>
        </w:rPr>
        <w:t>（二）</w:t>
      </w:r>
      <w:r>
        <w:rPr>
          <w:rFonts w:hint="default" w:ascii="Times New Roman" w:hAnsi="Times New Roman" w:eastAsia="仿宋_GB2312" w:cs="Times New Roman"/>
          <w:b/>
          <w:color w:val="auto"/>
          <w:sz w:val="32"/>
          <w:szCs w:val="32"/>
          <w:lang w:eastAsia="zh-CN"/>
        </w:rPr>
        <w:t>“三公”</w:t>
      </w:r>
      <w:r>
        <w:rPr>
          <w:rFonts w:hint="default" w:ascii="Times New Roman" w:hAnsi="Times New Roman" w:eastAsia="仿宋_GB2312" w:cs="Times New Roman"/>
          <w:b/>
          <w:color w:val="auto"/>
          <w:sz w:val="32"/>
          <w:szCs w:val="32"/>
        </w:rPr>
        <w:t>经费财政拨款支出决算具体情况说明</w:t>
      </w:r>
    </w:p>
    <w:p w14:paraId="5F0880A7">
      <w:pPr>
        <w:pStyle w:val="13"/>
        <w:keepNext w:val="0"/>
        <w:keepLines w:val="0"/>
        <w:pageBreakBefore w:val="0"/>
        <w:kinsoku/>
        <w:wordWrap/>
        <w:overflowPunct w:val="0"/>
        <w:topLinePunct w:val="0"/>
        <w:autoSpaceDE/>
        <w:autoSpaceDN/>
        <w:bidi w:val="0"/>
        <w:snapToGrid/>
        <w:spacing w:line="600" w:lineRule="exact"/>
        <w:ind w:left="0" w:leftChars="0" w:firstLine="640" w:firstLineChars="200"/>
        <w:jc w:val="both"/>
        <w:textAlignment w:val="auto"/>
        <w:rPr>
          <w:rFonts w:hint="default" w:ascii="Times New Roman" w:hAnsi="Times New Roman" w:eastAsia="仿宋_GB2312" w:cs="Times New Roman"/>
          <w:color w:val="auto"/>
          <w:sz w:val="32"/>
          <w:szCs w:val="32"/>
          <w:lang w:eastAsia="zh-CN"/>
        </w:rPr>
      </w:pPr>
      <w:r>
        <w:rPr>
          <w:rFonts w:hint="default" w:ascii="Times New Roman" w:hAnsi="Times New Roman" w:eastAsia="仿宋_GB2312" w:cs="Times New Roman"/>
          <w:color w:val="auto"/>
          <w:sz w:val="32"/>
          <w:szCs w:val="32"/>
        </w:rPr>
        <w:t>1.因公出国（境）费支出预算为</w:t>
      </w:r>
      <w:r>
        <w:rPr>
          <w:rFonts w:hint="default" w:ascii="Times New Roman" w:hAnsi="Times New Roman" w:eastAsia="仿宋_GB2312" w:cs="Times New Roman"/>
          <w:color w:val="auto"/>
          <w:sz w:val="32"/>
          <w:szCs w:val="32"/>
          <w:lang w:val="en-US" w:eastAsia="zh-CN"/>
        </w:rPr>
        <w:t>0</w:t>
      </w:r>
      <w:r>
        <w:rPr>
          <w:rFonts w:hint="default" w:ascii="Times New Roman" w:hAnsi="Times New Roman" w:eastAsia="仿宋_GB2312" w:cs="Times New Roman"/>
          <w:color w:val="auto"/>
          <w:sz w:val="32"/>
          <w:szCs w:val="32"/>
        </w:rPr>
        <w:t>万元，支出决算为</w:t>
      </w:r>
      <w:r>
        <w:rPr>
          <w:rFonts w:hint="default" w:ascii="Times New Roman" w:hAnsi="Times New Roman" w:eastAsia="仿宋_GB2312" w:cs="Times New Roman"/>
          <w:color w:val="auto"/>
          <w:sz w:val="32"/>
          <w:szCs w:val="32"/>
          <w:lang w:val="en-US" w:eastAsia="zh-CN"/>
        </w:rPr>
        <w:t>0</w:t>
      </w:r>
      <w:r>
        <w:rPr>
          <w:rFonts w:hint="default" w:ascii="Times New Roman" w:hAnsi="Times New Roman" w:eastAsia="仿宋_GB2312" w:cs="Times New Roman"/>
          <w:color w:val="auto"/>
          <w:sz w:val="32"/>
          <w:szCs w:val="32"/>
        </w:rPr>
        <w:t>万元，</w:t>
      </w:r>
      <w:r>
        <w:rPr>
          <w:rFonts w:hint="default" w:ascii="Times New Roman" w:hAnsi="Times New Roman" w:eastAsia="仿宋_GB2312" w:cs="Times New Roman"/>
          <w:color w:val="auto"/>
          <w:sz w:val="32"/>
          <w:szCs w:val="32"/>
          <w:lang w:eastAsia="zh-CN"/>
        </w:rPr>
        <w:t>决算数等于预算数</w:t>
      </w:r>
      <w:r>
        <w:rPr>
          <w:rFonts w:hint="default" w:ascii="Times New Roman" w:hAnsi="Times New Roman" w:eastAsia="仿宋_GB2312" w:cs="Times New Roman"/>
          <w:color w:val="auto"/>
          <w:sz w:val="32"/>
          <w:szCs w:val="32"/>
          <w:lang w:val="en-US" w:eastAsia="zh-CN"/>
        </w:rPr>
        <w:t>，主要原因是我单位严格按预算执行决算</w:t>
      </w:r>
      <w:r>
        <w:rPr>
          <w:rFonts w:hint="default" w:ascii="Times New Roman" w:hAnsi="Times New Roman" w:eastAsia="仿宋_GB2312" w:cs="Times New Roman"/>
          <w:color w:val="auto"/>
          <w:sz w:val="32"/>
          <w:szCs w:val="32"/>
        </w:rPr>
        <w:t>；</w:t>
      </w:r>
      <w:r>
        <w:rPr>
          <w:rFonts w:hint="default" w:ascii="Times New Roman" w:hAnsi="Times New Roman" w:eastAsia="仿宋_GB2312" w:cs="Times New Roman"/>
          <w:color w:val="auto"/>
          <w:sz w:val="32"/>
          <w:szCs w:val="32"/>
          <w:lang w:val="en-US" w:eastAsia="zh-CN"/>
        </w:rPr>
        <w:t>与上年一致，无增减变动，主要原因是未安排因公出国（境）活动。</w:t>
      </w:r>
      <w:r>
        <w:rPr>
          <w:rFonts w:hint="default" w:ascii="Times New Roman" w:hAnsi="Times New Roman" w:eastAsia="仿宋_GB2312" w:cs="Times New Roman"/>
          <w:color w:val="auto"/>
          <w:sz w:val="32"/>
          <w:szCs w:val="32"/>
        </w:rPr>
        <w:t>2024年度安排因公出国（境）团组</w:t>
      </w:r>
      <w:r>
        <w:rPr>
          <w:rFonts w:hint="default" w:ascii="Times New Roman" w:hAnsi="Times New Roman" w:eastAsia="仿宋_GB2312" w:cs="Times New Roman"/>
          <w:color w:val="auto"/>
          <w:sz w:val="32"/>
          <w:szCs w:val="32"/>
          <w:lang w:val="en-US" w:eastAsia="zh-CN"/>
        </w:rPr>
        <w:t>0</w:t>
      </w:r>
      <w:r>
        <w:rPr>
          <w:rFonts w:hint="default" w:ascii="Times New Roman" w:hAnsi="Times New Roman" w:eastAsia="仿宋_GB2312" w:cs="Times New Roman"/>
          <w:color w:val="auto"/>
          <w:sz w:val="32"/>
          <w:szCs w:val="32"/>
        </w:rPr>
        <w:t>个，累计</w:t>
      </w:r>
      <w:r>
        <w:rPr>
          <w:rFonts w:hint="default" w:ascii="Times New Roman" w:hAnsi="Times New Roman" w:eastAsia="仿宋_GB2312" w:cs="Times New Roman"/>
          <w:color w:val="auto"/>
          <w:sz w:val="32"/>
          <w:szCs w:val="32"/>
          <w:lang w:val="en-US" w:eastAsia="zh-CN"/>
        </w:rPr>
        <w:t>0</w:t>
      </w:r>
      <w:r>
        <w:rPr>
          <w:rFonts w:hint="default" w:ascii="Times New Roman" w:hAnsi="Times New Roman" w:eastAsia="仿宋_GB2312" w:cs="Times New Roman"/>
          <w:color w:val="auto"/>
          <w:sz w:val="32"/>
          <w:szCs w:val="32"/>
        </w:rPr>
        <w:t>人次</w:t>
      </w:r>
      <w:r>
        <w:rPr>
          <w:rFonts w:hint="default" w:ascii="Times New Roman" w:hAnsi="Times New Roman" w:eastAsia="仿宋_GB2312" w:cs="Times New Roman"/>
          <w:color w:val="auto"/>
          <w:sz w:val="32"/>
          <w:szCs w:val="32"/>
          <w:lang w:eastAsia="zh-CN"/>
        </w:rPr>
        <w:t>。</w:t>
      </w:r>
    </w:p>
    <w:p w14:paraId="58DA32A3">
      <w:pPr>
        <w:pStyle w:val="13"/>
        <w:keepNext w:val="0"/>
        <w:keepLines w:val="0"/>
        <w:pageBreakBefore w:val="0"/>
        <w:kinsoku/>
        <w:wordWrap/>
        <w:overflowPunct w:val="0"/>
        <w:topLinePunct w:val="0"/>
        <w:autoSpaceDE/>
        <w:autoSpaceDN/>
        <w:bidi w:val="0"/>
        <w:snapToGrid/>
        <w:spacing w:line="600" w:lineRule="exact"/>
        <w:ind w:left="0" w:leftChars="0" w:firstLine="640" w:firstLineChars="200"/>
        <w:jc w:val="both"/>
        <w:textAlignment w:val="auto"/>
        <w:rPr>
          <w:rFonts w:hint="default" w:ascii="Times New Roman" w:hAnsi="Times New Roman" w:eastAsia="仿宋_GB2312" w:cs="Times New Roman"/>
          <w:color w:val="auto"/>
          <w:sz w:val="32"/>
          <w:szCs w:val="32"/>
        </w:rPr>
      </w:pPr>
      <w:r>
        <w:rPr>
          <w:rFonts w:hint="default" w:ascii="Times New Roman" w:hAnsi="Times New Roman" w:eastAsia="仿宋_GB2312" w:cs="Times New Roman"/>
          <w:color w:val="auto"/>
          <w:sz w:val="32"/>
          <w:szCs w:val="32"/>
        </w:rPr>
        <w:t>2.公务用车购置费及运行维护费支出预算为</w:t>
      </w:r>
      <w:r>
        <w:rPr>
          <w:rFonts w:hint="default" w:ascii="Times New Roman" w:hAnsi="Times New Roman" w:eastAsia="仿宋_GB2312" w:cs="Times New Roman"/>
          <w:color w:val="auto"/>
          <w:sz w:val="32"/>
          <w:szCs w:val="32"/>
          <w:lang w:val="en-US" w:eastAsia="zh-CN"/>
        </w:rPr>
        <w:t>0</w:t>
      </w:r>
      <w:r>
        <w:rPr>
          <w:rFonts w:hint="default" w:ascii="Times New Roman" w:hAnsi="Times New Roman" w:eastAsia="仿宋_GB2312" w:cs="Times New Roman"/>
          <w:color w:val="auto"/>
          <w:sz w:val="32"/>
          <w:szCs w:val="32"/>
        </w:rPr>
        <w:t>万元，支出决算为</w:t>
      </w:r>
      <w:r>
        <w:rPr>
          <w:rFonts w:hint="default" w:ascii="Times New Roman" w:hAnsi="Times New Roman" w:eastAsia="仿宋_GB2312" w:cs="Times New Roman"/>
          <w:color w:val="auto"/>
          <w:sz w:val="32"/>
          <w:szCs w:val="32"/>
          <w:lang w:val="en-US" w:eastAsia="zh-CN"/>
        </w:rPr>
        <w:t>0</w:t>
      </w:r>
      <w:r>
        <w:rPr>
          <w:rFonts w:hint="default" w:ascii="Times New Roman" w:hAnsi="Times New Roman" w:eastAsia="仿宋_GB2312" w:cs="Times New Roman"/>
          <w:color w:val="auto"/>
          <w:sz w:val="32"/>
          <w:szCs w:val="32"/>
        </w:rPr>
        <w:t>万元，</w:t>
      </w:r>
      <w:r>
        <w:rPr>
          <w:rFonts w:hint="default" w:ascii="Times New Roman" w:hAnsi="Times New Roman" w:eastAsia="仿宋_GB2312" w:cs="Times New Roman"/>
          <w:color w:val="auto"/>
          <w:sz w:val="32"/>
          <w:szCs w:val="32"/>
          <w:lang w:eastAsia="zh-CN"/>
        </w:rPr>
        <w:t>决算数等于预算数</w:t>
      </w:r>
      <w:r>
        <w:rPr>
          <w:rFonts w:hint="default" w:ascii="Times New Roman" w:hAnsi="Times New Roman" w:eastAsia="仿宋_GB2312" w:cs="Times New Roman"/>
          <w:color w:val="auto"/>
          <w:sz w:val="32"/>
          <w:szCs w:val="32"/>
        </w:rPr>
        <w:t>；</w:t>
      </w:r>
      <w:r>
        <w:rPr>
          <w:rFonts w:hint="default" w:ascii="Times New Roman" w:hAnsi="Times New Roman" w:eastAsia="仿宋_GB2312" w:cs="Times New Roman"/>
          <w:color w:val="auto"/>
          <w:sz w:val="32"/>
          <w:szCs w:val="32"/>
          <w:lang w:val="en-US" w:eastAsia="zh-CN"/>
        </w:rPr>
        <w:t>与上年一致，无增减变动</w:t>
      </w:r>
      <w:r>
        <w:rPr>
          <w:rFonts w:hint="default" w:ascii="Times New Roman" w:hAnsi="Times New Roman" w:eastAsia="仿宋_GB2312" w:cs="Times New Roman"/>
          <w:color w:val="auto"/>
          <w:sz w:val="32"/>
          <w:szCs w:val="32"/>
        </w:rPr>
        <w:t>。其中：</w:t>
      </w:r>
    </w:p>
    <w:p w14:paraId="3DEDA750">
      <w:pPr>
        <w:pStyle w:val="13"/>
        <w:keepNext w:val="0"/>
        <w:keepLines w:val="0"/>
        <w:pageBreakBefore w:val="0"/>
        <w:kinsoku/>
        <w:wordWrap/>
        <w:overflowPunct w:val="0"/>
        <w:topLinePunct w:val="0"/>
        <w:autoSpaceDE/>
        <w:autoSpaceDN/>
        <w:bidi w:val="0"/>
        <w:snapToGrid/>
        <w:spacing w:line="600" w:lineRule="exact"/>
        <w:ind w:left="0" w:leftChars="0" w:firstLine="640" w:firstLineChars="200"/>
        <w:jc w:val="both"/>
        <w:textAlignment w:val="auto"/>
        <w:rPr>
          <w:rFonts w:hint="default" w:ascii="Times New Roman" w:hAnsi="Times New Roman" w:eastAsia="仿宋_GB2312" w:cs="Times New Roman"/>
          <w:color w:val="auto"/>
          <w:sz w:val="32"/>
          <w:szCs w:val="32"/>
          <w:lang w:val="en-US" w:eastAsia="zh-CN"/>
        </w:rPr>
      </w:pPr>
      <w:r>
        <w:rPr>
          <w:rFonts w:hint="default" w:ascii="Times New Roman" w:hAnsi="Times New Roman" w:eastAsia="仿宋_GB2312" w:cs="Times New Roman"/>
          <w:color w:val="auto"/>
          <w:sz w:val="32"/>
          <w:szCs w:val="32"/>
        </w:rPr>
        <w:t>公务用车购置费支出预算为</w:t>
      </w:r>
      <w:r>
        <w:rPr>
          <w:rFonts w:hint="default" w:ascii="Times New Roman" w:hAnsi="Times New Roman" w:eastAsia="仿宋_GB2312" w:cs="Times New Roman"/>
          <w:color w:val="auto"/>
          <w:sz w:val="32"/>
          <w:szCs w:val="32"/>
          <w:lang w:val="en-US" w:eastAsia="zh-CN"/>
        </w:rPr>
        <w:t>0</w:t>
      </w:r>
      <w:r>
        <w:rPr>
          <w:rFonts w:hint="default" w:ascii="Times New Roman" w:hAnsi="Times New Roman" w:eastAsia="仿宋_GB2312" w:cs="Times New Roman"/>
          <w:color w:val="auto"/>
          <w:sz w:val="32"/>
          <w:szCs w:val="32"/>
        </w:rPr>
        <w:t>万元，支出决算为</w:t>
      </w:r>
      <w:r>
        <w:rPr>
          <w:rFonts w:hint="default" w:ascii="Times New Roman" w:hAnsi="Times New Roman" w:eastAsia="仿宋_GB2312" w:cs="Times New Roman"/>
          <w:color w:val="auto"/>
          <w:sz w:val="32"/>
          <w:szCs w:val="32"/>
          <w:lang w:val="en-US" w:eastAsia="zh-CN"/>
        </w:rPr>
        <w:t>0</w:t>
      </w:r>
      <w:r>
        <w:rPr>
          <w:rFonts w:hint="default" w:ascii="Times New Roman" w:hAnsi="Times New Roman" w:eastAsia="仿宋_GB2312" w:cs="Times New Roman"/>
          <w:color w:val="auto"/>
          <w:sz w:val="32"/>
          <w:szCs w:val="32"/>
        </w:rPr>
        <w:t>万元，</w:t>
      </w:r>
      <w:r>
        <w:rPr>
          <w:rFonts w:hint="default" w:ascii="Times New Roman" w:hAnsi="Times New Roman" w:eastAsia="仿宋_GB2312" w:cs="Times New Roman"/>
          <w:color w:val="auto"/>
          <w:sz w:val="32"/>
          <w:szCs w:val="32"/>
          <w:lang w:val="en-US" w:eastAsia="zh-CN"/>
        </w:rPr>
        <w:t>决算数等于预算数，主要原因是我单位严格按预算执行决算</w:t>
      </w:r>
      <w:r>
        <w:rPr>
          <w:rFonts w:hint="default" w:ascii="Times New Roman" w:hAnsi="Times New Roman" w:eastAsia="仿宋_GB2312" w:cs="Times New Roman"/>
          <w:color w:val="auto"/>
          <w:sz w:val="32"/>
          <w:szCs w:val="32"/>
        </w:rPr>
        <w:t>；</w:t>
      </w:r>
      <w:r>
        <w:rPr>
          <w:rFonts w:hint="default" w:ascii="Times New Roman" w:hAnsi="Times New Roman" w:eastAsia="仿宋_GB2312" w:cs="Times New Roman"/>
          <w:color w:val="auto"/>
          <w:sz w:val="32"/>
          <w:szCs w:val="32"/>
          <w:lang w:val="en-US" w:eastAsia="zh-CN"/>
        </w:rPr>
        <w:t>与上年一致，无增减变动，主要原因是两年均未购置公务用车。本单位</w:t>
      </w:r>
      <w:r>
        <w:rPr>
          <w:rFonts w:hint="default" w:ascii="Times New Roman" w:hAnsi="Times New Roman" w:eastAsia="仿宋_GB2312" w:cs="Times New Roman"/>
          <w:color w:val="auto"/>
          <w:sz w:val="32"/>
          <w:szCs w:val="32"/>
        </w:rPr>
        <w:t>更新公务用车</w:t>
      </w:r>
      <w:r>
        <w:rPr>
          <w:rFonts w:hint="default" w:ascii="Times New Roman" w:hAnsi="Times New Roman" w:eastAsia="仿宋_GB2312" w:cs="Times New Roman"/>
          <w:color w:val="auto"/>
          <w:sz w:val="32"/>
          <w:szCs w:val="32"/>
          <w:lang w:val="en-US" w:eastAsia="zh-CN"/>
        </w:rPr>
        <w:t>0</w:t>
      </w:r>
      <w:r>
        <w:rPr>
          <w:rFonts w:hint="default" w:ascii="Times New Roman" w:hAnsi="Times New Roman" w:eastAsia="仿宋_GB2312" w:cs="Times New Roman"/>
          <w:color w:val="auto"/>
          <w:sz w:val="32"/>
          <w:szCs w:val="32"/>
        </w:rPr>
        <w:t>辆</w:t>
      </w:r>
      <w:r>
        <w:rPr>
          <w:rFonts w:hint="default" w:ascii="Times New Roman" w:hAnsi="Times New Roman" w:eastAsia="仿宋_GB2312" w:cs="Times New Roman"/>
          <w:color w:val="auto"/>
          <w:sz w:val="32"/>
          <w:szCs w:val="32"/>
          <w:lang w:eastAsia="zh-CN"/>
        </w:rPr>
        <w:t>。</w:t>
      </w:r>
    </w:p>
    <w:p w14:paraId="7E11FC6C">
      <w:pPr>
        <w:pStyle w:val="13"/>
        <w:keepNext w:val="0"/>
        <w:keepLines w:val="0"/>
        <w:pageBreakBefore w:val="0"/>
        <w:kinsoku/>
        <w:wordWrap/>
        <w:overflowPunct w:val="0"/>
        <w:topLinePunct w:val="0"/>
        <w:autoSpaceDE/>
        <w:autoSpaceDN/>
        <w:bidi w:val="0"/>
        <w:snapToGrid/>
        <w:spacing w:line="600" w:lineRule="exact"/>
        <w:ind w:left="0" w:leftChars="0" w:firstLine="640" w:firstLineChars="200"/>
        <w:jc w:val="both"/>
        <w:textAlignment w:val="auto"/>
        <w:rPr>
          <w:rFonts w:hint="default" w:ascii="Times New Roman" w:hAnsi="Times New Roman" w:eastAsia="仿宋_GB2312" w:cs="Times New Roman"/>
          <w:color w:val="auto"/>
          <w:sz w:val="32"/>
          <w:szCs w:val="32"/>
          <w:lang w:val="en-US" w:eastAsia="zh-CN"/>
        </w:rPr>
      </w:pPr>
      <w:r>
        <w:rPr>
          <w:rFonts w:hint="default" w:ascii="Times New Roman" w:hAnsi="Times New Roman" w:eastAsia="仿宋_GB2312" w:cs="Times New Roman"/>
          <w:color w:val="auto"/>
          <w:sz w:val="32"/>
          <w:szCs w:val="32"/>
          <w:lang w:val="en-US" w:eastAsia="zh-CN"/>
        </w:rPr>
        <w:t>公</w:t>
      </w:r>
      <w:r>
        <w:rPr>
          <w:rFonts w:hint="default" w:ascii="Times New Roman" w:hAnsi="Times New Roman" w:eastAsia="仿宋_GB2312" w:cs="Times New Roman"/>
          <w:color w:val="auto"/>
          <w:sz w:val="32"/>
          <w:szCs w:val="32"/>
        </w:rPr>
        <w:t>务用车运行维护费支出预算为</w:t>
      </w:r>
      <w:r>
        <w:rPr>
          <w:rFonts w:hint="default" w:ascii="Times New Roman" w:hAnsi="Times New Roman" w:eastAsia="仿宋_GB2312" w:cs="Times New Roman"/>
          <w:color w:val="auto"/>
          <w:sz w:val="32"/>
          <w:szCs w:val="32"/>
          <w:lang w:val="en-US" w:eastAsia="zh-CN"/>
        </w:rPr>
        <w:t>0</w:t>
      </w:r>
      <w:r>
        <w:rPr>
          <w:rFonts w:hint="default" w:ascii="Times New Roman" w:hAnsi="Times New Roman" w:eastAsia="仿宋_GB2312" w:cs="Times New Roman"/>
          <w:color w:val="auto"/>
          <w:sz w:val="32"/>
          <w:szCs w:val="32"/>
        </w:rPr>
        <w:t>万元，支出决算为</w:t>
      </w:r>
      <w:r>
        <w:rPr>
          <w:rFonts w:hint="default" w:ascii="Times New Roman" w:hAnsi="Times New Roman" w:eastAsia="仿宋_GB2312" w:cs="Times New Roman"/>
          <w:color w:val="auto"/>
          <w:sz w:val="32"/>
          <w:szCs w:val="32"/>
          <w:lang w:val="en-US" w:eastAsia="zh-CN"/>
        </w:rPr>
        <w:t>0</w:t>
      </w:r>
      <w:r>
        <w:rPr>
          <w:rFonts w:hint="default" w:ascii="Times New Roman" w:hAnsi="Times New Roman" w:eastAsia="仿宋_GB2312" w:cs="Times New Roman"/>
          <w:color w:val="auto"/>
          <w:sz w:val="32"/>
          <w:szCs w:val="32"/>
        </w:rPr>
        <w:t>万元，</w:t>
      </w:r>
      <w:r>
        <w:rPr>
          <w:rFonts w:hint="default" w:ascii="Times New Roman" w:hAnsi="Times New Roman" w:eastAsia="仿宋_GB2312" w:cs="Times New Roman"/>
          <w:color w:val="auto"/>
          <w:sz w:val="32"/>
          <w:szCs w:val="32"/>
          <w:lang w:val="en-US" w:eastAsia="zh-CN"/>
        </w:rPr>
        <w:t>决算数等于预算数，主要原因是我单位严格按预算执行决算；与上年一致，无增减变动，主要原因是两年均无公务用车需要运行维护。</w:t>
      </w:r>
      <w:r>
        <w:rPr>
          <w:rFonts w:hint="default" w:ascii="Times New Roman" w:hAnsi="Times New Roman" w:eastAsia="仿宋_GB2312" w:cs="Times New Roman"/>
          <w:color w:val="auto"/>
          <w:sz w:val="32"/>
          <w:szCs w:val="32"/>
        </w:rPr>
        <w:t>截止</w:t>
      </w:r>
      <w:r>
        <w:rPr>
          <w:rFonts w:hint="default" w:ascii="Times New Roman" w:hAnsi="Times New Roman" w:eastAsia="仿宋_GB2312" w:cs="Times New Roman"/>
          <w:color w:val="auto"/>
          <w:sz w:val="32"/>
          <w:szCs w:val="32"/>
          <w:lang w:eastAsia="zh-CN"/>
        </w:rPr>
        <w:t>到</w:t>
      </w:r>
      <w:r>
        <w:rPr>
          <w:rFonts w:hint="default" w:ascii="Times New Roman" w:hAnsi="Times New Roman" w:eastAsia="仿宋_GB2312" w:cs="Times New Roman"/>
          <w:color w:val="auto"/>
          <w:sz w:val="32"/>
          <w:szCs w:val="32"/>
        </w:rPr>
        <w:t>2024年12月31日，我单位开支财政拨款的公务用车保有量为</w:t>
      </w:r>
      <w:r>
        <w:rPr>
          <w:rFonts w:hint="default" w:ascii="Times New Roman" w:hAnsi="Times New Roman" w:eastAsia="仿宋_GB2312" w:cs="Times New Roman"/>
          <w:color w:val="auto"/>
          <w:sz w:val="32"/>
          <w:szCs w:val="32"/>
          <w:lang w:val="en-US" w:eastAsia="zh-CN"/>
        </w:rPr>
        <w:t>0</w:t>
      </w:r>
      <w:r>
        <w:rPr>
          <w:rFonts w:hint="default" w:ascii="Times New Roman" w:hAnsi="Times New Roman" w:eastAsia="仿宋_GB2312" w:cs="Times New Roman"/>
          <w:color w:val="auto"/>
          <w:sz w:val="32"/>
          <w:szCs w:val="32"/>
        </w:rPr>
        <w:t>辆。</w:t>
      </w:r>
    </w:p>
    <w:p w14:paraId="039328FA">
      <w:pPr>
        <w:pStyle w:val="13"/>
        <w:keepNext w:val="0"/>
        <w:keepLines w:val="0"/>
        <w:pageBreakBefore w:val="0"/>
        <w:kinsoku/>
        <w:wordWrap/>
        <w:overflowPunct w:val="0"/>
        <w:topLinePunct w:val="0"/>
        <w:autoSpaceDE/>
        <w:autoSpaceDN/>
        <w:bidi w:val="0"/>
        <w:snapToGrid/>
        <w:spacing w:line="600" w:lineRule="exact"/>
        <w:ind w:left="0" w:leftChars="0" w:firstLine="640" w:firstLineChars="200"/>
        <w:jc w:val="both"/>
        <w:textAlignment w:val="auto"/>
        <w:rPr>
          <w:rFonts w:hint="default" w:ascii="Times New Roman" w:hAnsi="Times New Roman" w:eastAsia="仿宋_GB2312" w:cs="Times New Roman"/>
          <w:b/>
          <w:color w:val="auto"/>
          <w:sz w:val="32"/>
          <w:szCs w:val="32"/>
          <w:lang w:eastAsia="zh-CN"/>
        </w:rPr>
      </w:pPr>
      <w:r>
        <w:rPr>
          <w:rFonts w:hint="default" w:ascii="Times New Roman" w:hAnsi="Times New Roman" w:eastAsia="仿宋_GB2312" w:cs="Times New Roman"/>
          <w:color w:val="auto"/>
          <w:sz w:val="32"/>
          <w:szCs w:val="32"/>
          <w:lang w:val="en-US" w:eastAsia="zh-CN"/>
        </w:rPr>
        <w:t>3.</w:t>
      </w:r>
      <w:r>
        <w:rPr>
          <w:rFonts w:hint="default" w:ascii="Times New Roman" w:hAnsi="Times New Roman" w:eastAsia="仿宋_GB2312" w:cs="Times New Roman"/>
          <w:color w:val="auto"/>
          <w:sz w:val="32"/>
          <w:szCs w:val="32"/>
        </w:rPr>
        <w:t>公务接待费支出预算为</w:t>
      </w:r>
      <w:r>
        <w:rPr>
          <w:rFonts w:hint="default" w:ascii="Times New Roman" w:hAnsi="Times New Roman" w:eastAsia="仿宋_GB2312" w:cs="Times New Roman"/>
          <w:color w:val="auto"/>
          <w:sz w:val="32"/>
          <w:szCs w:val="32"/>
          <w:lang w:val="en-US" w:eastAsia="zh-CN"/>
        </w:rPr>
        <w:t xml:space="preserve"> 0</w:t>
      </w:r>
      <w:r>
        <w:rPr>
          <w:rFonts w:hint="default" w:ascii="Times New Roman" w:hAnsi="Times New Roman" w:eastAsia="仿宋_GB2312" w:cs="Times New Roman"/>
          <w:color w:val="auto"/>
          <w:sz w:val="32"/>
          <w:szCs w:val="32"/>
        </w:rPr>
        <w:t>万元，支出决算为</w:t>
      </w:r>
      <w:r>
        <w:rPr>
          <w:rFonts w:hint="default" w:ascii="Times New Roman" w:hAnsi="Times New Roman" w:eastAsia="仿宋_GB2312" w:cs="Times New Roman"/>
          <w:color w:val="auto"/>
          <w:sz w:val="32"/>
          <w:szCs w:val="32"/>
          <w:lang w:val="en-US" w:eastAsia="zh-CN"/>
        </w:rPr>
        <w:t>0</w:t>
      </w:r>
      <w:r>
        <w:rPr>
          <w:rFonts w:hint="default" w:ascii="Times New Roman" w:hAnsi="Times New Roman" w:eastAsia="仿宋_GB2312" w:cs="Times New Roman"/>
          <w:color w:val="auto"/>
          <w:sz w:val="32"/>
          <w:szCs w:val="32"/>
        </w:rPr>
        <w:t>万元，</w:t>
      </w:r>
      <w:r>
        <w:rPr>
          <w:rFonts w:hint="default" w:ascii="Times New Roman" w:hAnsi="Times New Roman" w:eastAsia="仿宋_GB2312" w:cs="Times New Roman"/>
          <w:color w:val="auto"/>
          <w:sz w:val="32"/>
          <w:szCs w:val="32"/>
          <w:lang w:val="en-US" w:eastAsia="zh-CN"/>
        </w:rPr>
        <w:t>决算数等于预算数，主要原因是严格执行中央八项规定；与上年一致，无增减变动，主要原因是按有关政策厉行节约，严控公务接待支出。</w:t>
      </w:r>
      <w:r>
        <w:rPr>
          <w:rFonts w:hint="default" w:ascii="Times New Roman" w:hAnsi="Times New Roman" w:eastAsia="仿宋_GB2312" w:cs="Times New Roman"/>
          <w:color w:val="auto"/>
          <w:sz w:val="32"/>
          <w:szCs w:val="32"/>
        </w:rPr>
        <w:t>2024年度共接待来访团组</w:t>
      </w:r>
      <w:r>
        <w:rPr>
          <w:rFonts w:hint="default" w:ascii="Times New Roman" w:hAnsi="Times New Roman" w:eastAsia="仿宋_GB2312" w:cs="Times New Roman"/>
          <w:color w:val="auto"/>
          <w:sz w:val="32"/>
          <w:szCs w:val="32"/>
          <w:lang w:val="en-US" w:eastAsia="zh-CN"/>
        </w:rPr>
        <w:t>0</w:t>
      </w:r>
      <w:r>
        <w:rPr>
          <w:rFonts w:hint="default" w:ascii="Times New Roman" w:hAnsi="Times New Roman" w:eastAsia="仿宋_GB2312" w:cs="Times New Roman"/>
          <w:color w:val="auto"/>
          <w:sz w:val="32"/>
          <w:szCs w:val="32"/>
        </w:rPr>
        <w:t>个、来宾</w:t>
      </w:r>
      <w:r>
        <w:rPr>
          <w:rFonts w:hint="default" w:ascii="Times New Roman" w:hAnsi="Times New Roman" w:eastAsia="仿宋_GB2312" w:cs="Times New Roman"/>
          <w:color w:val="auto"/>
          <w:sz w:val="32"/>
          <w:szCs w:val="32"/>
          <w:lang w:val="en-US" w:eastAsia="zh-CN"/>
        </w:rPr>
        <w:t>0</w:t>
      </w:r>
      <w:r>
        <w:rPr>
          <w:rFonts w:hint="default" w:ascii="Times New Roman" w:hAnsi="Times New Roman" w:eastAsia="仿宋_GB2312" w:cs="Times New Roman"/>
          <w:color w:val="auto"/>
          <w:sz w:val="32"/>
          <w:szCs w:val="32"/>
        </w:rPr>
        <w:t>人次</w:t>
      </w:r>
      <w:r>
        <w:rPr>
          <w:rFonts w:hint="default" w:ascii="Times New Roman" w:hAnsi="Times New Roman" w:eastAsia="仿宋_GB2312" w:cs="Times New Roman"/>
          <w:color w:val="auto"/>
          <w:sz w:val="32"/>
          <w:szCs w:val="32"/>
          <w:lang w:eastAsia="zh-CN"/>
        </w:rPr>
        <w:t>。</w:t>
      </w:r>
    </w:p>
    <w:p w14:paraId="3D06ACE2">
      <w:pPr>
        <w:pStyle w:val="13"/>
        <w:keepNext w:val="0"/>
        <w:keepLines w:val="0"/>
        <w:pageBreakBefore w:val="0"/>
        <w:widowControl w:val="0"/>
        <w:kinsoku/>
        <w:wordWrap/>
        <w:overflowPunct/>
        <w:topLinePunct w:val="0"/>
        <w:bidi w:val="0"/>
        <w:snapToGrid/>
        <w:spacing w:line="600" w:lineRule="exact"/>
        <w:ind w:left="0" w:leftChars="0" w:firstLine="640" w:firstLineChars="200"/>
        <w:jc w:val="both"/>
        <w:textAlignment w:val="auto"/>
        <w:rPr>
          <w:rFonts w:hint="default" w:ascii="黑体" w:hAnsi="黑体" w:eastAsia="黑体" w:cs="黑体"/>
          <w:b w:val="0"/>
          <w:bCs/>
          <w:color w:val="auto"/>
          <w:sz w:val="32"/>
          <w:szCs w:val="32"/>
        </w:rPr>
      </w:pPr>
      <w:r>
        <w:rPr>
          <w:rFonts w:hint="default" w:ascii="黑体" w:hAnsi="黑体" w:eastAsia="黑体" w:cs="黑体"/>
          <w:b w:val="0"/>
          <w:bCs/>
          <w:color w:val="auto"/>
          <w:sz w:val="32"/>
          <w:szCs w:val="32"/>
          <w:lang w:eastAsia="zh-CN"/>
        </w:rPr>
        <w:t>十</w:t>
      </w:r>
      <w:r>
        <w:rPr>
          <w:rFonts w:hint="default" w:ascii="黑体" w:hAnsi="黑体" w:eastAsia="黑体" w:cs="黑体"/>
          <w:b w:val="0"/>
          <w:bCs/>
          <w:color w:val="auto"/>
          <w:sz w:val="32"/>
          <w:szCs w:val="32"/>
        </w:rPr>
        <w:t>、关于机关运行经费支出说明</w:t>
      </w:r>
    </w:p>
    <w:p w14:paraId="0327D446">
      <w:pPr>
        <w:pStyle w:val="13"/>
        <w:keepNext w:val="0"/>
        <w:keepLines w:val="0"/>
        <w:pageBreakBefore w:val="0"/>
        <w:kinsoku/>
        <w:wordWrap/>
        <w:topLinePunct w:val="0"/>
        <w:bidi w:val="0"/>
        <w:snapToGrid/>
        <w:spacing w:line="600" w:lineRule="exact"/>
        <w:ind w:left="0" w:leftChars="0" w:firstLine="640" w:firstLineChars="200"/>
        <w:jc w:val="both"/>
        <w:textAlignment w:val="auto"/>
        <w:rPr>
          <w:rFonts w:hint="default" w:ascii="Times New Roman" w:hAnsi="Times New Roman" w:eastAsia="仿宋_GB2312" w:cs="Times New Roman"/>
          <w:color w:val="auto"/>
          <w:sz w:val="32"/>
          <w:szCs w:val="32"/>
          <w:lang w:eastAsia="zh-CN"/>
        </w:rPr>
      </w:pPr>
      <w:r>
        <w:rPr>
          <w:rFonts w:hint="default" w:ascii="Times New Roman" w:hAnsi="Times New Roman" w:eastAsia="仿宋_GB2312" w:cs="Times New Roman"/>
          <w:color w:val="auto"/>
          <w:sz w:val="32"/>
          <w:szCs w:val="32"/>
        </w:rPr>
        <w:t>本部门202</w:t>
      </w:r>
      <w:r>
        <w:rPr>
          <w:rFonts w:hint="default" w:ascii="Times New Roman" w:hAnsi="Times New Roman" w:eastAsia="仿宋_GB2312" w:cs="Times New Roman"/>
          <w:color w:val="auto"/>
          <w:sz w:val="32"/>
          <w:szCs w:val="32"/>
          <w:lang w:val="en-US" w:eastAsia="zh-CN"/>
        </w:rPr>
        <w:t>4</w:t>
      </w:r>
      <w:r>
        <w:rPr>
          <w:rFonts w:hint="default" w:ascii="Times New Roman" w:hAnsi="Times New Roman" w:eastAsia="仿宋_GB2312" w:cs="Times New Roman"/>
          <w:color w:val="auto"/>
          <w:sz w:val="32"/>
          <w:szCs w:val="32"/>
        </w:rPr>
        <w:t>年度机关运行经费支出</w:t>
      </w:r>
      <w:r>
        <w:rPr>
          <w:rFonts w:hint="default" w:ascii="Times New Roman" w:hAnsi="Times New Roman" w:eastAsia="仿宋_GB2312" w:cs="Times New Roman"/>
          <w:color w:val="auto"/>
          <w:sz w:val="32"/>
          <w:szCs w:val="32"/>
          <w:lang w:val="en-US" w:eastAsia="zh-CN"/>
        </w:rPr>
        <w:t>0</w:t>
      </w:r>
      <w:r>
        <w:rPr>
          <w:rFonts w:hint="default" w:ascii="Times New Roman" w:hAnsi="Times New Roman" w:eastAsia="仿宋_GB2312" w:cs="Times New Roman"/>
          <w:color w:val="auto"/>
          <w:sz w:val="32"/>
          <w:szCs w:val="32"/>
        </w:rPr>
        <w:t>万元</w:t>
      </w:r>
      <w:r>
        <w:rPr>
          <w:rFonts w:hint="default" w:ascii="Times New Roman" w:hAnsi="Times New Roman" w:eastAsia="仿宋_GB2312" w:cs="Times New Roman"/>
          <w:color w:val="auto"/>
          <w:sz w:val="32"/>
          <w:szCs w:val="32"/>
          <w:lang w:eastAsia="zh-CN"/>
        </w:rPr>
        <w:t>，</w:t>
      </w:r>
      <w:r>
        <w:rPr>
          <w:rFonts w:hint="default" w:ascii="Times New Roman" w:hAnsi="Times New Roman" w:eastAsia="仿宋_GB2312" w:cs="Times New Roman"/>
          <w:i w:val="0"/>
          <w:iCs/>
          <w:color w:val="auto"/>
          <w:sz w:val="32"/>
          <w:szCs w:val="32"/>
          <w:lang w:val="en-US" w:eastAsia="zh-CN"/>
        </w:rPr>
        <w:t>本级和所属单位均为事业单位，按照机关运行经费的口径，本年度机关运行经费为0。</w:t>
      </w:r>
    </w:p>
    <w:p w14:paraId="39684EF2">
      <w:pPr>
        <w:pStyle w:val="13"/>
        <w:keepNext w:val="0"/>
        <w:keepLines w:val="0"/>
        <w:pageBreakBefore w:val="0"/>
        <w:widowControl w:val="0"/>
        <w:kinsoku/>
        <w:wordWrap/>
        <w:overflowPunct/>
        <w:topLinePunct w:val="0"/>
        <w:bidi w:val="0"/>
        <w:snapToGrid/>
        <w:spacing w:line="600" w:lineRule="exact"/>
        <w:ind w:left="0" w:leftChars="0" w:firstLine="640" w:firstLineChars="200"/>
        <w:jc w:val="both"/>
        <w:textAlignment w:val="auto"/>
        <w:rPr>
          <w:rFonts w:hint="default" w:ascii="黑体" w:hAnsi="黑体" w:eastAsia="黑体" w:cs="黑体"/>
          <w:b w:val="0"/>
          <w:bCs/>
          <w:color w:val="auto"/>
          <w:sz w:val="32"/>
          <w:szCs w:val="32"/>
        </w:rPr>
      </w:pPr>
      <w:r>
        <w:rPr>
          <w:rFonts w:hint="default" w:ascii="黑体" w:hAnsi="黑体" w:eastAsia="黑体" w:cs="黑体"/>
          <w:b w:val="0"/>
          <w:bCs/>
          <w:color w:val="auto"/>
          <w:sz w:val="32"/>
          <w:szCs w:val="32"/>
        </w:rPr>
        <w:t>十</w:t>
      </w:r>
      <w:r>
        <w:rPr>
          <w:rFonts w:hint="default" w:ascii="黑体" w:hAnsi="黑体" w:eastAsia="黑体" w:cs="黑体"/>
          <w:b w:val="0"/>
          <w:bCs/>
          <w:color w:val="auto"/>
          <w:sz w:val="32"/>
          <w:szCs w:val="32"/>
          <w:lang w:eastAsia="zh-CN"/>
        </w:rPr>
        <w:t>一</w:t>
      </w:r>
      <w:r>
        <w:rPr>
          <w:rFonts w:hint="default" w:ascii="黑体" w:hAnsi="黑体" w:eastAsia="黑体" w:cs="黑体"/>
          <w:b w:val="0"/>
          <w:bCs/>
          <w:color w:val="auto"/>
          <w:sz w:val="32"/>
          <w:szCs w:val="32"/>
        </w:rPr>
        <w:t>、一般性支出情况说明</w:t>
      </w:r>
    </w:p>
    <w:p w14:paraId="5E588319">
      <w:pPr>
        <w:pStyle w:val="13"/>
        <w:keepNext w:val="0"/>
        <w:keepLines w:val="0"/>
        <w:pageBreakBefore w:val="0"/>
        <w:kinsoku/>
        <w:wordWrap/>
        <w:topLinePunct w:val="0"/>
        <w:bidi w:val="0"/>
        <w:snapToGrid/>
        <w:spacing w:line="600" w:lineRule="exact"/>
        <w:ind w:left="0" w:leftChars="0" w:firstLine="640" w:firstLineChars="200"/>
        <w:jc w:val="both"/>
        <w:textAlignment w:val="auto"/>
        <w:rPr>
          <w:rFonts w:hint="default" w:ascii="Times New Roman" w:hAnsi="Times New Roman" w:eastAsia="仿宋_GB2312" w:cs="Times New Roman"/>
          <w:b w:val="0"/>
          <w:bCs w:val="0"/>
          <w:color w:val="auto"/>
          <w:sz w:val="32"/>
          <w:szCs w:val="32"/>
          <w:lang w:eastAsia="zh-CN"/>
        </w:rPr>
      </w:pPr>
      <w:r>
        <w:rPr>
          <w:rFonts w:hint="default" w:ascii="Times New Roman" w:hAnsi="Times New Roman" w:eastAsia="仿宋_GB2312" w:cs="Times New Roman"/>
          <w:color w:val="auto"/>
          <w:sz w:val="32"/>
          <w:szCs w:val="32"/>
        </w:rPr>
        <w:t>202</w:t>
      </w:r>
      <w:r>
        <w:rPr>
          <w:rFonts w:hint="default" w:ascii="Times New Roman" w:hAnsi="Times New Roman" w:eastAsia="仿宋_GB2312" w:cs="Times New Roman"/>
          <w:color w:val="auto"/>
          <w:sz w:val="32"/>
          <w:szCs w:val="32"/>
          <w:lang w:val="en-US" w:eastAsia="zh-CN"/>
        </w:rPr>
        <w:t>4</w:t>
      </w:r>
      <w:r>
        <w:rPr>
          <w:rFonts w:hint="default" w:ascii="Times New Roman" w:hAnsi="Times New Roman" w:eastAsia="仿宋_GB2312" w:cs="Times New Roman"/>
          <w:color w:val="auto"/>
          <w:sz w:val="32"/>
          <w:szCs w:val="32"/>
        </w:rPr>
        <w:t>年</w:t>
      </w:r>
      <w:r>
        <w:rPr>
          <w:rFonts w:hint="default" w:ascii="Times New Roman" w:hAnsi="Times New Roman" w:eastAsia="仿宋_GB2312" w:cs="Times New Roman"/>
          <w:color w:val="auto"/>
          <w:sz w:val="32"/>
          <w:szCs w:val="32"/>
          <w:lang w:val="en-US" w:eastAsia="zh-CN"/>
        </w:rPr>
        <w:t>年度，会议费年初预算0万元，支出决算为0万元，</w:t>
      </w:r>
      <w:r>
        <w:rPr>
          <w:rFonts w:hint="default" w:ascii="Times New Roman" w:hAnsi="Times New Roman" w:eastAsia="仿宋_GB2312" w:cs="Times New Roman"/>
          <w:b w:val="0"/>
          <w:bCs w:val="0"/>
          <w:i w:val="0"/>
          <w:iCs w:val="0"/>
          <w:color w:val="auto"/>
          <w:kern w:val="0"/>
          <w:sz w:val="32"/>
          <w:szCs w:val="32"/>
          <w:lang w:val="en-US" w:eastAsia="zh-CN" w:bidi="ar-SA"/>
        </w:rPr>
        <w:t>本单位无会议费的预算和支出决算数</w:t>
      </w:r>
    </w:p>
    <w:p w14:paraId="6BF19328">
      <w:pPr>
        <w:keepNext w:val="0"/>
        <w:keepLines w:val="0"/>
        <w:pageBreakBefore w:val="0"/>
        <w:widowControl w:val="0"/>
        <w:kinsoku/>
        <w:wordWrap/>
        <w:topLinePunct w:val="0"/>
        <w:autoSpaceDE w:val="0"/>
        <w:autoSpaceDN w:val="0"/>
        <w:bidi w:val="0"/>
        <w:adjustRightInd w:val="0"/>
        <w:snapToGrid/>
        <w:spacing w:line="600" w:lineRule="exact"/>
        <w:ind w:left="0" w:leftChars="0" w:firstLine="640" w:firstLineChars="200"/>
        <w:jc w:val="both"/>
        <w:textAlignment w:val="auto"/>
        <w:rPr>
          <w:rFonts w:hint="default" w:ascii="Times New Roman" w:hAnsi="Times New Roman" w:eastAsia="仿宋_GB2312" w:cs="Times New Roman"/>
          <w:color w:val="auto"/>
          <w:kern w:val="0"/>
          <w:sz w:val="32"/>
          <w:szCs w:val="32"/>
          <w:lang w:val="en-US" w:eastAsia="zh-CN" w:bidi="ar-SA"/>
        </w:rPr>
      </w:pPr>
      <w:r>
        <w:rPr>
          <w:rFonts w:hint="default" w:ascii="Times New Roman" w:hAnsi="Times New Roman" w:eastAsia="仿宋_GB2312" w:cs="Times New Roman"/>
          <w:color w:val="auto"/>
          <w:kern w:val="0"/>
          <w:sz w:val="32"/>
          <w:szCs w:val="32"/>
          <w:lang w:val="en-US" w:eastAsia="zh-CN" w:bidi="ar-SA"/>
        </w:rPr>
        <w:t>培训费年初预算4万元，支出决算为0.29万元，完成年初预算的7.25%。用于开展消防操作培训，人数1人，内容为消防操作考试。</w:t>
      </w:r>
    </w:p>
    <w:p w14:paraId="39C2EAB5">
      <w:pPr>
        <w:keepNext w:val="0"/>
        <w:keepLines w:val="0"/>
        <w:pageBreakBefore w:val="0"/>
        <w:widowControl w:val="0"/>
        <w:kinsoku/>
        <w:wordWrap/>
        <w:topLinePunct w:val="0"/>
        <w:autoSpaceDE w:val="0"/>
        <w:autoSpaceDN w:val="0"/>
        <w:bidi w:val="0"/>
        <w:adjustRightInd w:val="0"/>
        <w:snapToGrid/>
        <w:spacing w:line="600" w:lineRule="exact"/>
        <w:ind w:left="0" w:leftChars="0" w:firstLine="640" w:firstLineChars="200"/>
        <w:jc w:val="both"/>
        <w:textAlignment w:val="auto"/>
        <w:rPr>
          <w:rFonts w:hint="default" w:ascii="Times New Roman" w:hAnsi="Times New Roman" w:eastAsia="仿宋_GB2312" w:cs="Times New Roman"/>
          <w:b/>
          <w:bCs/>
          <w:i/>
          <w:color w:val="auto"/>
          <w:kern w:val="0"/>
          <w:sz w:val="32"/>
          <w:szCs w:val="32"/>
          <w:highlight w:val="yellow"/>
          <w:lang w:val="en-US" w:eastAsia="zh-CN" w:bidi="ar-SA"/>
        </w:rPr>
      </w:pPr>
      <w:r>
        <w:rPr>
          <w:rFonts w:hint="default" w:ascii="Times New Roman" w:hAnsi="Times New Roman" w:eastAsia="仿宋_GB2312" w:cs="Times New Roman"/>
          <w:color w:val="auto"/>
          <w:kern w:val="0"/>
          <w:sz w:val="32"/>
          <w:szCs w:val="32"/>
          <w:lang w:val="en-US" w:eastAsia="zh-CN" w:bidi="ar-SA"/>
        </w:rPr>
        <w:t>举办节庆、晚会、论坛、赛事活动年初预算0万元，支出决算为0万元，</w:t>
      </w:r>
      <w:r>
        <w:rPr>
          <w:rFonts w:hint="default" w:ascii="Times New Roman" w:hAnsi="Times New Roman" w:eastAsia="仿宋_GB2312" w:cs="Times New Roman"/>
          <w:b w:val="0"/>
          <w:bCs w:val="0"/>
          <w:i w:val="0"/>
          <w:iCs w:val="0"/>
          <w:color w:val="auto"/>
          <w:kern w:val="0"/>
          <w:sz w:val="32"/>
          <w:szCs w:val="32"/>
          <w:lang w:val="en-US" w:eastAsia="zh-CN" w:bidi="ar-SA"/>
        </w:rPr>
        <w:t>本单位无举办节庆、晚会、论坛、赛事等活动的预算和支出决算数。</w:t>
      </w:r>
    </w:p>
    <w:p w14:paraId="252D0BEE">
      <w:pPr>
        <w:pStyle w:val="13"/>
        <w:keepNext w:val="0"/>
        <w:keepLines w:val="0"/>
        <w:pageBreakBefore w:val="0"/>
        <w:widowControl w:val="0"/>
        <w:kinsoku/>
        <w:wordWrap/>
        <w:overflowPunct/>
        <w:topLinePunct w:val="0"/>
        <w:bidi w:val="0"/>
        <w:snapToGrid/>
        <w:spacing w:line="600" w:lineRule="exact"/>
        <w:ind w:left="0" w:leftChars="0" w:firstLine="640" w:firstLineChars="200"/>
        <w:jc w:val="both"/>
        <w:textAlignment w:val="auto"/>
        <w:rPr>
          <w:rFonts w:hint="default" w:ascii="黑体" w:hAnsi="黑体" w:eastAsia="黑体" w:cs="黑体"/>
          <w:b w:val="0"/>
          <w:bCs/>
          <w:color w:val="auto"/>
          <w:sz w:val="32"/>
          <w:szCs w:val="32"/>
        </w:rPr>
      </w:pPr>
      <w:r>
        <w:rPr>
          <w:rFonts w:hint="default" w:ascii="黑体" w:hAnsi="黑体" w:eastAsia="黑体" w:cs="黑体"/>
          <w:b w:val="0"/>
          <w:bCs/>
          <w:color w:val="auto"/>
          <w:sz w:val="32"/>
          <w:szCs w:val="32"/>
        </w:rPr>
        <w:t>十</w:t>
      </w:r>
      <w:r>
        <w:rPr>
          <w:rFonts w:hint="default" w:ascii="黑体" w:hAnsi="黑体" w:eastAsia="黑体" w:cs="黑体"/>
          <w:b w:val="0"/>
          <w:bCs/>
          <w:color w:val="auto"/>
          <w:sz w:val="32"/>
          <w:szCs w:val="32"/>
          <w:lang w:eastAsia="zh-CN"/>
        </w:rPr>
        <w:t>二</w:t>
      </w:r>
      <w:r>
        <w:rPr>
          <w:rFonts w:hint="default" w:ascii="黑体" w:hAnsi="黑体" w:eastAsia="黑体" w:cs="黑体"/>
          <w:b w:val="0"/>
          <w:bCs/>
          <w:color w:val="auto"/>
          <w:sz w:val="32"/>
          <w:szCs w:val="32"/>
        </w:rPr>
        <w:t>、关于政府采购支出说明</w:t>
      </w:r>
    </w:p>
    <w:p w14:paraId="4120C9CB">
      <w:pPr>
        <w:pStyle w:val="13"/>
        <w:keepNext w:val="0"/>
        <w:keepLines w:val="0"/>
        <w:pageBreakBefore w:val="0"/>
        <w:widowControl w:val="0"/>
        <w:kinsoku/>
        <w:wordWrap/>
        <w:overflowPunct/>
        <w:topLinePunct w:val="0"/>
        <w:bidi w:val="0"/>
        <w:snapToGrid/>
        <w:spacing w:line="600" w:lineRule="exact"/>
        <w:ind w:left="0" w:leftChars="0" w:firstLine="640" w:firstLineChars="200"/>
        <w:jc w:val="both"/>
        <w:textAlignment w:val="auto"/>
        <w:rPr>
          <w:rFonts w:hint="default" w:ascii="Times New Roman" w:hAnsi="Times New Roman" w:eastAsia="仿宋_GB2312" w:cs="Times New Roman"/>
          <w:color w:val="auto"/>
          <w:sz w:val="32"/>
          <w:szCs w:val="32"/>
        </w:rPr>
      </w:pPr>
      <w:r>
        <w:rPr>
          <w:rFonts w:hint="default" w:ascii="Times New Roman" w:hAnsi="Times New Roman" w:eastAsia="仿宋_GB2312" w:cs="Times New Roman"/>
          <w:color w:val="auto"/>
          <w:sz w:val="32"/>
          <w:szCs w:val="32"/>
        </w:rPr>
        <w:t>本部门202</w:t>
      </w:r>
      <w:r>
        <w:rPr>
          <w:rFonts w:hint="default" w:ascii="Times New Roman" w:hAnsi="Times New Roman" w:eastAsia="仿宋_GB2312" w:cs="Times New Roman"/>
          <w:color w:val="auto"/>
          <w:sz w:val="32"/>
          <w:szCs w:val="32"/>
          <w:lang w:val="en-US" w:eastAsia="zh-CN"/>
        </w:rPr>
        <w:t>4</w:t>
      </w:r>
      <w:r>
        <w:rPr>
          <w:rFonts w:hint="default" w:ascii="Times New Roman" w:hAnsi="Times New Roman" w:eastAsia="仿宋_GB2312" w:cs="Times New Roman"/>
          <w:color w:val="auto"/>
          <w:sz w:val="32"/>
          <w:szCs w:val="32"/>
        </w:rPr>
        <w:t>年度政府采购支出总额</w:t>
      </w:r>
      <w:r>
        <w:rPr>
          <w:rFonts w:hint="default" w:ascii="Times New Roman" w:hAnsi="Times New Roman" w:eastAsia="仿宋_GB2312" w:cs="Times New Roman"/>
          <w:color w:val="auto"/>
          <w:sz w:val="32"/>
          <w:szCs w:val="32"/>
          <w:lang w:val="en-US" w:eastAsia="zh-CN"/>
        </w:rPr>
        <w:t>178.6</w:t>
      </w:r>
      <w:r>
        <w:rPr>
          <w:rFonts w:hint="default" w:ascii="Times New Roman" w:hAnsi="Times New Roman" w:eastAsia="仿宋_GB2312" w:cs="Times New Roman"/>
          <w:color w:val="auto"/>
          <w:sz w:val="32"/>
          <w:szCs w:val="32"/>
        </w:rPr>
        <w:t>万元，其中：政府采购货物支出</w:t>
      </w:r>
      <w:r>
        <w:rPr>
          <w:rFonts w:hint="default" w:ascii="Times New Roman" w:hAnsi="Times New Roman" w:eastAsia="仿宋_GB2312" w:cs="Times New Roman"/>
          <w:color w:val="auto"/>
          <w:sz w:val="32"/>
          <w:szCs w:val="32"/>
          <w:lang w:val="en-US" w:eastAsia="zh-CN"/>
        </w:rPr>
        <w:t>49.32</w:t>
      </w:r>
      <w:r>
        <w:rPr>
          <w:rFonts w:hint="default" w:ascii="Times New Roman" w:hAnsi="Times New Roman" w:eastAsia="仿宋_GB2312" w:cs="Times New Roman"/>
          <w:color w:val="auto"/>
          <w:sz w:val="32"/>
          <w:szCs w:val="32"/>
        </w:rPr>
        <w:t xml:space="preserve"> 万元、政府采购工程支出</w:t>
      </w:r>
      <w:r>
        <w:rPr>
          <w:rFonts w:hint="default" w:ascii="Times New Roman" w:hAnsi="Times New Roman" w:eastAsia="仿宋_GB2312" w:cs="Times New Roman"/>
          <w:color w:val="auto"/>
          <w:sz w:val="32"/>
          <w:szCs w:val="32"/>
          <w:lang w:val="en-US" w:eastAsia="zh-CN"/>
        </w:rPr>
        <w:t>0</w:t>
      </w:r>
      <w:r>
        <w:rPr>
          <w:rFonts w:hint="default" w:ascii="Times New Roman" w:hAnsi="Times New Roman" w:eastAsia="仿宋_GB2312" w:cs="Times New Roman"/>
          <w:color w:val="auto"/>
          <w:sz w:val="32"/>
          <w:szCs w:val="32"/>
        </w:rPr>
        <w:t>万元、政府采购服务支出</w:t>
      </w:r>
      <w:r>
        <w:rPr>
          <w:rFonts w:hint="default" w:ascii="Times New Roman" w:hAnsi="Times New Roman" w:eastAsia="仿宋_GB2312" w:cs="Times New Roman"/>
          <w:color w:val="auto"/>
          <w:sz w:val="32"/>
          <w:szCs w:val="32"/>
          <w:lang w:val="en-US" w:eastAsia="zh-CN"/>
        </w:rPr>
        <w:t>129.28</w:t>
      </w:r>
      <w:r>
        <w:rPr>
          <w:rFonts w:hint="default" w:ascii="Times New Roman" w:hAnsi="Times New Roman" w:eastAsia="仿宋_GB2312" w:cs="Times New Roman"/>
          <w:color w:val="auto"/>
          <w:sz w:val="32"/>
          <w:szCs w:val="32"/>
        </w:rPr>
        <w:t>万元。授予中小企业合同金额</w:t>
      </w:r>
      <w:r>
        <w:rPr>
          <w:rFonts w:hint="default" w:ascii="Times New Roman" w:hAnsi="Times New Roman" w:eastAsia="仿宋_GB2312" w:cs="Times New Roman"/>
          <w:color w:val="auto"/>
          <w:sz w:val="32"/>
          <w:szCs w:val="32"/>
          <w:lang w:val="en-US" w:eastAsia="zh-CN"/>
        </w:rPr>
        <w:t>178.6</w:t>
      </w:r>
      <w:r>
        <w:rPr>
          <w:rFonts w:hint="default" w:ascii="Times New Roman" w:hAnsi="Times New Roman" w:eastAsia="仿宋_GB2312" w:cs="Times New Roman"/>
          <w:color w:val="auto"/>
          <w:sz w:val="32"/>
          <w:szCs w:val="32"/>
        </w:rPr>
        <w:t>万元，占政府采购支出总额的</w:t>
      </w:r>
      <w:r>
        <w:rPr>
          <w:rFonts w:hint="default" w:ascii="Times New Roman" w:hAnsi="Times New Roman" w:eastAsia="仿宋_GB2312" w:cs="Times New Roman"/>
          <w:color w:val="auto"/>
          <w:sz w:val="32"/>
          <w:szCs w:val="32"/>
          <w:lang w:val="en-US" w:eastAsia="zh-CN"/>
        </w:rPr>
        <w:t>100</w:t>
      </w:r>
      <w:r>
        <w:rPr>
          <w:rFonts w:hint="default" w:ascii="Times New Roman" w:hAnsi="Times New Roman" w:eastAsia="仿宋_GB2312" w:cs="Times New Roman"/>
          <w:color w:val="auto"/>
          <w:sz w:val="32"/>
          <w:szCs w:val="32"/>
        </w:rPr>
        <w:t>%，其中：授予小微企业合同金额</w:t>
      </w:r>
      <w:r>
        <w:rPr>
          <w:rFonts w:hint="default" w:ascii="Times New Roman" w:hAnsi="Times New Roman" w:eastAsia="仿宋_GB2312" w:cs="Times New Roman"/>
          <w:color w:val="auto"/>
          <w:sz w:val="32"/>
          <w:szCs w:val="32"/>
          <w:lang w:val="en-US" w:eastAsia="zh-CN"/>
        </w:rPr>
        <w:t>178.6</w:t>
      </w:r>
      <w:r>
        <w:rPr>
          <w:rFonts w:hint="default" w:ascii="Times New Roman" w:hAnsi="Times New Roman" w:eastAsia="仿宋_GB2312" w:cs="Times New Roman"/>
          <w:color w:val="auto"/>
          <w:sz w:val="32"/>
          <w:szCs w:val="32"/>
        </w:rPr>
        <w:t>万元，占</w:t>
      </w:r>
      <w:r>
        <w:rPr>
          <w:rFonts w:hint="default" w:ascii="Times New Roman" w:hAnsi="Times New Roman" w:eastAsia="仿宋_GB2312" w:cs="Times New Roman"/>
          <w:color w:val="auto"/>
          <w:sz w:val="32"/>
          <w:szCs w:val="32"/>
          <w:lang w:eastAsia="zh-CN"/>
        </w:rPr>
        <w:t>授予中小企业合同金额</w:t>
      </w:r>
      <w:r>
        <w:rPr>
          <w:rFonts w:hint="default" w:ascii="Times New Roman" w:hAnsi="Times New Roman" w:eastAsia="仿宋_GB2312" w:cs="Times New Roman"/>
          <w:color w:val="auto"/>
          <w:sz w:val="32"/>
          <w:szCs w:val="32"/>
        </w:rPr>
        <w:t>的</w:t>
      </w:r>
      <w:r>
        <w:rPr>
          <w:rFonts w:hint="default" w:ascii="Times New Roman" w:hAnsi="Times New Roman" w:eastAsia="仿宋_GB2312" w:cs="Times New Roman"/>
          <w:color w:val="auto"/>
          <w:sz w:val="32"/>
          <w:szCs w:val="32"/>
          <w:lang w:val="en-US" w:eastAsia="zh-CN"/>
        </w:rPr>
        <w:t>100</w:t>
      </w:r>
      <w:r>
        <w:rPr>
          <w:rFonts w:hint="default" w:ascii="Times New Roman" w:hAnsi="Times New Roman" w:eastAsia="仿宋_GB2312" w:cs="Times New Roman"/>
          <w:color w:val="auto"/>
          <w:sz w:val="32"/>
          <w:szCs w:val="32"/>
        </w:rPr>
        <w:t>%。货物采购授予中小企业合同金额占货物支出金额的</w:t>
      </w:r>
      <w:r>
        <w:rPr>
          <w:rFonts w:hint="default" w:ascii="Times New Roman" w:hAnsi="Times New Roman" w:eastAsia="仿宋_GB2312" w:cs="Times New Roman"/>
          <w:color w:val="auto"/>
          <w:sz w:val="32"/>
          <w:szCs w:val="32"/>
          <w:lang w:val="en-US" w:eastAsia="zh-CN"/>
        </w:rPr>
        <w:t>27.61</w:t>
      </w:r>
      <w:r>
        <w:rPr>
          <w:rFonts w:hint="default" w:ascii="Times New Roman" w:hAnsi="Times New Roman" w:eastAsia="仿宋_GB2312" w:cs="Times New Roman"/>
          <w:color w:val="auto"/>
          <w:sz w:val="32"/>
          <w:szCs w:val="32"/>
        </w:rPr>
        <w:t>%，工程采购授予中小企业合同金额占工程支出金额的</w:t>
      </w:r>
      <w:r>
        <w:rPr>
          <w:rFonts w:hint="default" w:ascii="Times New Roman" w:hAnsi="Times New Roman" w:eastAsia="仿宋_GB2312" w:cs="Times New Roman"/>
          <w:color w:val="auto"/>
          <w:sz w:val="32"/>
          <w:szCs w:val="32"/>
          <w:lang w:val="en-US" w:eastAsia="zh-CN"/>
        </w:rPr>
        <w:t>0</w:t>
      </w:r>
      <w:r>
        <w:rPr>
          <w:rFonts w:hint="default" w:ascii="Times New Roman" w:hAnsi="Times New Roman" w:eastAsia="仿宋_GB2312" w:cs="Times New Roman"/>
          <w:color w:val="auto"/>
          <w:sz w:val="32"/>
          <w:szCs w:val="32"/>
        </w:rPr>
        <w:t>%，服务采购授予中小企业合同金额占服务支出金额的</w:t>
      </w:r>
      <w:r>
        <w:rPr>
          <w:rFonts w:hint="default" w:ascii="Times New Roman" w:hAnsi="Times New Roman" w:eastAsia="仿宋_GB2312" w:cs="Times New Roman"/>
          <w:color w:val="auto"/>
          <w:sz w:val="32"/>
          <w:szCs w:val="32"/>
          <w:lang w:val="en-US" w:eastAsia="zh-CN"/>
        </w:rPr>
        <w:t>72.39</w:t>
      </w:r>
      <w:r>
        <w:rPr>
          <w:rFonts w:hint="default" w:ascii="Times New Roman" w:hAnsi="Times New Roman" w:eastAsia="仿宋_GB2312" w:cs="Times New Roman"/>
          <w:color w:val="auto"/>
          <w:sz w:val="32"/>
          <w:szCs w:val="32"/>
        </w:rPr>
        <w:t>%。</w:t>
      </w:r>
    </w:p>
    <w:p w14:paraId="246A0DF6">
      <w:pPr>
        <w:pStyle w:val="13"/>
        <w:keepNext w:val="0"/>
        <w:keepLines w:val="0"/>
        <w:pageBreakBefore w:val="0"/>
        <w:widowControl w:val="0"/>
        <w:kinsoku/>
        <w:wordWrap/>
        <w:overflowPunct/>
        <w:topLinePunct w:val="0"/>
        <w:bidi w:val="0"/>
        <w:snapToGrid/>
        <w:spacing w:line="600" w:lineRule="exact"/>
        <w:ind w:left="0" w:leftChars="0" w:firstLine="640" w:firstLineChars="200"/>
        <w:jc w:val="both"/>
        <w:textAlignment w:val="auto"/>
        <w:rPr>
          <w:rFonts w:hint="default" w:ascii="黑体" w:hAnsi="黑体" w:eastAsia="黑体" w:cs="黑体"/>
          <w:b w:val="0"/>
          <w:bCs/>
          <w:color w:val="auto"/>
          <w:sz w:val="32"/>
          <w:szCs w:val="32"/>
        </w:rPr>
      </w:pPr>
      <w:r>
        <w:rPr>
          <w:rFonts w:hint="default" w:ascii="黑体" w:hAnsi="黑体" w:eastAsia="黑体" w:cs="黑体"/>
          <w:b w:val="0"/>
          <w:bCs/>
          <w:color w:val="auto"/>
          <w:sz w:val="32"/>
          <w:szCs w:val="32"/>
        </w:rPr>
        <w:t>十</w:t>
      </w:r>
      <w:r>
        <w:rPr>
          <w:rFonts w:hint="default" w:ascii="黑体" w:hAnsi="黑体" w:eastAsia="黑体" w:cs="黑体"/>
          <w:b w:val="0"/>
          <w:bCs/>
          <w:color w:val="auto"/>
          <w:sz w:val="32"/>
          <w:szCs w:val="32"/>
          <w:lang w:eastAsia="zh-CN"/>
        </w:rPr>
        <w:t>三</w:t>
      </w:r>
      <w:r>
        <w:rPr>
          <w:rFonts w:hint="default" w:ascii="黑体" w:hAnsi="黑体" w:eastAsia="黑体" w:cs="黑体"/>
          <w:b w:val="0"/>
          <w:bCs/>
          <w:color w:val="auto"/>
          <w:sz w:val="32"/>
          <w:szCs w:val="32"/>
        </w:rPr>
        <w:t>、关于国有资产占用情况说明</w:t>
      </w:r>
    </w:p>
    <w:p w14:paraId="37C9D953">
      <w:pPr>
        <w:pStyle w:val="13"/>
        <w:keepNext w:val="0"/>
        <w:keepLines w:val="0"/>
        <w:pageBreakBefore w:val="0"/>
        <w:widowControl w:val="0"/>
        <w:kinsoku/>
        <w:wordWrap/>
        <w:overflowPunct/>
        <w:topLinePunct w:val="0"/>
        <w:autoSpaceDE w:val="0"/>
        <w:autoSpaceDN w:val="0"/>
        <w:bidi w:val="0"/>
        <w:adjustRightInd w:val="0"/>
        <w:snapToGrid/>
        <w:spacing w:line="600" w:lineRule="exact"/>
        <w:ind w:left="0" w:leftChars="0" w:firstLine="640" w:firstLineChars="200"/>
        <w:jc w:val="both"/>
        <w:textAlignment w:val="auto"/>
        <w:rPr>
          <w:rFonts w:hint="default" w:ascii="Times New Roman" w:hAnsi="Times New Roman" w:eastAsia="仿宋_GB2312" w:cs="Times New Roman"/>
          <w:color w:val="auto"/>
          <w:sz w:val="32"/>
          <w:szCs w:val="32"/>
        </w:rPr>
      </w:pPr>
      <w:r>
        <w:rPr>
          <w:rFonts w:hint="default" w:ascii="Times New Roman" w:hAnsi="Times New Roman" w:eastAsia="仿宋_GB2312" w:cs="Times New Roman"/>
          <w:color w:val="auto"/>
          <w:sz w:val="32"/>
          <w:szCs w:val="32"/>
        </w:rPr>
        <w:t>截至202</w:t>
      </w:r>
      <w:r>
        <w:rPr>
          <w:rFonts w:hint="default" w:ascii="Times New Roman" w:hAnsi="Times New Roman" w:eastAsia="仿宋_GB2312" w:cs="Times New Roman"/>
          <w:color w:val="auto"/>
          <w:sz w:val="32"/>
          <w:szCs w:val="32"/>
          <w:lang w:val="en-US" w:eastAsia="zh-CN"/>
        </w:rPr>
        <w:t>4</w:t>
      </w:r>
      <w:r>
        <w:rPr>
          <w:rFonts w:hint="default" w:ascii="Times New Roman" w:hAnsi="Times New Roman" w:eastAsia="仿宋_GB2312" w:cs="Times New Roman"/>
          <w:color w:val="auto"/>
          <w:sz w:val="32"/>
          <w:szCs w:val="32"/>
        </w:rPr>
        <w:t>年12月31日，</w:t>
      </w:r>
      <w:r>
        <w:rPr>
          <w:rFonts w:hint="default" w:ascii="Times New Roman" w:hAnsi="Times New Roman" w:eastAsia="仿宋_GB2312" w:cs="Times New Roman"/>
          <w:color w:val="auto"/>
          <w:sz w:val="32"/>
          <w:szCs w:val="32"/>
          <w:lang w:eastAsia="zh-CN"/>
        </w:rPr>
        <w:t>本单位</w:t>
      </w:r>
      <w:r>
        <w:rPr>
          <w:rFonts w:hint="default" w:ascii="Times New Roman" w:hAnsi="Times New Roman" w:eastAsia="仿宋_GB2312" w:cs="Times New Roman"/>
          <w:color w:val="auto"/>
          <w:sz w:val="32"/>
          <w:szCs w:val="32"/>
        </w:rPr>
        <w:t>共有车辆</w:t>
      </w:r>
      <w:r>
        <w:rPr>
          <w:rFonts w:hint="default" w:ascii="Times New Roman" w:hAnsi="Times New Roman" w:eastAsia="仿宋_GB2312" w:cs="Times New Roman"/>
          <w:color w:val="auto"/>
          <w:sz w:val="32"/>
          <w:szCs w:val="32"/>
          <w:lang w:val="en-US" w:eastAsia="zh-CN"/>
        </w:rPr>
        <w:t>0</w:t>
      </w:r>
      <w:r>
        <w:rPr>
          <w:rFonts w:hint="default" w:ascii="Times New Roman" w:hAnsi="Times New Roman" w:eastAsia="仿宋_GB2312" w:cs="Times New Roman"/>
          <w:color w:val="auto"/>
          <w:sz w:val="32"/>
          <w:szCs w:val="32"/>
        </w:rPr>
        <w:t>辆，其中</w:t>
      </w:r>
      <w:r>
        <w:rPr>
          <w:rFonts w:hint="default" w:ascii="Times New Roman" w:hAnsi="Times New Roman" w:eastAsia="仿宋_GB2312" w:cs="Times New Roman"/>
          <w:color w:val="auto"/>
          <w:sz w:val="32"/>
          <w:szCs w:val="32"/>
          <w:lang w:eastAsia="zh-CN"/>
        </w:rPr>
        <w:t>，副部（省）级及以上领导用车</w:t>
      </w:r>
      <w:r>
        <w:rPr>
          <w:rFonts w:hint="default" w:ascii="Times New Roman" w:hAnsi="Times New Roman" w:eastAsia="仿宋_GB2312" w:cs="Times New Roman"/>
          <w:color w:val="auto"/>
          <w:sz w:val="32"/>
          <w:szCs w:val="32"/>
          <w:lang w:val="en-US" w:eastAsia="zh-CN"/>
        </w:rPr>
        <w:t>0</w:t>
      </w:r>
      <w:r>
        <w:rPr>
          <w:rFonts w:hint="default" w:ascii="Times New Roman" w:hAnsi="Times New Roman" w:eastAsia="仿宋_GB2312" w:cs="Times New Roman"/>
          <w:color w:val="auto"/>
          <w:sz w:val="32"/>
          <w:szCs w:val="32"/>
        </w:rPr>
        <w:t>辆</w:t>
      </w:r>
      <w:r>
        <w:rPr>
          <w:rFonts w:hint="default" w:ascii="Times New Roman" w:hAnsi="Times New Roman" w:eastAsia="仿宋_GB2312" w:cs="Times New Roman"/>
          <w:color w:val="auto"/>
          <w:sz w:val="32"/>
          <w:szCs w:val="32"/>
          <w:lang w:eastAsia="zh-CN"/>
        </w:rPr>
        <w:t>、</w:t>
      </w:r>
      <w:r>
        <w:rPr>
          <w:rFonts w:hint="default" w:ascii="Times New Roman" w:hAnsi="Times New Roman" w:eastAsia="仿宋_GB2312" w:cs="Times New Roman"/>
          <w:color w:val="auto"/>
          <w:sz w:val="32"/>
          <w:szCs w:val="32"/>
        </w:rPr>
        <w:t>主要</w:t>
      </w:r>
      <w:r>
        <w:rPr>
          <w:rFonts w:hint="default" w:ascii="Times New Roman" w:hAnsi="Times New Roman" w:eastAsia="仿宋_GB2312" w:cs="Times New Roman"/>
          <w:color w:val="auto"/>
          <w:sz w:val="32"/>
          <w:szCs w:val="32"/>
          <w:lang w:eastAsia="zh-CN"/>
        </w:rPr>
        <w:t>负责人</w:t>
      </w:r>
      <w:r>
        <w:rPr>
          <w:rFonts w:hint="default" w:ascii="Times New Roman" w:hAnsi="Times New Roman" w:eastAsia="仿宋_GB2312" w:cs="Times New Roman"/>
          <w:color w:val="auto"/>
          <w:sz w:val="32"/>
          <w:szCs w:val="32"/>
        </w:rPr>
        <w:t>用车</w:t>
      </w:r>
      <w:r>
        <w:rPr>
          <w:rFonts w:hint="default" w:ascii="Times New Roman" w:hAnsi="Times New Roman" w:eastAsia="仿宋_GB2312" w:cs="Times New Roman"/>
          <w:color w:val="auto"/>
          <w:sz w:val="32"/>
          <w:szCs w:val="32"/>
          <w:lang w:val="en-US" w:eastAsia="zh-CN"/>
        </w:rPr>
        <w:t>0</w:t>
      </w:r>
      <w:r>
        <w:rPr>
          <w:rFonts w:hint="default" w:ascii="Times New Roman" w:hAnsi="Times New Roman" w:eastAsia="仿宋_GB2312" w:cs="Times New Roman"/>
          <w:color w:val="auto"/>
          <w:sz w:val="32"/>
          <w:szCs w:val="32"/>
        </w:rPr>
        <w:t>辆</w:t>
      </w:r>
      <w:r>
        <w:rPr>
          <w:rFonts w:hint="default" w:ascii="Times New Roman" w:hAnsi="Times New Roman" w:eastAsia="仿宋_GB2312" w:cs="Times New Roman"/>
          <w:color w:val="auto"/>
          <w:sz w:val="32"/>
          <w:szCs w:val="32"/>
          <w:lang w:eastAsia="zh-CN"/>
        </w:rPr>
        <w:t>、</w:t>
      </w:r>
      <w:r>
        <w:rPr>
          <w:rFonts w:hint="default" w:ascii="Times New Roman" w:hAnsi="Times New Roman" w:eastAsia="仿宋_GB2312" w:cs="Times New Roman"/>
          <w:color w:val="auto"/>
          <w:sz w:val="32"/>
          <w:szCs w:val="32"/>
        </w:rPr>
        <w:t>机要通信用车</w:t>
      </w:r>
      <w:r>
        <w:rPr>
          <w:rFonts w:hint="default" w:ascii="Times New Roman" w:hAnsi="Times New Roman" w:eastAsia="仿宋_GB2312" w:cs="Times New Roman"/>
          <w:color w:val="auto"/>
          <w:sz w:val="32"/>
          <w:szCs w:val="32"/>
          <w:lang w:val="en-US" w:eastAsia="zh-CN"/>
        </w:rPr>
        <w:t>0</w:t>
      </w:r>
      <w:r>
        <w:rPr>
          <w:rFonts w:hint="default" w:ascii="Times New Roman" w:hAnsi="Times New Roman" w:eastAsia="仿宋_GB2312" w:cs="Times New Roman"/>
          <w:color w:val="auto"/>
          <w:sz w:val="32"/>
          <w:szCs w:val="32"/>
        </w:rPr>
        <w:t>辆、应急保障用车</w:t>
      </w:r>
      <w:r>
        <w:rPr>
          <w:rFonts w:hint="default" w:ascii="Times New Roman" w:hAnsi="Times New Roman" w:eastAsia="仿宋_GB2312" w:cs="Times New Roman"/>
          <w:color w:val="auto"/>
          <w:sz w:val="32"/>
          <w:szCs w:val="32"/>
          <w:lang w:val="en-US" w:eastAsia="zh-CN"/>
        </w:rPr>
        <w:t>0</w:t>
      </w:r>
      <w:r>
        <w:rPr>
          <w:rFonts w:hint="default" w:ascii="Times New Roman" w:hAnsi="Times New Roman" w:eastAsia="仿宋_GB2312" w:cs="Times New Roman"/>
          <w:color w:val="auto"/>
          <w:sz w:val="32"/>
          <w:szCs w:val="32"/>
        </w:rPr>
        <w:t>辆、执法执勤用车</w:t>
      </w:r>
      <w:r>
        <w:rPr>
          <w:rFonts w:hint="default" w:ascii="Times New Roman" w:hAnsi="Times New Roman" w:eastAsia="仿宋_GB2312" w:cs="Times New Roman"/>
          <w:color w:val="auto"/>
          <w:sz w:val="32"/>
          <w:szCs w:val="32"/>
          <w:lang w:val="en-US" w:eastAsia="zh-CN"/>
        </w:rPr>
        <w:t>0</w:t>
      </w:r>
      <w:r>
        <w:rPr>
          <w:rFonts w:hint="default" w:ascii="Times New Roman" w:hAnsi="Times New Roman" w:eastAsia="仿宋_GB2312" w:cs="Times New Roman"/>
          <w:color w:val="auto"/>
          <w:sz w:val="32"/>
          <w:szCs w:val="32"/>
        </w:rPr>
        <w:t>辆、特种专业技术用车</w:t>
      </w:r>
      <w:r>
        <w:rPr>
          <w:rFonts w:hint="default" w:ascii="Times New Roman" w:hAnsi="Times New Roman" w:eastAsia="仿宋_GB2312" w:cs="Times New Roman"/>
          <w:color w:val="auto"/>
          <w:sz w:val="32"/>
          <w:szCs w:val="32"/>
          <w:lang w:val="en-US" w:eastAsia="zh-CN"/>
        </w:rPr>
        <w:t>0</w:t>
      </w:r>
      <w:r>
        <w:rPr>
          <w:rFonts w:hint="default" w:ascii="Times New Roman" w:hAnsi="Times New Roman" w:eastAsia="仿宋_GB2312" w:cs="Times New Roman"/>
          <w:color w:val="auto"/>
          <w:sz w:val="32"/>
          <w:szCs w:val="32"/>
        </w:rPr>
        <w:t>辆、</w:t>
      </w:r>
      <w:r>
        <w:rPr>
          <w:rFonts w:hint="default" w:ascii="Times New Roman" w:hAnsi="Times New Roman" w:eastAsia="仿宋_GB2312" w:cs="Times New Roman"/>
          <w:color w:val="auto"/>
          <w:sz w:val="32"/>
          <w:szCs w:val="32"/>
          <w:lang w:eastAsia="zh-CN"/>
        </w:rPr>
        <w:t>离退休干部服务用车</w:t>
      </w:r>
      <w:r>
        <w:rPr>
          <w:rFonts w:hint="default" w:ascii="Times New Roman" w:hAnsi="Times New Roman" w:eastAsia="仿宋_GB2312" w:cs="Times New Roman"/>
          <w:color w:val="auto"/>
          <w:sz w:val="32"/>
          <w:szCs w:val="32"/>
          <w:lang w:val="en-US" w:eastAsia="zh-CN"/>
        </w:rPr>
        <w:t>0</w:t>
      </w:r>
      <w:r>
        <w:rPr>
          <w:rFonts w:hint="default" w:ascii="Times New Roman" w:hAnsi="Times New Roman" w:eastAsia="仿宋_GB2312" w:cs="Times New Roman"/>
          <w:color w:val="auto"/>
          <w:sz w:val="32"/>
          <w:szCs w:val="32"/>
        </w:rPr>
        <w:t>辆、其他用车</w:t>
      </w:r>
      <w:r>
        <w:rPr>
          <w:rFonts w:hint="default" w:ascii="Times New Roman" w:hAnsi="Times New Roman" w:eastAsia="仿宋_GB2312" w:cs="Times New Roman"/>
          <w:color w:val="auto"/>
          <w:sz w:val="32"/>
          <w:szCs w:val="32"/>
          <w:lang w:val="en-US" w:eastAsia="zh-CN"/>
        </w:rPr>
        <w:t>0</w:t>
      </w:r>
      <w:r>
        <w:rPr>
          <w:rFonts w:hint="default" w:ascii="Times New Roman" w:hAnsi="Times New Roman" w:eastAsia="仿宋_GB2312" w:cs="Times New Roman"/>
          <w:color w:val="auto"/>
          <w:sz w:val="32"/>
          <w:szCs w:val="32"/>
        </w:rPr>
        <w:t>辆；单位价值100万元以上设备</w:t>
      </w:r>
      <w:r>
        <w:rPr>
          <w:rFonts w:hint="default" w:ascii="Times New Roman" w:hAnsi="Times New Roman" w:eastAsia="仿宋_GB2312" w:cs="Times New Roman"/>
          <w:color w:val="auto"/>
          <w:sz w:val="32"/>
          <w:szCs w:val="32"/>
          <w:lang w:eastAsia="zh-CN"/>
        </w:rPr>
        <w:t>（不含车辆）</w:t>
      </w:r>
      <w:r>
        <w:rPr>
          <w:rFonts w:hint="default" w:ascii="Times New Roman" w:hAnsi="Times New Roman" w:eastAsia="仿宋_GB2312" w:cs="Times New Roman"/>
          <w:color w:val="auto"/>
          <w:sz w:val="32"/>
          <w:szCs w:val="32"/>
          <w:lang w:val="en-US" w:eastAsia="zh-CN"/>
        </w:rPr>
        <w:t>0</w:t>
      </w:r>
      <w:r>
        <w:rPr>
          <w:rFonts w:hint="default" w:ascii="Times New Roman" w:hAnsi="Times New Roman" w:eastAsia="仿宋_GB2312" w:cs="Times New Roman"/>
          <w:color w:val="auto"/>
          <w:sz w:val="32"/>
          <w:szCs w:val="32"/>
        </w:rPr>
        <w:t>台（套）。</w:t>
      </w:r>
    </w:p>
    <w:p w14:paraId="0A8224AC">
      <w:pPr>
        <w:pStyle w:val="13"/>
        <w:keepNext w:val="0"/>
        <w:keepLines w:val="0"/>
        <w:pageBreakBefore w:val="0"/>
        <w:widowControl w:val="0"/>
        <w:kinsoku/>
        <w:wordWrap/>
        <w:overflowPunct/>
        <w:topLinePunct w:val="0"/>
        <w:bidi w:val="0"/>
        <w:snapToGrid/>
        <w:spacing w:line="600" w:lineRule="exact"/>
        <w:ind w:left="0" w:leftChars="0" w:firstLine="640" w:firstLineChars="200"/>
        <w:jc w:val="both"/>
        <w:textAlignment w:val="auto"/>
        <w:rPr>
          <w:rFonts w:hint="default" w:ascii="黑体" w:hAnsi="黑体" w:eastAsia="黑体" w:cs="黑体"/>
          <w:b w:val="0"/>
          <w:bCs/>
          <w:color w:val="auto"/>
          <w:sz w:val="32"/>
          <w:szCs w:val="32"/>
        </w:rPr>
      </w:pPr>
      <w:r>
        <w:rPr>
          <w:rFonts w:hint="default" w:ascii="黑体" w:hAnsi="黑体" w:eastAsia="黑体" w:cs="黑体"/>
          <w:b w:val="0"/>
          <w:bCs/>
          <w:color w:val="auto"/>
          <w:sz w:val="32"/>
          <w:szCs w:val="32"/>
        </w:rPr>
        <w:t>十</w:t>
      </w:r>
      <w:r>
        <w:rPr>
          <w:rFonts w:hint="default" w:ascii="黑体" w:hAnsi="黑体" w:eastAsia="黑体" w:cs="黑体"/>
          <w:b w:val="0"/>
          <w:bCs/>
          <w:color w:val="auto"/>
          <w:sz w:val="32"/>
          <w:szCs w:val="32"/>
          <w:lang w:eastAsia="zh-CN"/>
        </w:rPr>
        <w:t>四</w:t>
      </w:r>
      <w:r>
        <w:rPr>
          <w:rFonts w:hint="default" w:ascii="黑体" w:hAnsi="黑体" w:eastAsia="黑体" w:cs="黑体"/>
          <w:b w:val="0"/>
          <w:bCs/>
          <w:color w:val="auto"/>
          <w:sz w:val="32"/>
          <w:szCs w:val="32"/>
        </w:rPr>
        <w:t>、关于202</w:t>
      </w:r>
      <w:r>
        <w:rPr>
          <w:rFonts w:hint="default" w:ascii="黑体" w:hAnsi="黑体" w:eastAsia="黑体" w:cs="黑体"/>
          <w:b w:val="0"/>
          <w:bCs/>
          <w:color w:val="auto"/>
          <w:sz w:val="32"/>
          <w:szCs w:val="32"/>
          <w:lang w:val="en-US" w:eastAsia="zh-CN"/>
        </w:rPr>
        <w:t>4</w:t>
      </w:r>
      <w:r>
        <w:rPr>
          <w:rFonts w:hint="default" w:ascii="黑体" w:hAnsi="黑体" w:eastAsia="黑体" w:cs="黑体"/>
          <w:b w:val="0"/>
          <w:bCs/>
          <w:color w:val="auto"/>
          <w:sz w:val="32"/>
          <w:szCs w:val="32"/>
        </w:rPr>
        <w:t>年度</w:t>
      </w:r>
      <w:r>
        <w:rPr>
          <w:rFonts w:hint="default" w:ascii="黑体" w:hAnsi="黑体" w:eastAsia="黑体" w:cs="黑体"/>
          <w:b w:val="0"/>
          <w:bCs/>
          <w:color w:val="auto"/>
          <w:sz w:val="32"/>
          <w:szCs w:val="32"/>
          <w:lang w:eastAsia="zh-CN"/>
        </w:rPr>
        <w:t>预算</w:t>
      </w:r>
      <w:r>
        <w:rPr>
          <w:rFonts w:hint="default" w:ascii="黑体" w:hAnsi="黑体" w:eastAsia="黑体" w:cs="黑体"/>
          <w:b w:val="0"/>
          <w:bCs/>
          <w:color w:val="auto"/>
          <w:sz w:val="32"/>
          <w:szCs w:val="32"/>
        </w:rPr>
        <w:t>绩效</w:t>
      </w:r>
      <w:r>
        <w:rPr>
          <w:rFonts w:hint="default" w:ascii="黑体" w:hAnsi="黑体" w:eastAsia="黑体" w:cs="黑体"/>
          <w:b w:val="0"/>
          <w:bCs/>
          <w:color w:val="auto"/>
          <w:sz w:val="32"/>
          <w:szCs w:val="32"/>
          <w:lang w:eastAsia="zh-CN"/>
        </w:rPr>
        <w:t>管理</w:t>
      </w:r>
      <w:r>
        <w:rPr>
          <w:rFonts w:hint="default" w:ascii="黑体" w:hAnsi="黑体" w:eastAsia="黑体" w:cs="黑体"/>
          <w:b w:val="0"/>
          <w:bCs/>
          <w:color w:val="auto"/>
          <w:sz w:val="32"/>
          <w:szCs w:val="32"/>
        </w:rPr>
        <w:t>情况的说明</w:t>
      </w:r>
    </w:p>
    <w:p w14:paraId="0EB60D67">
      <w:pPr>
        <w:keepNext w:val="0"/>
        <w:keepLines w:val="0"/>
        <w:pageBreakBefore w:val="0"/>
        <w:kinsoku/>
        <w:wordWrap/>
        <w:overflowPunct w:val="0"/>
        <w:topLinePunct w:val="0"/>
        <w:bidi w:val="0"/>
        <w:snapToGrid/>
        <w:spacing w:line="600" w:lineRule="exact"/>
        <w:ind w:left="0" w:leftChars="0" w:firstLine="643" w:firstLineChars="200"/>
        <w:jc w:val="both"/>
        <w:textAlignment w:val="auto"/>
        <w:rPr>
          <w:rFonts w:hint="default" w:ascii="Times New Roman" w:hAnsi="Times New Roman" w:eastAsia="仿宋_GB2312" w:cs="Times New Roman"/>
          <w:b/>
          <w:bCs/>
          <w:color w:val="auto"/>
          <w:sz w:val="32"/>
          <w:szCs w:val="32"/>
        </w:rPr>
      </w:pPr>
      <w:r>
        <w:rPr>
          <w:rFonts w:hint="default" w:ascii="Times New Roman" w:hAnsi="Times New Roman" w:eastAsia="仿宋_GB2312" w:cs="Times New Roman"/>
          <w:b/>
          <w:bCs/>
          <w:color w:val="auto"/>
          <w:sz w:val="32"/>
          <w:szCs w:val="32"/>
        </w:rPr>
        <w:t>（一）绩效评价工作开展情况</w:t>
      </w:r>
    </w:p>
    <w:p w14:paraId="4EE38FB7">
      <w:pPr>
        <w:keepNext w:val="0"/>
        <w:keepLines w:val="0"/>
        <w:pageBreakBefore w:val="0"/>
        <w:widowControl w:val="0"/>
        <w:kinsoku/>
        <w:wordWrap/>
        <w:overflowPunct/>
        <w:topLinePunct w:val="0"/>
        <w:autoSpaceDE w:val="0"/>
        <w:autoSpaceDN w:val="0"/>
        <w:bidi w:val="0"/>
        <w:adjustRightInd w:val="0"/>
        <w:snapToGrid/>
        <w:spacing w:line="600" w:lineRule="exact"/>
        <w:ind w:firstLine="640" w:firstLineChars="200"/>
        <w:jc w:val="left"/>
        <w:textAlignment w:val="auto"/>
        <w:rPr>
          <w:rFonts w:hint="eastAsia" w:ascii="仿宋_GB2312" w:hAnsi="仿宋_GB2312" w:eastAsia="仿宋_GB2312" w:cs="仿宋_GB2312"/>
          <w:b/>
          <w:bCs/>
          <w:sz w:val="32"/>
          <w:szCs w:val="32"/>
          <w:lang w:eastAsia="zh-CN"/>
        </w:rPr>
      </w:pPr>
      <w:r>
        <w:rPr>
          <w:rFonts w:hint="default" w:ascii="Times New Roman" w:hAnsi="Times New Roman" w:eastAsia="仿宋_GB2312" w:cs="Times New Roman"/>
          <w:color w:val="auto"/>
          <w:kern w:val="0"/>
          <w:sz w:val="32"/>
          <w:szCs w:val="32"/>
          <w:highlight w:val="none"/>
          <w:lang w:val="en-US" w:eastAsia="zh-CN"/>
        </w:rPr>
        <w:t>1.</w:t>
      </w:r>
      <w:r>
        <w:rPr>
          <w:rFonts w:hint="default" w:ascii="Times New Roman" w:hAnsi="Times New Roman" w:eastAsia="仿宋_GB2312" w:cs="Times New Roman"/>
          <w:b/>
          <w:bCs/>
          <w:color w:val="auto"/>
          <w:kern w:val="0"/>
          <w:sz w:val="32"/>
          <w:szCs w:val="32"/>
          <w:lang w:val="en-US" w:eastAsia="zh-CN"/>
        </w:rPr>
        <w:t>绩</w:t>
      </w:r>
      <w:r>
        <w:rPr>
          <w:rFonts w:hint="default" w:ascii="Times New Roman" w:hAnsi="Times New Roman" w:eastAsia="仿宋_GB2312" w:cs="Times New Roman"/>
          <w:b/>
          <w:bCs/>
          <w:color w:val="auto"/>
          <w:kern w:val="0"/>
          <w:sz w:val="32"/>
          <w:szCs w:val="32"/>
        </w:rPr>
        <w:t>效自评开展情况。</w:t>
      </w:r>
      <w:r>
        <w:rPr>
          <w:rFonts w:hint="default" w:ascii="Times New Roman" w:hAnsi="Times New Roman" w:eastAsia="仿宋_GB2312" w:cs="Times New Roman"/>
          <w:b w:val="0"/>
          <w:bCs w:val="0"/>
          <w:color w:val="auto"/>
          <w:kern w:val="0"/>
          <w:sz w:val="32"/>
          <w:szCs w:val="32"/>
          <w:lang w:val="en-US" w:eastAsia="zh-CN" w:bidi="ar-SA"/>
        </w:rPr>
        <w:t>根据预算绩效管理要求，本单位</w:t>
      </w:r>
      <w:r>
        <w:rPr>
          <w:rFonts w:hint="default" w:ascii="Times New Roman" w:hAnsi="Times New Roman" w:eastAsia="仿宋_GB2312" w:cs="Times New Roman"/>
          <w:color w:val="auto"/>
          <w:kern w:val="0"/>
          <w:sz w:val="32"/>
          <w:szCs w:val="32"/>
        </w:rPr>
        <w:t>组织对2024年度本单位整体支出开展绩效自评</w:t>
      </w:r>
      <w:r>
        <w:rPr>
          <w:rFonts w:hint="eastAsia" w:ascii="仿宋_GB2312" w:hAnsi="仿宋_GB2312" w:eastAsia="仿宋_GB2312" w:cs="仿宋_GB2312"/>
          <w:b w:val="0"/>
          <w:bCs w:val="0"/>
          <w:color w:val="000000"/>
          <w:kern w:val="0"/>
          <w:sz w:val="32"/>
          <w:szCs w:val="32"/>
          <w:lang w:val="en-US" w:eastAsia="zh-CN" w:bidi="ar-SA"/>
        </w:rPr>
        <w:t>涉及一般公共预算支出1983.05万元，政府性基金预算支出0万元，国有资本经营预算支出0万元。</w:t>
      </w:r>
      <w:r>
        <w:rPr>
          <w:rFonts w:hint="default" w:ascii="Times New Roman" w:hAnsi="Times New Roman" w:eastAsia="仿宋_GB2312" w:cs="Times New Roman"/>
          <w:color w:val="auto"/>
          <w:kern w:val="0"/>
          <w:sz w:val="32"/>
          <w:szCs w:val="32"/>
        </w:rPr>
        <w:t>涉及项目</w:t>
      </w:r>
      <w:r>
        <w:rPr>
          <w:rFonts w:hint="default" w:ascii="Times New Roman" w:hAnsi="Times New Roman" w:eastAsia="仿宋_GB2312" w:cs="Times New Roman"/>
          <w:color w:val="auto"/>
          <w:kern w:val="0"/>
          <w:sz w:val="32"/>
          <w:szCs w:val="32"/>
          <w:lang w:val="en-US" w:eastAsia="zh-CN"/>
        </w:rPr>
        <w:t>1</w:t>
      </w:r>
      <w:r>
        <w:rPr>
          <w:rFonts w:hint="default" w:ascii="Times New Roman" w:hAnsi="Times New Roman" w:eastAsia="仿宋_GB2312" w:cs="Times New Roman"/>
          <w:color w:val="auto"/>
          <w:kern w:val="0"/>
          <w:sz w:val="32"/>
          <w:szCs w:val="32"/>
        </w:rPr>
        <w:t xml:space="preserve"> 个，共涉及资金</w:t>
      </w:r>
      <w:r>
        <w:rPr>
          <w:rFonts w:hint="eastAsia" w:ascii="Times New Roman" w:hAnsi="Times New Roman" w:eastAsia="仿宋_GB2312" w:cs="Times New Roman"/>
          <w:color w:val="auto"/>
          <w:kern w:val="0"/>
          <w:sz w:val="32"/>
          <w:szCs w:val="32"/>
          <w:lang w:val="en-US" w:eastAsia="zh-CN"/>
        </w:rPr>
        <w:t>36.92</w:t>
      </w:r>
      <w:r>
        <w:rPr>
          <w:rFonts w:hint="default" w:ascii="Times New Roman" w:hAnsi="Times New Roman" w:eastAsia="仿宋_GB2312" w:cs="Times New Roman"/>
          <w:color w:val="auto"/>
          <w:kern w:val="0"/>
          <w:sz w:val="32"/>
          <w:szCs w:val="32"/>
        </w:rPr>
        <w:t>万元。其中，一般公共预算项目</w:t>
      </w:r>
      <w:r>
        <w:rPr>
          <w:rFonts w:hint="default" w:ascii="Times New Roman" w:hAnsi="Times New Roman" w:eastAsia="仿宋_GB2312" w:cs="Times New Roman"/>
          <w:color w:val="auto"/>
          <w:kern w:val="0"/>
          <w:sz w:val="32"/>
          <w:szCs w:val="32"/>
          <w:lang w:val="en-US" w:eastAsia="zh-CN"/>
        </w:rPr>
        <w:t>1</w:t>
      </w:r>
      <w:r>
        <w:rPr>
          <w:rFonts w:hint="default" w:ascii="Times New Roman" w:hAnsi="Times New Roman" w:eastAsia="仿宋_GB2312" w:cs="Times New Roman"/>
          <w:color w:val="auto"/>
          <w:kern w:val="0"/>
          <w:sz w:val="32"/>
          <w:szCs w:val="32"/>
        </w:rPr>
        <w:t>个</w:t>
      </w:r>
      <w:r>
        <w:rPr>
          <w:rFonts w:hint="default" w:ascii="Times New Roman" w:hAnsi="Times New Roman" w:eastAsia="仿宋_GB2312" w:cs="Times New Roman"/>
          <w:color w:val="auto"/>
          <w:kern w:val="0"/>
          <w:sz w:val="32"/>
          <w:szCs w:val="32"/>
          <w:lang w:val="en-US" w:eastAsia="zh-CN"/>
        </w:rPr>
        <w:t>36.92</w:t>
      </w:r>
      <w:r>
        <w:rPr>
          <w:rFonts w:hint="default" w:ascii="Times New Roman" w:hAnsi="Times New Roman" w:eastAsia="仿宋_GB2312" w:cs="Times New Roman"/>
          <w:color w:val="auto"/>
          <w:kern w:val="0"/>
          <w:sz w:val="32"/>
          <w:szCs w:val="32"/>
        </w:rPr>
        <w:t xml:space="preserve"> 万元，占一般公共预算支出总额的</w:t>
      </w:r>
      <w:r>
        <w:rPr>
          <w:rFonts w:hint="eastAsia" w:ascii="Times New Roman" w:hAnsi="Times New Roman" w:eastAsia="仿宋_GB2312" w:cs="Times New Roman"/>
          <w:color w:val="auto"/>
          <w:kern w:val="0"/>
          <w:sz w:val="32"/>
          <w:szCs w:val="32"/>
          <w:lang w:val="en-US" w:eastAsia="zh-CN"/>
        </w:rPr>
        <w:t>100</w:t>
      </w:r>
      <w:r>
        <w:rPr>
          <w:rFonts w:hint="default" w:ascii="Times New Roman" w:hAnsi="Times New Roman" w:eastAsia="仿宋_GB2312" w:cs="Times New Roman"/>
          <w:color w:val="auto"/>
          <w:kern w:val="0"/>
          <w:sz w:val="32"/>
          <w:szCs w:val="32"/>
        </w:rPr>
        <w:t>%；政府性基金预算项目</w:t>
      </w:r>
      <w:r>
        <w:rPr>
          <w:rFonts w:hint="default" w:ascii="Times New Roman" w:hAnsi="Times New Roman" w:eastAsia="仿宋_GB2312" w:cs="Times New Roman"/>
          <w:color w:val="auto"/>
          <w:kern w:val="0"/>
          <w:sz w:val="32"/>
          <w:szCs w:val="32"/>
          <w:lang w:val="en-US" w:eastAsia="zh-CN"/>
        </w:rPr>
        <w:t>0</w:t>
      </w:r>
      <w:r>
        <w:rPr>
          <w:rFonts w:hint="default" w:ascii="Times New Roman" w:hAnsi="Times New Roman" w:eastAsia="仿宋_GB2312" w:cs="Times New Roman"/>
          <w:color w:val="auto"/>
          <w:kern w:val="0"/>
          <w:sz w:val="32"/>
          <w:szCs w:val="32"/>
        </w:rPr>
        <w:t xml:space="preserve"> 个</w:t>
      </w:r>
      <w:r>
        <w:rPr>
          <w:rFonts w:hint="default" w:ascii="Times New Roman" w:hAnsi="Times New Roman" w:eastAsia="仿宋_GB2312" w:cs="Times New Roman"/>
          <w:color w:val="auto"/>
          <w:kern w:val="0"/>
          <w:sz w:val="32"/>
          <w:szCs w:val="32"/>
          <w:lang w:val="en-US" w:eastAsia="zh-CN"/>
        </w:rPr>
        <w:t>0</w:t>
      </w:r>
      <w:r>
        <w:rPr>
          <w:rFonts w:hint="default" w:ascii="Times New Roman" w:hAnsi="Times New Roman" w:eastAsia="仿宋_GB2312" w:cs="Times New Roman"/>
          <w:color w:val="auto"/>
          <w:kern w:val="0"/>
          <w:sz w:val="32"/>
          <w:szCs w:val="32"/>
        </w:rPr>
        <w:t xml:space="preserve"> 万元</w:t>
      </w:r>
      <w:r>
        <w:rPr>
          <w:rFonts w:hint="eastAsia" w:ascii="仿宋_GB2312" w:hAnsi="仿宋_GB2312" w:eastAsia="仿宋_GB2312" w:cs="仿宋_GB2312"/>
          <w:b w:val="0"/>
          <w:bCs w:val="0"/>
          <w:color w:val="000000"/>
          <w:kern w:val="0"/>
          <w:sz w:val="32"/>
          <w:szCs w:val="32"/>
          <w:lang w:val="en-US" w:eastAsia="zh-CN" w:bidi="ar-SA"/>
        </w:rPr>
        <w:t>（由于政府性基金预算项目支出总额为0，故无法计算占政府性基金预算项目支出总额的比重）</w:t>
      </w:r>
      <w:r>
        <w:rPr>
          <w:rFonts w:hint="default" w:ascii="Times New Roman" w:hAnsi="Times New Roman" w:eastAsia="仿宋_GB2312" w:cs="Times New Roman"/>
          <w:color w:val="auto"/>
          <w:kern w:val="0"/>
          <w:sz w:val="32"/>
          <w:szCs w:val="32"/>
        </w:rPr>
        <w:t>；国有资本经营预算项目</w:t>
      </w:r>
      <w:r>
        <w:rPr>
          <w:rFonts w:hint="default" w:ascii="Times New Roman" w:hAnsi="Times New Roman" w:eastAsia="仿宋_GB2312" w:cs="Times New Roman"/>
          <w:color w:val="auto"/>
          <w:kern w:val="0"/>
          <w:sz w:val="32"/>
          <w:szCs w:val="32"/>
          <w:lang w:val="en-US" w:eastAsia="zh-CN"/>
        </w:rPr>
        <w:t>0</w:t>
      </w:r>
      <w:r>
        <w:rPr>
          <w:rFonts w:hint="default" w:ascii="Times New Roman" w:hAnsi="Times New Roman" w:eastAsia="仿宋_GB2312" w:cs="Times New Roman"/>
          <w:color w:val="auto"/>
          <w:kern w:val="0"/>
          <w:sz w:val="32"/>
          <w:szCs w:val="32"/>
        </w:rPr>
        <w:t>个</w:t>
      </w:r>
      <w:r>
        <w:rPr>
          <w:rFonts w:hint="default" w:ascii="Times New Roman" w:hAnsi="Times New Roman" w:eastAsia="仿宋_GB2312" w:cs="Times New Roman"/>
          <w:color w:val="auto"/>
          <w:kern w:val="0"/>
          <w:sz w:val="32"/>
          <w:szCs w:val="32"/>
          <w:lang w:val="en-US" w:eastAsia="zh-CN"/>
        </w:rPr>
        <w:t>0</w:t>
      </w:r>
      <w:r>
        <w:rPr>
          <w:rFonts w:hint="default" w:ascii="Times New Roman" w:hAnsi="Times New Roman" w:eastAsia="仿宋_GB2312" w:cs="Times New Roman"/>
          <w:color w:val="auto"/>
          <w:kern w:val="0"/>
          <w:sz w:val="32"/>
          <w:szCs w:val="32"/>
        </w:rPr>
        <w:t xml:space="preserve"> 万元</w:t>
      </w:r>
      <w:r>
        <w:rPr>
          <w:rFonts w:hint="eastAsia" w:ascii="仿宋_GB2312" w:hAnsi="仿宋_GB2312" w:eastAsia="仿宋_GB2312" w:cs="仿宋_GB2312"/>
          <w:b w:val="0"/>
          <w:bCs w:val="0"/>
          <w:color w:val="000000"/>
          <w:kern w:val="0"/>
          <w:sz w:val="32"/>
          <w:szCs w:val="32"/>
          <w:lang w:val="en-US" w:eastAsia="zh-CN" w:bidi="ar-SA"/>
        </w:rPr>
        <w:t>（由于国有资本经营预算项目支出总额为0，故无法计算占国有资本经营预算项目支出总额的比重）</w:t>
      </w:r>
      <w:r>
        <w:rPr>
          <w:rFonts w:hint="default" w:ascii="Times New Roman" w:hAnsi="Times New Roman" w:eastAsia="仿宋_GB2312" w:cs="Times New Roman"/>
          <w:color w:val="auto"/>
          <w:kern w:val="0"/>
          <w:sz w:val="32"/>
          <w:szCs w:val="32"/>
        </w:rPr>
        <w:t>；</w:t>
      </w:r>
      <w:r>
        <w:rPr>
          <w:rFonts w:hint="default" w:ascii="Times New Roman" w:hAnsi="Times New Roman" w:eastAsia="仿宋_GB2312" w:cs="Times New Roman"/>
          <w:color w:val="auto"/>
          <w:kern w:val="0"/>
          <w:sz w:val="32"/>
          <w:szCs w:val="32"/>
          <w:highlight w:val="none"/>
        </w:rPr>
        <w:t>社会保险基金预算项目</w:t>
      </w:r>
      <w:r>
        <w:rPr>
          <w:rFonts w:hint="default" w:ascii="Times New Roman" w:hAnsi="Times New Roman" w:eastAsia="仿宋_GB2312" w:cs="Times New Roman"/>
          <w:color w:val="auto"/>
          <w:kern w:val="0"/>
          <w:sz w:val="32"/>
          <w:szCs w:val="32"/>
          <w:highlight w:val="none"/>
          <w:lang w:val="en-US" w:eastAsia="zh-CN"/>
        </w:rPr>
        <w:t>0</w:t>
      </w:r>
      <w:r>
        <w:rPr>
          <w:rFonts w:hint="default" w:ascii="Times New Roman" w:hAnsi="Times New Roman" w:eastAsia="仿宋_GB2312" w:cs="Times New Roman"/>
          <w:color w:val="auto"/>
          <w:kern w:val="0"/>
          <w:sz w:val="32"/>
          <w:szCs w:val="32"/>
          <w:highlight w:val="none"/>
        </w:rPr>
        <w:t xml:space="preserve"> 个</w:t>
      </w:r>
      <w:r>
        <w:rPr>
          <w:rFonts w:hint="default" w:ascii="Times New Roman" w:hAnsi="Times New Roman" w:eastAsia="仿宋_GB2312" w:cs="Times New Roman"/>
          <w:color w:val="auto"/>
          <w:kern w:val="0"/>
          <w:sz w:val="32"/>
          <w:szCs w:val="32"/>
          <w:highlight w:val="none"/>
          <w:lang w:val="en-US" w:eastAsia="zh-CN"/>
        </w:rPr>
        <w:t>0</w:t>
      </w:r>
      <w:r>
        <w:rPr>
          <w:rFonts w:hint="default" w:ascii="Times New Roman" w:hAnsi="Times New Roman" w:eastAsia="仿宋_GB2312" w:cs="Times New Roman"/>
          <w:color w:val="auto"/>
          <w:kern w:val="0"/>
          <w:sz w:val="32"/>
          <w:szCs w:val="32"/>
          <w:highlight w:val="none"/>
        </w:rPr>
        <w:t xml:space="preserve"> 万元</w:t>
      </w:r>
      <w:r>
        <w:rPr>
          <w:rFonts w:hint="eastAsia" w:ascii="仿宋_GB2312" w:hAnsi="仿宋_GB2312" w:eastAsia="仿宋_GB2312" w:cs="仿宋_GB2312"/>
          <w:b w:val="0"/>
          <w:bCs w:val="0"/>
          <w:color w:val="000000"/>
          <w:kern w:val="0"/>
          <w:sz w:val="32"/>
          <w:szCs w:val="32"/>
          <w:lang w:val="en-US" w:eastAsia="zh-CN" w:bidi="ar-SA"/>
        </w:rPr>
        <w:t>（由于社会保障基金预算项目支出总额为0，故无法计算占社会保障基金预算项目支出总额的比重）。从评价情况来看，项目绩效自评得分99.72分，评价结果等次为优。</w:t>
      </w:r>
    </w:p>
    <w:p w14:paraId="62702889">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firstLine="640" w:firstLineChars="200"/>
        <w:jc w:val="both"/>
        <w:textAlignment w:val="auto"/>
        <w:rPr>
          <w:rFonts w:hint="default" w:ascii="Times New Roman" w:hAnsi="Times New Roman" w:eastAsia="仿宋_GB2312" w:cs="Times New Roman"/>
          <w:color w:val="auto"/>
          <w:kern w:val="0"/>
          <w:sz w:val="32"/>
          <w:szCs w:val="32"/>
        </w:rPr>
      </w:pPr>
      <w:r>
        <w:rPr>
          <w:rFonts w:hint="default" w:ascii="Times New Roman" w:hAnsi="Times New Roman" w:eastAsia="仿宋_GB2312" w:cs="Times New Roman"/>
          <w:color w:val="auto"/>
          <w:sz w:val="32"/>
          <w:szCs w:val="32"/>
        </w:rPr>
        <w:t>202</w:t>
      </w:r>
      <w:r>
        <w:rPr>
          <w:rFonts w:hint="default" w:ascii="Times New Roman" w:hAnsi="Times New Roman" w:eastAsia="仿宋_GB2312" w:cs="Times New Roman"/>
          <w:color w:val="auto"/>
          <w:sz w:val="32"/>
          <w:szCs w:val="32"/>
          <w:lang w:val="en-US" w:eastAsia="zh-CN"/>
        </w:rPr>
        <w:t>4</w:t>
      </w:r>
      <w:r>
        <w:rPr>
          <w:rFonts w:hint="default" w:ascii="Times New Roman" w:hAnsi="Times New Roman" w:eastAsia="仿宋_GB2312" w:cs="Times New Roman"/>
          <w:color w:val="auto"/>
          <w:sz w:val="32"/>
          <w:szCs w:val="32"/>
        </w:rPr>
        <w:t>年度本部门绩效任务有效执行，三公经费有效控制。单位紧扣目标任务对部门整体支出全面开展绩效自评，</w:t>
      </w:r>
      <w:r>
        <w:rPr>
          <w:rFonts w:hint="default" w:ascii="Times New Roman" w:hAnsi="Times New Roman" w:eastAsia="仿宋_GB2312" w:cs="Times New Roman"/>
          <w:color w:val="auto"/>
          <w:kern w:val="0"/>
          <w:sz w:val="32"/>
          <w:szCs w:val="32"/>
          <w:lang w:val="en-US" w:eastAsia="zh-CN"/>
        </w:rPr>
        <w:t>数量指标、质量指标都达到了考核要求，时效指标、成本指标、经济指标到达了预期效果，各项时效指标均全面及时完成，社会效益良好，形成了持续良好的建筑环境和人居环境，质量安全稳定，人民群众满意度提高</w:t>
      </w:r>
      <w:r>
        <w:rPr>
          <w:rFonts w:hint="default" w:ascii="Times New Roman" w:hAnsi="Times New Roman" w:eastAsia="仿宋_GB2312" w:cs="Times New Roman"/>
          <w:color w:val="auto"/>
          <w:kern w:val="0"/>
          <w:sz w:val="32"/>
          <w:szCs w:val="32"/>
        </w:rPr>
        <w:t>。</w:t>
      </w:r>
    </w:p>
    <w:p w14:paraId="1EA15AF6">
      <w:pPr>
        <w:keepNext w:val="0"/>
        <w:keepLines w:val="0"/>
        <w:pageBreakBefore w:val="0"/>
        <w:widowControl w:val="0"/>
        <w:numPr>
          <w:ilvl w:val="0"/>
          <w:numId w:val="0"/>
        </w:numPr>
        <w:kinsoku/>
        <w:wordWrap/>
        <w:overflowPunct w:val="0"/>
        <w:topLinePunct w:val="0"/>
        <w:bidi w:val="0"/>
        <w:snapToGrid/>
        <w:spacing w:line="600" w:lineRule="exact"/>
        <w:ind w:left="0" w:leftChars="0" w:firstLine="643" w:firstLineChars="200"/>
        <w:jc w:val="both"/>
        <w:textAlignment w:val="auto"/>
        <w:rPr>
          <w:rFonts w:hint="default" w:ascii="Times New Roman" w:hAnsi="Times New Roman" w:eastAsia="仿宋_GB2312" w:cs="Times New Roman"/>
          <w:b/>
          <w:bCs/>
          <w:color w:val="auto"/>
          <w:kern w:val="0"/>
          <w:sz w:val="32"/>
          <w:szCs w:val="32"/>
        </w:rPr>
      </w:pPr>
      <w:r>
        <w:rPr>
          <w:rFonts w:hint="default" w:ascii="Times New Roman" w:hAnsi="Times New Roman" w:eastAsia="仿宋_GB2312" w:cs="Times New Roman"/>
          <w:b/>
          <w:bCs/>
          <w:color w:val="auto"/>
          <w:kern w:val="0"/>
          <w:sz w:val="32"/>
          <w:szCs w:val="32"/>
          <w:lang w:val="en-US" w:eastAsia="zh-CN"/>
        </w:rPr>
        <w:t>2、</w:t>
      </w:r>
      <w:r>
        <w:rPr>
          <w:rFonts w:hint="default" w:ascii="Times New Roman" w:hAnsi="Times New Roman" w:eastAsia="仿宋_GB2312" w:cs="Times New Roman"/>
          <w:b/>
          <w:bCs/>
          <w:color w:val="auto"/>
          <w:kern w:val="0"/>
          <w:sz w:val="32"/>
          <w:szCs w:val="32"/>
        </w:rPr>
        <w:t>部门评价开展情况</w:t>
      </w:r>
    </w:p>
    <w:p w14:paraId="7C65853C">
      <w:pPr>
        <w:keepNext w:val="0"/>
        <w:keepLines w:val="0"/>
        <w:pageBreakBefore w:val="0"/>
        <w:widowControl w:val="0"/>
        <w:numPr>
          <w:ilvl w:val="0"/>
          <w:numId w:val="0"/>
        </w:numPr>
        <w:kinsoku/>
        <w:wordWrap/>
        <w:overflowPunct w:val="0"/>
        <w:topLinePunct w:val="0"/>
        <w:bidi w:val="0"/>
        <w:snapToGrid/>
        <w:spacing w:line="600" w:lineRule="exact"/>
        <w:ind w:left="0" w:leftChars="0" w:firstLine="640" w:firstLineChars="200"/>
        <w:jc w:val="both"/>
        <w:textAlignment w:val="auto"/>
        <w:rPr>
          <w:rFonts w:hint="default" w:ascii="Times New Roman" w:hAnsi="Times New Roman" w:eastAsia="仿宋_GB2312" w:cs="Times New Roman"/>
          <w:color w:val="auto"/>
          <w:kern w:val="0"/>
          <w:sz w:val="32"/>
          <w:szCs w:val="32"/>
          <w:lang w:eastAsia="zh-CN"/>
        </w:rPr>
      </w:pPr>
      <w:r>
        <w:rPr>
          <w:rFonts w:hint="default" w:ascii="Times New Roman" w:hAnsi="Times New Roman" w:eastAsia="仿宋_GB2312" w:cs="Times New Roman"/>
          <w:color w:val="auto"/>
          <w:kern w:val="0"/>
          <w:sz w:val="32"/>
          <w:szCs w:val="32"/>
          <w:lang w:val="en-US" w:eastAsia="zh-CN"/>
        </w:rPr>
        <w:t>本单位为二级预算单位，部门评价开展情况可详见上级部门决算公开说明。</w:t>
      </w:r>
    </w:p>
    <w:p w14:paraId="08A0B0F8">
      <w:pPr>
        <w:keepNext w:val="0"/>
        <w:keepLines w:val="0"/>
        <w:pageBreakBefore w:val="0"/>
        <w:widowControl w:val="0"/>
        <w:numPr>
          <w:ilvl w:val="0"/>
          <w:numId w:val="0"/>
        </w:numPr>
        <w:kinsoku/>
        <w:wordWrap/>
        <w:overflowPunct w:val="0"/>
        <w:topLinePunct w:val="0"/>
        <w:bidi w:val="0"/>
        <w:snapToGrid/>
        <w:spacing w:line="600" w:lineRule="exact"/>
        <w:ind w:left="0" w:leftChars="0" w:firstLine="643" w:firstLineChars="200"/>
        <w:jc w:val="both"/>
        <w:textAlignment w:val="auto"/>
        <w:rPr>
          <w:rFonts w:hint="default" w:ascii="Times New Roman" w:hAnsi="Times New Roman" w:eastAsia="仿宋_GB2312" w:cs="Times New Roman"/>
          <w:b/>
          <w:bCs/>
          <w:color w:val="auto"/>
          <w:kern w:val="0"/>
          <w:sz w:val="32"/>
          <w:szCs w:val="32"/>
        </w:rPr>
      </w:pPr>
      <w:r>
        <w:rPr>
          <w:rFonts w:hint="default" w:ascii="Times New Roman" w:hAnsi="Times New Roman" w:eastAsia="仿宋_GB2312" w:cs="Times New Roman"/>
          <w:b/>
          <w:bCs/>
          <w:color w:val="auto"/>
          <w:kern w:val="0"/>
          <w:sz w:val="32"/>
          <w:szCs w:val="32"/>
          <w:lang w:val="en-US" w:eastAsia="zh-CN"/>
        </w:rPr>
        <w:t>3、</w:t>
      </w:r>
      <w:r>
        <w:rPr>
          <w:rFonts w:hint="default" w:ascii="Times New Roman" w:hAnsi="Times New Roman" w:eastAsia="仿宋_GB2312" w:cs="Times New Roman"/>
          <w:b/>
          <w:bCs/>
          <w:color w:val="auto"/>
          <w:kern w:val="0"/>
          <w:sz w:val="32"/>
          <w:szCs w:val="32"/>
        </w:rPr>
        <w:t>事前绩效评估开展情况</w:t>
      </w:r>
    </w:p>
    <w:p w14:paraId="57C69F98">
      <w:pPr>
        <w:keepNext w:val="0"/>
        <w:keepLines w:val="0"/>
        <w:pageBreakBefore w:val="0"/>
        <w:widowControl w:val="0"/>
        <w:kinsoku/>
        <w:wordWrap/>
        <w:overflowPunct w:val="0"/>
        <w:topLinePunct w:val="0"/>
        <w:bidi w:val="0"/>
        <w:snapToGrid/>
        <w:spacing w:line="600" w:lineRule="exact"/>
        <w:ind w:left="0" w:leftChars="0" w:firstLine="640" w:firstLineChars="200"/>
        <w:jc w:val="both"/>
        <w:textAlignment w:val="auto"/>
        <w:rPr>
          <w:rFonts w:hint="default" w:ascii="Times New Roman" w:hAnsi="Times New Roman" w:eastAsia="仿宋_GB2312" w:cs="Times New Roman"/>
          <w:color w:val="auto"/>
          <w:kern w:val="0"/>
          <w:sz w:val="32"/>
          <w:szCs w:val="32"/>
          <w:lang w:val="en-US" w:eastAsia="zh-CN"/>
        </w:rPr>
      </w:pPr>
      <w:r>
        <w:rPr>
          <w:rFonts w:hint="default" w:ascii="Times New Roman" w:hAnsi="Times New Roman" w:eastAsia="仿宋_GB2312" w:cs="Times New Roman"/>
          <w:color w:val="auto"/>
          <w:kern w:val="0"/>
          <w:sz w:val="32"/>
          <w:szCs w:val="32"/>
          <w:lang w:val="en-US" w:eastAsia="zh-CN"/>
        </w:rPr>
        <w:t>本单位为二级预算单位，事前绩效评估开展情况可详见上级部门决算公开说明。</w:t>
      </w:r>
    </w:p>
    <w:p w14:paraId="6FC8205B">
      <w:pPr>
        <w:keepNext w:val="0"/>
        <w:keepLines w:val="0"/>
        <w:pageBreakBefore w:val="0"/>
        <w:widowControl w:val="0"/>
        <w:kinsoku/>
        <w:wordWrap/>
        <w:overflowPunct w:val="0"/>
        <w:topLinePunct w:val="0"/>
        <w:bidi w:val="0"/>
        <w:snapToGrid/>
        <w:spacing w:line="600" w:lineRule="exact"/>
        <w:ind w:left="0" w:leftChars="0" w:firstLine="643" w:firstLineChars="200"/>
        <w:jc w:val="both"/>
        <w:textAlignment w:val="auto"/>
        <w:rPr>
          <w:rFonts w:hint="default" w:ascii="Times New Roman" w:hAnsi="Times New Roman" w:eastAsia="仿宋_GB2312" w:cs="Times New Roman"/>
          <w:b/>
          <w:bCs/>
          <w:color w:val="auto"/>
          <w:sz w:val="32"/>
          <w:szCs w:val="32"/>
        </w:rPr>
      </w:pPr>
      <w:r>
        <w:rPr>
          <w:rFonts w:hint="default" w:ascii="Times New Roman" w:hAnsi="Times New Roman" w:eastAsia="仿宋_GB2312" w:cs="Times New Roman"/>
          <w:b/>
          <w:bCs/>
          <w:color w:val="auto"/>
          <w:sz w:val="32"/>
          <w:szCs w:val="32"/>
        </w:rPr>
        <w:t>（二）绩效评价结果</w:t>
      </w:r>
    </w:p>
    <w:p w14:paraId="2A21DA5E">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left="0" w:leftChars="0" w:firstLine="640" w:firstLineChars="200"/>
        <w:jc w:val="both"/>
        <w:textAlignment w:val="auto"/>
        <w:rPr>
          <w:rFonts w:hint="default" w:ascii="Times New Roman" w:hAnsi="Times New Roman" w:eastAsia="仿宋_GB2312" w:cs="Times New Roman"/>
          <w:b w:val="0"/>
          <w:bCs w:val="0"/>
          <w:color w:val="auto"/>
          <w:sz w:val="32"/>
          <w:szCs w:val="32"/>
          <w:lang w:val="en-US" w:eastAsia="zh-CN"/>
        </w:rPr>
      </w:pPr>
      <w:r>
        <w:rPr>
          <w:rFonts w:hint="default" w:ascii="Times New Roman" w:hAnsi="Times New Roman" w:eastAsia="仿宋_GB2312" w:cs="Times New Roman"/>
          <w:b w:val="0"/>
          <w:bCs w:val="0"/>
          <w:color w:val="auto"/>
          <w:kern w:val="10"/>
          <w:sz w:val="32"/>
          <w:szCs w:val="32"/>
          <w:lang w:val="en-US" w:eastAsia="zh-CN"/>
        </w:rPr>
        <w:t>1.</w:t>
      </w:r>
      <w:r>
        <w:rPr>
          <w:rFonts w:hint="default" w:ascii="Times New Roman" w:hAnsi="Times New Roman" w:eastAsia="仿宋_GB2312" w:cs="Times New Roman"/>
          <w:b w:val="0"/>
          <w:bCs w:val="0"/>
          <w:color w:val="auto"/>
          <w:kern w:val="10"/>
          <w:sz w:val="32"/>
          <w:szCs w:val="32"/>
        </w:rPr>
        <w:t>绩效自评结果。2024年度本单位整体支出全年预算数</w:t>
      </w:r>
      <w:r>
        <w:rPr>
          <w:rFonts w:hint="default" w:ascii="Times New Roman" w:hAnsi="Times New Roman" w:eastAsia="仿宋_GB2312" w:cs="Times New Roman"/>
          <w:b w:val="0"/>
          <w:bCs w:val="0"/>
          <w:color w:val="auto"/>
          <w:kern w:val="10"/>
          <w:sz w:val="32"/>
          <w:szCs w:val="32"/>
          <w:lang w:val="en-US" w:eastAsia="zh-CN"/>
        </w:rPr>
        <w:t>2263.34</w:t>
      </w:r>
      <w:r>
        <w:rPr>
          <w:rFonts w:hint="default" w:ascii="Times New Roman" w:hAnsi="Times New Roman" w:eastAsia="仿宋_GB2312" w:cs="Times New Roman"/>
          <w:b w:val="0"/>
          <w:bCs w:val="0"/>
          <w:color w:val="auto"/>
          <w:kern w:val="10"/>
          <w:sz w:val="32"/>
          <w:szCs w:val="32"/>
        </w:rPr>
        <w:t>万元，执行数</w:t>
      </w:r>
      <w:r>
        <w:rPr>
          <w:rFonts w:hint="default" w:ascii="Times New Roman" w:hAnsi="Times New Roman" w:eastAsia="仿宋_GB2312" w:cs="Times New Roman"/>
          <w:b w:val="0"/>
          <w:bCs w:val="0"/>
          <w:color w:val="auto"/>
          <w:kern w:val="10"/>
          <w:sz w:val="32"/>
          <w:szCs w:val="32"/>
          <w:lang w:val="en-US" w:eastAsia="zh-CN"/>
        </w:rPr>
        <w:t>2096.96</w:t>
      </w:r>
      <w:r>
        <w:rPr>
          <w:rFonts w:hint="default" w:ascii="Times New Roman" w:hAnsi="Times New Roman" w:eastAsia="仿宋_GB2312" w:cs="Times New Roman"/>
          <w:b w:val="0"/>
          <w:bCs w:val="0"/>
          <w:color w:val="auto"/>
          <w:kern w:val="10"/>
          <w:sz w:val="32"/>
          <w:szCs w:val="32"/>
        </w:rPr>
        <w:t>万元，完成预算的</w:t>
      </w:r>
      <w:r>
        <w:rPr>
          <w:rFonts w:hint="default" w:ascii="Times New Roman" w:hAnsi="Times New Roman" w:eastAsia="仿宋_GB2312" w:cs="Times New Roman"/>
          <w:b w:val="0"/>
          <w:bCs w:val="0"/>
          <w:color w:val="auto"/>
          <w:kern w:val="10"/>
          <w:sz w:val="32"/>
          <w:szCs w:val="32"/>
          <w:lang w:val="en-US" w:eastAsia="zh-CN"/>
        </w:rPr>
        <w:t>92.65</w:t>
      </w:r>
      <w:r>
        <w:rPr>
          <w:rFonts w:hint="default" w:ascii="Times New Roman" w:hAnsi="Times New Roman" w:eastAsia="仿宋_GB2312" w:cs="Times New Roman"/>
          <w:b w:val="0"/>
          <w:bCs w:val="0"/>
          <w:color w:val="auto"/>
          <w:kern w:val="10"/>
          <w:sz w:val="32"/>
          <w:szCs w:val="32"/>
        </w:rPr>
        <w:t>%，绩</w:t>
      </w:r>
      <w:r>
        <w:rPr>
          <w:rFonts w:hint="default" w:ascii="Times New Roman" w:hAnsi="Times New Roman" w:eastAsia="仿宋_GB2312" w:cs="Times New Roman"/>
          <w:color w:val="auto"/>
          <w:kern w:val="10"/>
          <w:sz w:val="32"/>
          <w:szCs w:val="32"/>
        </w:rPr>
        <w:t>效自评得分</w:t>
      </w:r>
      <w:r>
        <w:rPr>
          <w:rFonts w:hint="default" w:ascii="Times New Roman" w:hAnsi="Times New Roman" w:eastAsia="仿宋_GB2312" w:cs="Times New Roman"/>
          <w:color w:val="auto"/>
          <w:kern w:val="10"/>
          <w:sz w:val="32"/>
          <w:szCs w:val="32"/>
          <w:lang w:val="en-US" w:eastAsia="zh-CN"/>
        </w:rPr>
        <w:t>99.27</w:t>
      </w:r>
      <w:r>
        <w:rPr>
          <w:rFonts w:hint="default" w:ascii="Times New Roman" w:hAnsi="Times New Roman" w:eastAsia="仿宋_GB2312" w:cs="Times New Roman"/>
          <w:color w:val="auto"/>
          <w:kern w:val="10"/>
          <w:sz w:val="32"/>
          <w:szCs w:val="32"/>
        </w:rPr>
        <w:t>分，评价等级为“</w:t>
      </w:r>
      <w:r>
        <w:rPr>
          <w:rFonts w:hint="default" w:ascii="Times New Roman" w:hAnsi="Times New Roman" w:eastAsia="仿宋_GB2312" w:cs="Times New Roman"/>
          <w:color w:val="auto"/>
          <w:kern w:val="10"/>
          <w:sz w:val="32"/>
          <w:szCs w:val="32"/>
          <w:lang w:eastAsia="zh-CN"/>
        </w:rPr>
        <w:t>优</w:t>
      </w:r>
      <w:r>
        <w:rPr>
          <w:rFonts w:hint="default" w:ascii="Times New Roman" w:hAnsi="Times New Roman" w:eastAsia="仿宋_GB2312" w:cs="Times New Roman"/>
          <w:color w:val="auto"/>
          <w:kern w:val="10"/>
          <w:sz w:val="32"/>
          <w:szCs w:val="32"/>
        </w:rPr>
        <w:t>”。绩效目标完成情况：一是</w:t>
      </w:r>
      <w:r>
        <w:rPr>
          <w:rFonts w:hint="default" w:ascii="Times New Roman" w:hAnsi="Times New Roman" w:eastAsia="仿宋_GB2312" w:cs="Times New Roman"/>
          <w:color w:val="auto"/>
          <w:kern w:val="10"/>
          <w:sz w:val="32"/>
          <w:szCs w:val="32"/>
          <w:lang w:eastAsia="zh-CN"/>
        </w:rPr>
        <w:t>完成了安全生产生命底线，确保了安全形势稳定</w:t>
      </w:r>
      <w:r>
        <w:rPr>
          <w:rFonts w:hint="default" w:ascii="Times New Roman" w:hAnsi="Times New Roman" w:eastAsia="仿宋_GB2312" w:cs="Times New Roman"/>
          <w:color w:val="auto"/>
          <w:kern w:val="10"/>
          <w:sz w:val="32"/>
          <w:szCs w:val="32"/>
        </w:rPr>
        <w:t>；二是</w:t>
      </w:r>
      <w:r>
        <w:rPr>
          <w:rFonts w:hint="default" w:ascii="Times New Roman" w:hAnsi="Times New Roman" w:eastAsia="仿宋_GB2312" w:cs="Times New Roman"/>
          <w:color w:val="auto"/>
          <w:kern w:val="10"/>
          <w:sz w:val="32"/>
          <w:szCs w:val="32"/>
          <w:lang w:eastAsia="zh-CN"/>
        </w:rPr>
        <w:t>本年强化了工程质量</w:t>
      </w:r>
      <w:bookmarkStart w:id="0" w:name="_GoBack"/>
      <w:bookmarkEnd w:id="0"/>
      <w:r>
        <w:rPr>
          <w:rFonts w:hint="default" w:ascii="Times New Roman" w:hAnsi="Times New Roman" w:eastAsia="仿宋_GB2312" w:cs="Times New Roman"/>
          <w:color w:val="auto"/>
          <w:kern w:val="10"/>
          <w:sz w:val="32"/>
          <w:szCs w:val="32"/>
          <w:lang w:eastAsia="zh-CN"/>
        </w:rPr>
        <w:t>全过程的监管，让人民满意。三是做好了房屋安全鉴定的咨询及处理，及时回复了房屋安全相关的投诉、举报；四是做好了城区范围内单独报建的房屋装饰装修工程、住宅加装电梯工程质量安全监督的管理。五是完成了质量安全监管新模式，提高监管效能；六是完成了“放、管、服”工作，不让群众最多跑一次；七是完成了工地环保综合治理，共建碧水蓝天；八是完成了强化作风和党风廉政建设，牢固树立规矩意识。</w:t>
      </w:r>
      <w:r>
        <w:rPr>
          <w:rFonts w:hint="default" w:ascii="Times New Roman" w:hAnsi="Times New Roman" w:eastAsia="仿宋_GB2312" w:cs="Times New Roman"/>
          <w:color w:val="auto"/>
          <w:kern w:val="10"/>
          <w:sz w:val="32"/>
          <w:szCs w:val="32"/>
        </w:rPr>
        <w:t>发现的主要问题及原因：</w:t>
      </w:r>
      <w:r>
        <w:rPr>
          <w:rFonts w:hint="default" w:ascii="Times New Roman" w:hAnsi="Times New Roman" w:eastAsia="仿宋_GB2312" w:cs="Times New Roman"/>
          <w:color w:val="auto"/>
          <w:kern w:val="10"/>
          <w:sz w:val="32"/>
          <w:szCs w:val="32"/>
          <w:lang w:eastAsia="zh-CN"/>
        </w:rPr>
        <w:t>因</w:t>
      </w:r>
      <w:r>
        <w:rPr>
          <w:rFonts w:hint="default" w:ascii="Times New Roman" w:hAnsi="Times New Roman" w:eastAsia="仿宋_GB2312" w:cs="Times New Roman"/>
          <w:color w:val="auto"/>
          <w:kern w:val="10"/>
          <w:sz w:val="32"/>
          <w:szCs w:val="32"/>
          <w:lang w:val="en-US" w:eastAsia="zh-CN"/>
        </w:rPr>
        <w:t>2024年度使用了上年度结转的其他资金，导致</w:t>
      </w:r>
      <w:r>
        <w:rPr>
          <w:rFonts w:hint="default" w:ascii="Times New Roman" w:hAnsi="Times New Roman" w:eastAsia="仿宋_GB2312" w:cs="Times New Roman"/>
          <w:b w:val="0"/>
          <w:bCs w:val="0"/>
          <w:color w:val="auto"/>
          <w:sz w:val="32"/>
          <w:szCs w:val="32"/>
          <w:lang w:val="en-US" w:eastAsia="zh-CN"/>
        </w:rPr>
        <w:t>预算资金支出进度未达预期。下一步改进措施：</w:t>
      </w:r>
      <w:r>
        <w:rPr>
          <w:rFonts w:hint="default" w:ascii="Times New Roman" w:hAnsi="Times New Roman" w:eastAsia="仿宋_GB2312" w:cs="Times New Roman"/>
          <w:b w:val="0"/>
          <w:bCs w:val="0"/>
          <w:color w:val="auto"/>
          <w:sz w:val="32"/>
          <w:szCs w:val="32"/>
          <w:lang w:eastAsia="zh-CN"/>
        </w:rPr>
        <w:t>加强财政预算资金使用效益跟踪“回头”看，及时预控、查找资金使用和管理过程中薄弱环节，提出纠偏措施，加快资金拨付进度，确保后续绩效目标的有效实现提供有力支撑。</w:t>
      </w:r>
    </w:p>
    <w:p w14:paraId="29CE213E">
      <w:pPr>
        <w:keepNext w:val="0"/>
        <w:keepLines w:val="0"/>
        <w:pageBreakBefore w:val="0"/>
        <w:widowControl w:val="0"/>
        <w:kinsoku/>
        <w:wordWrap/>
        <w:overflowPunct w:val="0"/>
        <w:topLinePunct w:val="0"/>
        <w:bidi w:val="0"/>
        <w:snapToGrid/>
        <w:spacing w:line="600" w:lineRule="exact"/>
        <w:ind w:left="0" w:leftChars="0" w:firstLine="640" w:firstLineChars="200"/>
        <w:jc w:val="both"/>
        <w:textAlignment w:val="auto"/>
        <w:rPr>
          <w:rFonts w:hint="default" w:ascii="Times New Roman" w:hAnsi="Times New Roman" w:eastAsia="仿宋_GB2312" w:cs="Times New Roman"/>
          <w:b/>
          <w:bCs/>
          <w:color w:val="auto"/>
          <w:kern w:val="0"/>
          <w:sz w:val="32"/>
          <w:szCs w:val="32"/>
        </w:rPr>
      </w:pPr>
      <w:r>
        <w:rPr>
          <w:rFonts w:hint="default" w:ascii="Times New Roman" w:hAnsi="Times New Roman" w:eastAsia="仿宋_GB2312" w:cs="Times New Roman"/>
          <w:color w:val="auto"/>
          <w:kern w:val="0"/>
          <w:sz w:val="32"/>
          <w:szCs w:val="32"/>
          <w:lang w:val="en-US" w:eastAsia="zh-CN"/>
        </w:rPr>
        <w:t>2.</w:t>
      </w:r>
      <w:r>
        <w:rPr>
          <w:rFonts w:hint="default" w:ascii="Times New Roman" w:hAnsi="Times New Roman" w:eastAsia="仿宋_GB2312" w:cs="Times New Roman"/>
          <w:b/>
          <w:bCs/>
          <w:color w:val="auto"/>
          <w:kern w:val="0"/>
          <w:sz w:val="32"/>
          <w:szCs w:val="32"/>
        </w:rPr>
        <w:t>部门评价结果</w:t>
      </w:r>
    </w:p>
    <w:p w14:paraId="3E489273">
      <w:pPr>
        <w:keepNext w:val="0"/>
        <w:keepLines w:val="0"/>
        <w:pageBreakBefore w:val="0"/>
        <w:widowControl w:val="0"/>
        <w:kinsoku/>
        <w:wordWrap/>
        <w:overflowPunct w:val="0"/>
        <w:topLinePunct w:val="0"/>
        <w:bidi w:val="0"/>
        <w:snapToGrid/>
        <w:spacing w:line="600" w:lineRule="exact"/>
        <w:ind w:left="0" w:leftChars="0" w:firstLine="640" w:firstLineChars="200"/>
        <w:jc w:val="both"/>
        <w:textAlignment w:val="auto"/>
        <w:rPr>
          <w:rFonts w:hint="default" w:ascii="Times New Roman" w:hAnsi="Times New Roman" w:eastAsia="仿宋_GB2312" w:cs="Times New Roman"/>
          <w:b/>
          <w:bCs/>
          <w:color w:val="auto"/>
          <w:kern w:val="0"/>
          <w:sz w:val="32"/>
          <w:szCs w:val="32"/>
        </w:rPr>
      </w:pPr>
      <w:r>
        <w:rPr>
          <w:rFonts w:hint="default" w:ascii="Times New Roman" w:hAnsi="Times New Roman" w:eastAsia="仿宋_GB2312" w:cs="Times New Roman"/>
          <w:color w:val="auto"/>
          <w:kern w:val="0"/>
          <w:sz w:val="32"/>
          <w:szCs w:val="32"/>
          <w:lang w:val="en-US" w:eastAsia="zh-CN"/>
        </w:rPr>
        <w:t>本单位为二级预算单位，部门评价结果可详见上级部门决算公开说明。</w:t>
      </w:r>
    </w:p>
    <w:p w14:paraId="0CE347CB">
      <w:pPr>
        <w:keepNext w:val="0"/>
        <w:keepLines w:val="0"/>
        <w:pageBreakBefore w:val="0"/>
        <w:widowControl w:val="0"/>
        <w:numPr>
          <w:ilvl w:val="0"/>
          <w:numId w:val="0"/>
        </w:numPr>
        <w:kinsoku/>
        <w:wordWrap/>
        <w:overflowPunct w:val="0"/>
        <w:topLinePunct w:val="0"/>
        <w:bidi w:val="0"/>
        <w:snapToGrid/>
        <w:spacing w:line="600" w:lineRule="exact"/>
        <w:ind w:left="0" w:leftChars="0" w:firstLine="643" w:firstLineChars="200"/>
        <w:jc w:val="both"/>
        <w:textAlignment w:val="auto"/>
        <w:rPr>
          <w:rFonts w:hint="default" w:ascii="Times New Roman" w:hAnsi="Times New Roman" w:eastAsia="仿宋_GB2312" w:cs="Times New Roman"/>
          <w:b/>
          <w:bCs/>
          <w:color w:val="auto"/>
          <w:kern w:val="0"/>
          <w:sz w:val="32"/>
          <w:szCs w:val="32"/>
          <w:highlight w:val="none"/>
        </w:rPr>
      </w:pPr>
      <w:r>
        <w:rPr>
          <w:rFonts w:hint="default" w:ascii="Times New Roman" w:hAnsi="Times New Roman" w:eastAsia="仿宋_GB2312" w:cs="Times New Roman"/>
          <w:b/>
          <w:bCs/>
          <w:color w:val="auto"/>
          <w:kern w:val="0"/>
          <w:sz w:val="32"/>
          <w:szCs w:val="32"/>
          <w:highlight w:val="none"/>
          <w:lang w:val="en-US" w:eastAsia="zh-CN"/>
        </w:rPr>
        <w:t>3</w:t>
      </w:r>
      <w:r>
        <w:rPr>
          <w:rFonts w:hint="eastAsia" w:ascii="Times New Roman" w:hAnsi="Times New Roman" w:eastAsia="仿宋_GB2312" w:cs="Times New Roman"/>
          <w:b/>
          <w:bCs/>
          <w:color w:val="auto"/>
          <w:kern w:val="0"/>
          <w:sz w:val="32"/>
          <w:szCs w:val="32"/>
          <w:highlight w:val="none"/>
          <w:lang w:val="en-US" w:eastAsia="zh-CN"/>
        </w:rPr>
        <w:t>.</w:t>
      </w:r>
      <w:r>
        <w:rPr>
          <w:rFonts w:hint="default" w:ascii="Times New Roman" w:hAnsi="Times New Roman" w:eastAsia="仿宋_GB2312" w:cs="Times New Roman"/>
          <w:b/>
          <w:bCs/>
          <w:color w:val="auto"/>
          <w:kern w:val="0"/>
          <w:sz w:val="32"/>
          <w:szCs w:val="32"/>
          <w:highlight w:val="none"/>
          <w:lang w:val="en-US" w:eastAsia="zh-CN"/>
        </w:rPr>
        <w:t>事</w:t>
      </w:r>
      <w:r>
        <w:rPr>
          <w:rFonts w:hint="default" w:ascii="Times New Roman" w:hAnsi="Times New Roman" w:eastAsia="仿宋_GB2312" w:cs="Times New Roman"/>
          <w:b/>
          <w:bCs/>
          <w:color w:val="auto"/>
          <w:kern w:val="0"/>
          <w:sz w:val="32"/>
          <w:szCs w:val="32"/>
          <w:highlight w:val="none"/>
        </w:rPr>
        <w:t>前绩效评估结果</w:t>
      </w:r>
    </w:p>
    <w:p w14:paraId="15B1A1AE">
      <w:pPr>
        <w:keepNext w:val="0"/>
        <w:keepLines w:val="0"/>
        <w:pageBreakBefore w:val="0"/>
        <w:widowControl w:val="0"/>
        <w:numPr>
          <w:ilvl w:val="0"/>
          <w:numId w:val="0"/>
        </w:numPr>
        <w:kinsoku/>
        <w:wordWrap/>
        <w:overflowPunct w:val="0"/>
        <w:topLinePunct w:val="0"/>
        <w:bidi w:val="0"/>
        <w:snapToGrid/>
        <w:spacing w:line="600" w:lineRule="exact"/>
        <w:ind w:left="0" w:leftChars="0" w:firstLine="640" w:firstLineChars="200"/>
        <w:jc w:val="both"/>
        <w:textAlignment w:val="auto"/>
        <w:rPr>
          <w:rFonts w:hint="default" w:ascii="Times New Roman" w:hAnsi="Times New Roman" w:eastAsia="仿宋_GB2312" w:cs="Times New Roman"/>
          <w:color w:val="auto"/>
          <w:kern w:val="0"/>
          <w:sz w:val="32"/>
          <w:szCs w:val="32"/>
          <w:lang w:val="en-US" w:eastAsia="zh-CN"/>
        </w:rPr>
      </w:pPr>
      <w:r>
        <w:rPr>
          <w:rFonts w:hint="default" w:ascii="Times New Roman" w:hAnsi="Times New Roman" w:eastAsia="仿宋_GB2312" w:cs="Times New Roman"/>
          <w:color w:val="auto"/>
          <w:kern w:val="0"/>
          <w:sz w:val="32"/>
          <w:szCs w:val="32"/>
          <w:highlight w:val="none"/>
        </w:rPr>
        <w:t>2024年度</w:t>
      </w:r>
      <w:r>
        <w:rPr>
          <w:rFonts w:hint="default" w:ascii="Times New Roman" w:hAnsi="Times New Roman" w:eastAsia="仿宋_GB2312" w:cs="Times New Roman"/>
          <w:color w:val="auto"/>
          <w:kern w:val="0"/>
          <w:sz w:val="32"/>
          <w:szCs w:val="32"/>
          <w:highlight w:val="none"/>
          <w:lang w:val="en-US" w:eastAsia="zh-CN"/>
        </w:rPr>
        <w:t>0</w:t>
      </w:r>
      <w:r>
        <w:rPr>
          <w:rFonts w:hint="default" w:ascii="Times New Roman" w:hAnsi="Times New Roman" w:eastAsia="仿宋_GB2312" w:cs="Times New Roman"/>
          <w:color w:val="auto"/>
          <w:kern w:val="0"/>
          <w:sz w:val="32"/>
          <w:szCs w:val="32"/>
          <w:highlight w:val="none"/>
        </w:rPr>
        <w:t>个重大项目事前绩效评估，其中，</w:t>
      </w:r>
      <w:r>
        <w:rPr>
          <w:rFonts w:hint="default" w:ascii="Times New Roman" w:hAnsi="Times New Roman" w:eastAsia="仿宋_GB2312" w:cs="Times New Roman"/>
          <w:color w:val="auto"/>
          <w:sz w:val="32"/>
          <w:szCs w:val="32"/>
          <w:highlight w:val="none"/>
          <w:lang w:val="en-US" w:eastAsia="zh-CN"/>
        </w:rPr>
        <w:t>0</w:t>
      </w:r>
      <w:r>
        <w:rPr>
          <w:rFonts w:hint="default" w:ascii="Times New Roman" w:hAnsi="Times New Roman" w:eastAsia="仿宋_GB2312" w:cs="Times New Roman"/>
          <w:color w:val="auto"/>
          <w:kern w:val="0"/>
          <w:sz w:val="32"/>
          <w:szCs w:val="32"/>
          <w:highlight w:val="none"/>
        </w:rPr>
        <w:t>个项目评估通过，涉及资金</w:t>
      </w:r>
      <w:r>
        <w:rPr>
          <w:rFonts w:hint="default" w:ascii="Times New Roman" w:hAnsi="Times New Roman" w:eastAsia="仿宋_GB2312" w:cs="Times New Roman"/>
          <w:color w:val="auto"/>
          <w:sz w:val="32"/>
          <w:szCs w:val="32"/>
          <w:highlight w:val="none"/>
          <w:lang w:val="en-US" w:eastAsia="zh-CN"/>
        </w:rPr>
        <w:t>0</w:t>
      </w:r>
      <w:r>
        <w:rPr>
          <w:rFonts w:hint="default" w:ascii="Times New Roman" w:hAnsi="Times New Roman" w:eastAsia="仿宋_GB2312" w:cs="Times New Roman"/>
          <w:color w:val="auto"/>
          <w:kern w:val="0"/>
          <w:sz w:val="32"/>
          <w:szCs w:val="32"/>
          <w:highlight w:val="none"/>
        </w:rPr>
        <w:t>万元，</w:t>
      </w:r>
      <w:r>
        <w:rPr>
          <w:rFonts w:hint="default" w:ascii="Times New Roman" w:hAnsi="Times New Roman" w:eastAsia="仿宋_GB2312" w:cs="Times New Roman"/>
          <w:color w:val="auto"/>
          <w:sz w:val="32"/>
          <w:szCs w:val="32"/>
          <w:highlight w:val="none"/>
          <w:lang w:val="en-US" w:eastAsia="zh-CN"/>
        </w:rPr>
        <w:t>0</w:t>
      </w:r>
      <w:r>
        <w:rPr>
          <w:rFonts w:hint="default" w:ascii="Times New Roman" w:hAnsi="Times New Roman" w:eastAsia="仿宋_GB2312" w:cs="Times New Roman"/>
          <w:color w:val="auto"/>
          <w:kern w:val="0"/>
          <w:sz w:val="32"/>
          <w:szCs w:val="32"/>
          <w:highlight w:val="none"/>
        </w:rPr>
        <w:t>个项目评估不通过，涉及资金</w:t>
      </w:r>
      <w:r>
        <w:rPr>
          <w:rFonts w:hint="default" w:ascii="Times New Roman" w:hAnsi="Times New Roman" w:eastAsia="仿宋_GB2312" w:cs="Times New Roman"/>
          <w:color w:val="auto"/>
          <w:sz w:val="32"/>
          <w:szCs w:val="32"/>
          <w:highlight w:val="none"/>
          <w:lang w:val="en-US" w:eastAsia="zh-CN"/>
        </w:rPr>
        <w:t>0</w:t>
      </w:r>
      <w:r>
        <w:rPr>
          <w:rFonts w:hint="default" w:ascii="Times New Roman" w:hAnsi="Times New Roman" w:eastAsia="仿宋_GB2312" w:cs="Times New Roman"/>
          <w:color w:val="auto"/>
          <w:kern w:val="0"/>
          <w:sz w:val="32"/>
          <w:szCs w:val="32"/>
          <w:highlight w:val="none"/>
        </w:rPr>
        <w:t>万元</w:t>
      </w:r>
      <w:r>
        <w:rPr>
          <w:rFonts w:hint="default" w:ascii="Times New Roman" w:hAnsi="Times New Roman" w:eastAsia="仿宋_GB2312" w:cs="Times New Roman"/>
          <w:color w:val="auto"/>
          <w:kern w:val="0"/>
          <w:sz w:val="32"/>
          <w:szCs w:val="32"/>
          <w:highlight w:val="none"/>
          <w:lang w:val="en-US" w:eastAsia="zh-CN"/>
        </w:rPr>
        <w:t>。</w:t>
      </w:r>
      <w:r>
        <w:rPr>
          <w:rFonts w:hint="default" w:ascii="Times New Roman" w:hAnsi="Times New Roman" w:eastAsia="仿宋_GB2312" w:cs="Times New Roman"/>
          <w:b w:val="0"/>
          <w:bCs w:val="0"/>
          <w:color w:val="auto"/>
          <w:kern w:val="0"/>
          <w:sz w:val="32"/>
          <w:szCs w:val="32"/>
          <w:lang w:val="en-US" w:eastAsia="zh-CN"/>
        </w:rPr>
        <w:t>本单位为二级预算单位，事前绩效评估结果可详见上级部门决算公开说明。</w:t>
      </w:r>
    </w:p>
    <w:p w14:paraId="2C89E516">
      <w:pPr>
        <w:keepNext w:val="0"/>
        <w:keepLines w:val="0"/>
        <w:pageBreakBefore w:val="0"/>
        <w:widowControl w:val="0"/>
        <w:numPr>
          <w:ilvl w:val="0"/>
          <w:numId w:val="2"/>
        </w:numPr>
        <w:kinsoku/>
        <w:wordWrap/>
        <w:topLinePunct w:val="0"/>
        <w:autoSpaceDE w:val="0"/>
        <w:autoSpaceDN w:val="0"/>
        <w:bidi w:val="0"/>
        <w:adjustRightInd w:val="0"/>
        <w:snapToGrid/>
        <w:spacing w:line="600" w:lineRule="exact"/>
        <w:ind w:left="0" w:leftChars="0" w:firstLine="643" w:firstLineChars="200"/>
        <w:jc w:val="both"/>
        <w:textAlignment w:val="auto"/>
        <w:rPr>
          <w:rFonts w:hint="default" w:ascii="Times New Roman" w:hAnsi="Times New Roman" w:eastAsia="仿宋_GB2312" w:cs="Times New Roman"/>
          <w:b/>
          <w:bCs/>
          <w:color w:val="auto"/>
          <w:kern w:val="2"/>
          <w:sz w:val="32"/>
          <w:szCs w:val="32"/>
          <w:highlight w:val="none"/>
        </w:rPr>
      </w:pPr>
      <w:r>
        <w:rPr>
          <w:rFonts w:hint="default" w:ascii="Times New Roman" w:hAnsi="Times New Roman" w:eastAsia="仿宋_GB2312" w:cs="Times New Roman"/>
          <w:b/>
          <w:bCs/>
          <w:color w:val="auto"/>
          <w:kern w:val="2"/>
          <w:sz w:val="32"/>
          <w:szCs w:val="32"/>
          <w:highlight w:val="none"/>
        </w:rPr>
        <w:t>评价结果应用情况</w:t>
      </w:r>
    </w:p>
    <w:p w14:paraId="2E1CBAA7">
      <w:pPr>
        <w:keepNext w:val="0"/>
        <w:keepLines w:val="0"/>
        <w:pageBreakBefore w:val="0"/>
        <w:widowControl w:val="0"/>
        <w:numPr>
          <w:ilvl w:val="0"/>
          <w:numId w:val="0"/>
        </w:numPr>
        <w:kinsoku/>
        <w:wordWrap/>
        <w:topLinePunct w:val="0"/>
        <w:autoSpaceDE w:val="0"/>
        <w:autoSpaceDN w:val="0"/>
        <w:bidi w:val="0"/>
        <w:adjustRightInd w:val="0"/>
        <w:snapToGrid/>
        <w:spacing w:line="600" w:lineRule="exact"/>
        <w:ind w:left="0" w:leftChars="0" w:firstLine="640" w:firstLineChars="200"/>
        <w:jc w:val="both"/>
        <w:textAlignment w:val="auto"/>
        <w:rPr>
          <w:rFonts w:hint="default" w:ascii="Times New Roman" w:hAnsi="Times New Roman" w:eastAsia="仿宋_GB2312" w:cs="Times New Roman"/>
          <w:color w:val="auto"/>
          <w:sz w:val="32"/>
          <w:szCs w:val="32"/>
          <w:highlight w:val="none"/>
        </w:rPr>
      </w:pPr>
      <w:r>
        <w:rPr>
          <w:rFonts w:hint="default" w:ascii="Times New Roman" w:hAnsi="Times New Roman" w:eastAsia="仿宋_GB2312" w:cs="Times New Roman"/>
          <w:color w:val="auto"/>
          <w:sz w:val="32"/>
          <w:szCs w:val="32"/>
          <w:highlight w:val="none"/>
        </w:rPr>
        <w:t>请根据2024年度绩效自评结果、部门评价结果、</w:t>
      </w:r>
      <w:r>
        <w:rPr>
          <w:rFonts w:hint="default" w:ascii="Times New Roman" w:hAnsi="Times New Roman" w:eastAsia="仿宋_GB2312" w:cs="Times New Roman"/>
          <w:color w:val="auto"/>
          <w:sz w:val="32"/>
          <w:szCs w:val="32"/>
          <w:highlight w:val="none"/>
          <w:lang w:eastAsia="zh-CN"/>
        </w:rPr>
        <w:t>事前绩效</w:t>
      </w:r>
      <w:r>
        <w:rPr>
          <w:rFonts w:hint="default" w:ascii="Times New Roman" w:hAnsi="Times New Roman" w:eastAsia="仿宋_GB2312" w:cs="Times New Roman"/>
          <w:color w:val="auto"/>
          <w:sz w:val="32"/>
          <w:szCs w:val="32"/>
          <w:highlight w:val="none"/>
        </w:rPr>
        <w:t>评价结果对本部门2025年度预算安排，支出结构调整，资金管理，制度建设等方面结果运用进行简要说明。</w:t>
      </w:r>
    </w:p>
    <w:p w14:paraId="37E818A4">
      <w:pPr>
        <w:pStyle w:val="2"/>
        <w:keepNext w:val="0"/>
        <w:keepLines w:val="0"/>
        <w:pageBreakBefore w:val="0"/>
        <w:widowControl/>
        <w:kinsoku/>
        <w:wordWrap/>
        <w:overflowPunct/>
        <w:topLinePunct w:val="0"/>
        <w:autoSpaceDE/>
        <w:autoSpaceDN/>
        <w:bidi w:val="0"/>
        <w:adjustRightInd/>
        <w:snapToGrid/>
        <w:spacing w:line="600" w:lineRule="exact"/>
        <w:textAlignment w:val="auto"/>
        <w:rPr>
          <w:rFonts w:hint="eastAsia" w:ascii="Times New Roman" w:hAnsi="Times New Roman" w:eastAsia="仿宋_GB2312" w:cs="Times New Roman"/>
          <w:color w:val="auto"/>
          <w:sz w:val="32"/>
          <w:szCs w:val="32"/>
          <w:highlight w:val="none"/>
          <w:lang w:val="en-US" w:eastAsia="zh-CN"/>
        </w:rPr>
      </w:pPr>
      <w:r>
        <w:rPr>
          <w:rFonts w:hint="eastAsia" w:ascii="Times New Roman" w:hAnsi="Times New Roman" w:eastAsia="仿宋_GB2312" w:cs="Times New Roman"/>
          <w:color w:val="auto"/>
          <w:sz w:val="32"/>
          <w:szCs w:val="32"/>
          <w:highlight w:val="none"/>
          <w:lang w:eastAsia="zh-CN"/>
        </w:rPr>
        <w:t>根据</w:t>
      </w:r>
      <w:r>
        <w:rPr>
          <w:rFonts w:hint="eastAsia" w:ascii="Times New Roman" w:hAnsi="Times New Roman" w:eastAsia="仿宋_GB2312" w:cs="Times New Roman"/>
          <w:color w:val="auto"/>
          <w:sz w:val="32"/>
          <w:szCs w:val="32"/>
          <w:highlight w:val="none"/>
          <w:lang w:val="en-US" w:eastAsia="zh-CN"/>
        </w:rPr>
        <w:t>2024年绩效自评结果，年度资金执行率92.65%，将执行率低的功能科目在2025年度预算安排时，适当减少预算，调整资金的结构。加强对资金的管理，使用。使各项资金充分使用，达到预期的使用目标。</w:t>
      </w:r>
    </w:p>
    <w:p w14:paraId="5E8AD5A5">
      <w:pPr>
        <w:pStyle w:val="2"/>
        <w:keepNext w:val="0"/>
        <w:keepLines w:val="0"/>
        <w:pageBreakBefore w:val="0"/>
        <w:widowControl/>
        <w:kinsoku/>
        <w:wordWrap/>
        <w:overflowPunct/>
        <w:topLinePunct w:val="0"/>
        <w:autoSpaceDE/>
        <w:autoSpaceDN/>
        <w:bidi w:val="0"/>
        <w:adjustRightInd/>
        <w:snapToGrid/>
        <w:spacing w:line="600" w:lineRule="exact"/>
        <w:ind w:left="0" w:leftChars="0" w:firstLine="960" w:firstLineChars="300"/>
        <w:textAlignment w:val="auto"/>
        <w:rPr>
          <w:rFonts w:hint="default" w:ascii="Times New Roman" w:hAnsi="Times New Roman" w:eastAsia="仿宋_GB2312" w:cs="Times New Roman"/>
          <w:b w:val="0"/>
          <w:bCs w:val="0"/>
          <w:color w:val="auto"/>
          <w:sz w:val="32"/>
          <w:szCs w:val="32"/>
          <w:lang w:val="en-US" w:eastAsia="zh-CN"/>
        </w:rPr>
      </w:pPr>
      <w:r>
        <w:rPr>
          <w:rFonts w:hint="default" w:ascii="Times New Roman" w:hAnsi="Times New Roman" w:eastAsia="仿宋_GB2312" w:cs="Times New Roman"/>
          <w:b w:val="0"/>
          <w:bCs w:val="0"/>
          <w:color w:val="auto"/>
          <w:sz w:val="32"/>
          <w:szCs w:val="32"/>
          <w:lang w:val="en-US" w:eastAsia="zh-CN"/>
        </w:rPr>
        <w:t>预算绩效管理开展情况、绩效目标和绩效评价报告等，已在市政府部门财政预决算公开平台上向社会公开，详见附件。</w:t>
      </w:r>
    </w:p>
    <w:p w14:paraId="79583AF1">
      <w:pPr>
        <w:rPr>
          <w:rFonts w:hint="eastAsia" w:ascii="方正小标宋_GBK" w:hAnsi="方正小标宋_GBK" w:eastAsia="方正小标宋_GBK" w:cs="方正小标宋_GBK"/>
          <w:color w:val="auto"/>
          <w:sz w:val="72"/>
          <w:szCs w:val="72"/>
        </w:rPr>
      </w:pPr>
      <w:r>
        <w:rPr>
          <w:rFonts w:hint="eastAsia" w:ascii="方正小标宋_GBK" w:hAnsi="方正小标宋_GBK" w:eastAsia="方正小标宋_GBK" w:cs="方正小标宋_GBK"/>
          <w:color w:val="auto"/>
          <w:sz w:val="72"/>
          <w:szCs w:val="72"/>
        </w:rPr>
        <w:br w:type="page"/>
      </w:r>
    </w:p>
    <w:p w14:paraId="532F2C44">
      <w:pPr>
        <w:pStyle w:val="13"/>
        <w:keepNext w:val="0"/>
        <w:keepLines w:val="0"/>
        <w:pageBreakBefore w:val="0"/>
        <w:kinsoku/>
        <w:wordWrap/>
        <w:topLinePunct w:val="0"/>
        <w:bidi w:val="0"/>
        <w:spacing w:line="240" w:lineRule="auto"/>
        <w:ind w:firstLine="2880" w:firstLineChars="400"/>
        <w:jc w:val="both"/>
        <w:textAlignment w:val="auto"/>
        <w:rPr>
          <w:rFonts w:hint="eastAsia" w:ascii="方正小标宋_GBK" w:hAnsi="方正小标宋_GBK" w:eastAsia="方正小标宋_GBK" w:cs="方正小标宋_GBK"/>
          <w:color w:val="auto"/>
          <w:sz w:val="72"/>
          <w:szCs w:val="72"/>
        </w:rPr>
      </w:pPr>
    </w:p>
    <w:p w14:paraId="3EEFAF55">
      <w:pPr>
        <w:pStyle w:val="13"/>
        <w:keepNext w:val="0"/>
        <w:keepLines w:val="0"/>
        <w:pageBreakBefore w:val="0"/>
        <w:kinsoku/>
        <w:wordWrap/>
        <w:topLinePunct w:val="0"/>
        <w:bidi w:val="0"/>
        <w:spacing w:line="240" w:lineRule="auto"/>
        <w:ind w:firstLine="2880" w:firstLineChars="400"/>
        <w:jc w:val="both"/>
        <w:textAlignment w:val="auto"/>
        <w:rPr>
          <w:rFonts w:hint="eastAsia" w:ascii="方正小标宋_GBK" w:hAnsi="方正小标宋_GBK" w:eastAsia="方正小标宋_GBK" w:cs="方正小标宋_GBK"/>
          <w:color w:val="auto"/>
          <w:sz w:val="72"/>
          <w:szCs w:val="72"/>
        </w:rPr>
      </w:pPr>
    </w:p>
    <w:p w14:paraId="6A5A782C">
      <w:pPr>
        <w:pStyle w:val="13"/>
        <w:keepNext w:val="0"/>
        <w:keepLines w:val="0"/>
        <w:pageBreakBefore w:val="0"/>
        <w:kinsoku/>
        <w:wordWrap/>
        <w:topLinePunct w:val="0"/>
        <w:bidi w:val="0"/>
        <w:spacing w:line="240" w:lineRule="auto"/>
        <w:ind w:firstLine="2880" w:firstLineChars="400"/>
        <w:jc w:val="both"/>
        <w:textAlignment w:val="auto"/>
        <w:rPr>
          <w:rFonts w:hint="eastAsia" w:ascii="方正小标宋_GBK" w:hAnsi="方正小标宋_GBK" w:eastAsia="方正小标宋_GBK" w:cs="方正小标宋_GBK"/>
          <w:color w:val="auto"/>
          <w:sz w:val="72"/>
          <w:szCs w:val="72"/>
        </w:rPr>
      </w:pPr>
      <w:r>
        <w:rPr>
          <w:rFonts w:hint="eastAsia" w:ascii="方正小标宋_GBK" w:hAnsi="方正小标宋_GBK" w:eastAsia="方正小标宋_GBK" w:cs="方正小标宋_GBK"/>
          <w:color w:val="auto"/>
          <w:sz w:val="72"/>
          <w:szCs w:val="72"/>
        </w:rPr>
        <w:t>第四部分</w:t>
      </w:r>
    </w:p>
    <w:p w14:paraId="2DDD6447">
      <w:pPr>
        <w:keepNext w:val="0"/>
        <w:keepLines w:val="0"/>
        <w:pageBreakBefore w:val="0"/>
        <w:kinsoku/>
        <w:wordWrap/>
        <w:topLinePunct w:val="0"/>
        <w:bidi w:val="0"/>
        <w:spacing w:line="240" w:lineRule="auto"/>
        <w:jc w:val="center"/>
        <w:textAlignment w:val="auto"/>
        <w:rPr>
          <w:rFonts w:hint="eastAsia" w:ascii="方正小标宋_GBK" w:hAnsi="方正小标宋_GBK" w:eastAsia="方正小标宋_GBK" w:cs="方正小标宋_GBK"/>
          <w:color w:val="auto"/>
          <w:kern w:val="0"/>
          <w:sz w:val="70"/>
          <w:szCs w:val="70"/>
        </w:rPr>
      </w:pPr>
    </w:p>
    <w:p w14:paraId="41992F86">
      <w:pPr>
        <w:pStyle w:val="13"/>
        <w:keepNext w:val="0"/>
        <w:keepLines w:val="0"/>
        <w:pageBreakBefore w:val="0"/>
        <w:kinsoku/>
        <w:wordWrap/>
        <w:topLinePunct w:val="0"/>
        <w:bidi w:val="0"/>
        <w:spacing w:line="240" w:lineRule="auto"/>
        <w:jc w:val="center"/>
        <w:textAlignment w:val="auto"/>
        <w:rPr>
          <w:rFonts w:hint="eastAsia" w:ascii="方正小标宋_GBK" w:hAnsi="方正小标宋_GBK" w:eastAsia="方正小标宋_GBK" w:cs="方正小标宋_GBK"/>
          <w:color w:val="auto"/>
          <w:sz w:val="70"/>
          <w:szCs w:val="70"/>
          <w:lang w:eastAsia="zh-CN"/>
        </w:rPr>
      </w:pPr>
      <w:r>
        <w:rPr>
          <w:rFonts w:hint="eastAsia" w:ascii="方正小标宋_GBK" w:hAnsi="方正小标宋_GBK" w:eastAsia="方正小标宋_GBK" w:cs="方正小标宋_GBK"/>
          <w:color w:val="auto"/>
          <w:kern w:val="0"/>
          <w:sz w:val="70"/>
          <w:szCs w:val="70"/>
        </w:rPr>
        <w:t>名词解释</w:t>
      </w:r>
    </w:p>
    <w:p w14:paraId="571298D0">
      <w:pPr>
        <w:pStyle w:val="8"/>
        <w:keepNext w:val="0"/>
        <w:keepLines w:val="0"/>
        <w:pageBreakBefore w:val="0"/>
        <w:kinsoku/>
        <w:wordWrap/>
        <w:topLinePunct w:val="0"/>
        <w:bidi w:val="0"/>
        <w:spacing w:line="240" w:lineRule="auto"/>
        <w:textAlignment w:val="auto"/>
        <w:rPr>
          <w:color w:val="auto"/>
        </w:rPr>
      </w:pPr>
    </w:p>
    <w:p w14:paraId="59B05842">
      <w:pPr>
        <w:rPr>
          <w:rFonts w:hint="eastAsia" w:ascii="仿宋_GB2312" w:hAnsi="仿宋_GB2312" w:eastAsia="仿宋_GB2312" w:cs="仿宋_GB2312"/>
          <w:color w:val="auto"/>
          <w:kern w:val="0"/>
          <w:sz w:val="32"/>
          <w:szCs w:val="32"/>
        </w:rPr>
      </w:pPr>
      <w:r>
        <w:rPr>
          <w:rFonts w:hint="eastAsia" w:ascii="仿宋_GB2312" w:hAnsi="仿宋_GB2312" w:eastAsia="仿宋_GB2312" w:cs="仿宋_GB2312"/>
          <w:color w:val="auto"/>
          <w:kern w:val="0"/>
          <w:sz w:val="32"/>
          <w:szCs w:val="32"/>
        </w:rPr>
        <w:br w:type="page"/>
      </w:r>
    </w:p>
    <w:p w14:paraId="754BC716">
      <w:pPr>
        <w:keepNext w:val="0"/>
        <w:keepLines w:val="0"/>
        <w:pageBreakBefore w:val="0"/>
        <w:widowControl w:val="0"/>
        <w:kinsoku/>
        <w:wordWrap/>
        <w:overflowPunct/>
        <w:topLinePunct w:val="0"/>
        <w:autoSpaceDE/>
        <w:autoSpaceDN/>
        <w:bidi w:val="0"/>
        <w:adjustRightInd/>
        <w:snapToGrid/>
        <w:spacing w:line="640" w:lineRule="exact"/>
        <w:ind w:firstLine="640" w:firstLineChars="200"/>
        <w:jc w:val="both"/>
        <w:textAlignment w:val="auto"/>
        <w:rPr>
          <w:rFonts w:hint="eastAsia" w:ascii="仿宋_GB2312" w:hAnsi="仿宋_GB2312" w:eastAsia="仿宋_GB2312" w:cs="仿宋_GB2312"/>
          <w:color w:val="auto"/>
          <w:kern w:val="0"/>
          <w:sz w:val="32"/>
          <w:szCs w:val="32"/>
        </w:rPr>
      </w:pPr>
      <w:r>
        <w:rPr>
          <w:rFonts w:hint="eastAsia" w:ascii="仿宋_GB2312" w:hAnsi="仿宋_GB2312" w:eastAsia="仿宋_GB2312" w:cs="仿宋_GB2312"/>
          <w:color w:val="auto"/>
          <w:kern w:val="0"/>
          <w:sz w:val="32"/>
          <w:szCs w:val="32"/>
        </w:rPr>
        <w:t>一、“三公”经费：指用财政拨款安排的因公出国（境）费、公务用车购置及运行费和公务接待费。其中，因公出国（境）费反映出国（境）的住宿费、旅费、伙食补助费、杂费、培训费等支出；公务用车购置及运行费反映单位公务用车购置费及租用费、燃料费、维修费、过路过桥费、保险费、安全奖励费用等支出；公务接待费反映单位按规定开支的各类公务接待（含外宾接待）支出。</w:t>
      </w:r>
    </w:p>
    <w:p w14:paraId="575346AC">
      <w:pPr>
        <w:keepNext w:val="0"/>
        <w:keepLines w:val="0"/>
        <w:pageBreakBefore w:val="0"/>
        <w:widowControl w:val="0"/>
        <w:kinsoku/>
        <w:wordWrap/>
        <w:overflowPunct/>
        <w:topLinePunct w:val="0"/>
        <w:autoSpaceDE/>
        <w:autoSpaceDN/>
        <w:bidi w:val="0"/>
        <w:adjustRightInd/>
        <w:snapToGrid/>
        <w:spacing w:line="640" w:lineRule="exact"/>
        <w:ind w:firstLine="640" w:firstLineChars="200"/>
        <w:jc w:val="both"/>
        <w:textAlignment w:val="auto"/>
        <w:rPr>
          <w:rFonts w:hint="eastAsia" w:ascii="仿宋_GB2312" w:hAnsi="仿宋_GB2312" w:eastAsia="仿宋_GB2312" w:cs="仿宋_GB2312"/>
          <w:color w:val="auto"/>
          <w:kern w:val="0"/>
          <w:sz w:val="32"/>
          <w:szCs w:val="32"/>
        </w:rPr>
      </w:pPr>
      <w:r>
        <w:rPr>
          <w:rFonts w:hint="eastAsia" w:ascii="仿宋_GB2312" w:hAnsi="仿宋_GB2312" w:eastAsia="仿宋_GB2312" w:cs="仿宋_GB2312"/>
          <w:color w:val="auto"/>
          <w:kern w:val="0"/>
          <w:sz w:val="32"/>
          <w:szCs w:val="32"/>
        </w:rPr>
        <w:t>二、机关运行经费</w:t>
      </w:r>
      <w:r>
        <w:rPr>
          <w:rFonts w:hint="eastAsia" w:ascii="仿宋_GB2312" w:hAnsi="仿宋_GB2312" w:eastAsia="仿宋_GB2312" w:cs="仿宋_GB2312"/>
          <w:color w:val="auto"/>
          <w:kern w:val="0"/>
          <w:sz w:val="32"/>
          <w:szCs w:val="32"/>
          <w:lang w:eastAsia="zh-CN"/>
        </w:rPr>
        <w:t>，指为保障行政单位（包括参照公务员法管理的事业单位）运行用于购买货物和服务的各项资金</w:t>
      </w:r>
      <w:r>
        <w:rPr>
          <w:rFonts w:hint="eastAsia" w:ascii="仿宋_GB2312" w:hAnsi="仿宋_GB2312" w:eastAsia="仿宋_GB2312" w:cs="仿宋_GB2312"/>
          <w:color w:val="auto"/>
          <w:kern w:val="0"/>
          <w:sz w:val="32"/>
          <w:szCs w:val="32"/>
        </w:rPr>
        <w:t>，包括办公</w:t>
      </w:r>
      <w:r>
        <w:rPr>
          <w:rFonts w:hint="eastAsia" w:ascii="仿宋_GB2312" w:hAnsi="仿宋_GB2312" w:eastAsia="仿宋_GB2312" w:cs="仿宋_GB2312"/>
          <w:color w:val="auto"/>
          <w:kern w:val="0"/>
          <w:sz w:val="32"/>
          <w:szCs w:val="32"/>
          <w:lang w:eastAsia="zh-CN"/>
        </w:rPr>
        <w:t>费、</w:t>
      </w:r>
      <w:r>
        <w:rPr>
          <w:rFonts w:hint="eastAsia" w:ascii="仿宋_GB2312" w:hAnsi="仿宋_GB2312" w:eastAsia="仿宋_GB2312" w:cs="仿宋_GB2312"/>
          <w:color w:val="auto"/>
          <w:kern w:val="0"/>
          <w:sz w:val="32"/>
          <w:szCs w:val="32"/>
        </w:rPr>
        <w:t>印刷费、邮电费、差旅费、会议费、日常维修费、专用材料及一般设备购置费、办公用房水电费、办公用房取暖费、办公用房物业管理费、公务用车运行维护费以及其他费用。</w:t>
      </w:r>
    </w:p>
    <w:p w14:paraId="6D47FA91">
      <w:pPr>
        <w:rPr>
          <w:rFonts w:hint="eastAsia" w:ascii="方正小标宋_GBK" w:hAnsi="方正小标宋_GBK" w:eastAsia="方正小标宋_GBK" w:cs="方正小标宋_GBK"/>
          <w:color w:val="auto"/>
          <w:sz w:val="72"/>
          <w:szCs w:val="72"/>
        </w:rPr>
      </w:pPr>
      <w:r>
        <w:rPr>
          <w:rFonts w:hint="eastAsia" w:ascii="方正小标宋_GBK" w:hAnsi="方正小标宋_GBK" w:eastAsia="方正小标宋_GBK" w:cs="方正小标宋_GBK"/>
          <w:color w:val="auto"/>
          <w:sz w:val="72"/>
          <w:szCs w:val="72"/>
        </w:rPr>
        <w:br w:type="page"/>
      </w:r>
    </w:p>
    <w:p w14:paraId="64D34A27">
      <w:pPr>
        <w:pStyle w:val="13"/>
        <w:keepNext w:val="0"/>
        <w:keepLines w:val="0"/>
        <w:pageBreakBefore w:val="0"/>
        <w:kinsoku/>
        <w:wordWrap/>
        <w:topLinePunct w:val="0"/>
        <w:bidi w:val="0"/>
        <w:spacing w:line="240" w:lineRule="auto"/>
        <w:jc w:val="center"/>
        <w:textAlignment w:val="auto"/>
        <w:rPr>
          <w:rFonts w:hint="eastAsia" w:ascii="方正小标宋_GBK" w:hAnsi="方正小标宋_GBK" w:eastAsia="方正小标宋_GBK" w:cs="方正小标宋_GBK"/>
          <w:color w:val="auto"/>
          <w:sz w:val="72"/>
          <w:szCs w:val="72"/>
        </w:rPr>
      </w:pPr>
    </w:p>
    <w:p w14:paraId="138C740F">
      <w:pPr>
        <w:pStyle w:val="13"/>
        <w:keepNext w:val="0"/>
        <w:keepLines w:val="0"/>
        <w:pageBreakBefore w:val="0"/>
        <w:kinsoku/>
        <w:wordWrap/>
        <w:topLinePunct w:val="0"/>
        <w:bidi w:val="0"/>
        <w:spacing w:line="240" w:lineRule="auto"/>
        <w:jc w:val="center"/>
        <w:textAlignment w:val="auto"/>
        <w:rPr>
          <w:rFonts w:hint="eastAsia" w:ascii="方正小标宋_GBK" w:hAnsi="方正小标宋_GBK" w:eastAsia="方正小标宋_GBK" w:cs="方正小标宋_GBK"/>
          <w:color w:val="auto"/>
          <w:sz w:val="72"/>
          <w:szCs w:val="72"/>
        </w:rPr>
      </w:pPr>
    </w:p>
    <w:p w14:paraId="0C1858E3">
      <w:pPr>
        <w:pStyle w:val="13"/>
        <w:keepNext w:val="0"/>
        <w:keepLines w:val="0"/>
        <w:pageBreakBefore w:val="0"/>
        <w:kinsoku/>
        <w:wordWrap/>
        <w:topLinePunct w:val="0"/>
        <w:bidi w:val="0"/>
        <w:spacing w:line="240" w:lineRule="auto"/>
        <w:jc w:val="center"/>
        <w:textAlignment w:val="auto"/>
        <w:rPr>
          <w:rFonts w:hint="eastAsia" w:ascii="方正小标宋_GBK" w:hAnsi="方正小标宋_GBK" w:eastAsia="方正小标宋_GBK" w:cs="方正小标宋_GBK"/>
          <w:color w:val="auto"/>
          <w:sz w:val="70"/>
          <w:szCs w:val="70"/>
        </w:rPr>
      </w:pPr>
      <w:r>
        <w:rPr>
          <w:rFonts w:hint="eastAsia" w:ascii="方正小标宋_GBK" w:hAnsi="方正小标宋_GBK" w:eastAsia="方正小标宋_GBK" w:cs="方正小标宋_GBK"/>
          <w:color w:val="auto"/>
          <w:sz w:val="72"/>
          <w:szCs w:val="72"/>
        </w:rPr>
        <w:t>第</w:t>
      </w:r>
      <w:r>
        <w:rPr>
          <w:rFonts w:hint="eastAsia" w:ascii="方正小标宋_GBK" w:hAnsi="方正小标宋_GBK" w:eastAsia="方正小标宋_GBK" w:cs="方正小标宋_GBK"/>
          <w:color w:val="auto"/>
          <w:sz w:val="72"/>
          <w:szCs w:val="72"/>
          <w:lang w:eastAsia="zh-CN"/>
        </w:rPr>
        <w:t>五</w:t>
      </w:r>
      <w:r>
        <w:rPr>
          <w:rFonts w:hint="eastAsia" w:ascii="方正小标宋_GBK" w:hAnsi="方正小标宋_GBK" w:eastAsia="方正小标宋_GBK" w:cs="方正小标宋_GBK"/>
          <w:color w:val="auto"/>
          <w:sz w:val="72"/>
          <w:szCs w:val="72"/>
        </w:rPr>
        <w:t>部分</w:t>
      </w:r>
    </w:p>
    <w:p w14:paraId="592BF6CA">
      <w:pPr>
        <w:pStyle w:val="13"/>
        <w:keepNext w:val="0"/>
        <w:keepLines w:val="0"/>
        <w:pageBreakBefore w:val="0"/>
        <w:kinsoku/>
        <w:wordWrap/>
        <w:topLinePunct w:val="0"/>
        <w:bidi w:val="0"/>
        <w:spacing w:line="240" w:lineRule="auto"/>
        <w:jc w:val="both"/>
        <w:textAlignment w:val="auto"/>
        <w:rPr>
          <w:rFonts w:hint="eastAsia" w:ascii="方正小标宋_GBK" w:hAnsi="方正小标宋_GBK" w:eastAsia="方正小标宋_GBK" w:cs="方正小标宋_GBK"/>
          <w:color w:val="auto"/>
          <w:sz w:val="70"/>
          <w:szCs w:val="70"/>
          <w:lang w:eastAsia="zh-CN"/>
        </w:rPr>
      </w:pPr>
    </w:p>
    <w:p w14:paraId="490142D3">
      <w:pPr>
        <w:pStyle w:val="13"/>
        <w:keepNext w:val="0"/>
        <w:keepLines w:val="0"/>
        <w:pageBreakBefore w:val="0"/>
        <w:kinsoku/>
        <w:wordWrap/>
        <w:topLinePunct w:val="0"/>
        <w:bidi w:val="0"/>
        <w:spacing w:line="240" w:lineRule="auto"/>
        <w:jc w:val="center"/>
        <w:textAlignment w:val="auto"/>
        <w:rPr>
          <w:rFonts w:hint="eastAsia" w:ascii="方正小标宋_GBK" w:hAnsi="方正小标宋_GBK" w:eastAsia="方正小标宋_GBK" w:cs="方正小标宋_GBK"/>
          <w:color w:val="auto"/>
          <w:sz w:val="70"/>
          <w:szCs w:val="70"/>
          <w:lang w:eastAsia="zh-CN"/>
        </w:rPr>
      </w:pPr>
      <w:r>
        <w:rPr>
          <w:rFonts w:hint="eastAsia" w:ascii="方正小标宋_GBK" w:hAnsi="方正小标宋_GBK" w:eastAsia="方正小标宋_GBK" w:cs="方正小标宋_GBK"/>
          <w:color w:val="auto"/>
          <w:sz w:val="70"/>
          <w:szCs w:val="70"/>
          <w:lang w:eastAsia="zh-CN"/>
        </w:rPr>
        <w:t>附</w:t>
      </w:r>
      <w:r>
        <w:rPr>
          <w:rFonts w:hint="eastAsia" w:ascii="方正小标宋_GBK" w:hAnsi="方正小标宋_GBK" w:eastAsia="方正小标宋_GBK" w:cs="方正小标宋_GBK"/>
          <w:color w:val="auto"/>
          <w:sz w:val="70"/>
          <w:szCs w:val="70"/>
          <w:lang w:val="en-US" w:eastAsia="zh-CN"/>
        </w:rPr>
        <w:t xml:space="preserve"> </w:t>
      </w:r>
      <w:r>
        <w:rPr>
          <w:rFonts w:hint="eastAsia" w:ascii="方正小标宋_GBK" w:hAnsi="方正小标宋_GBK" w:eastAsia="方正小标宋_GBK" w:cs="方正小标宋_GBK"/>
          <w:color w:val="auto"/>
          <w:sz w:val="70"/>
          <w:szCs w:val="70"/>
          <w:lang w:eastAsia="zh-CN"/>
        </w:rPr>
        <w:t>件</w:t>
      </w:r>
    </w:p>
    <w:p w14:paraId="3243C04E">
      <w:pPr>
        <w:keepNext w:val="0"/>
        <w:keepLines w:val="0"/>
        <w:pageBreakBefore w:val="0"/>
        <w:kinsoku/>
        <w:wordWrap/>
        <w:topLinePunct w:val="0"/>
        <w:bidi w:val="0"/>
        <w:spacing w:line="240" w:lineRule="auto"/>
        <w:ind w:firstLine="643" w:firstLineChars="200"/>
        <w:jc w:val="left"/>
        <w:textAlignment w:val="auto"/>
        <w:rPr>
          <w:rFonts w:hint="eastAsia" w:ascii="宋体" w:hAnsi="宋体" w:eastAsia="宋体" w:cs="黑体"/>
          <w:b/>
          <w:color w:val="auto"/>
          <w:kern w:val="0"/>
          <w:sz w:val="32"/>
          <w:szCs w:val="32"/>
          <w:lang w:val="en-US" w:eastAsia="zh-CN"/>
        </w:rPr>
      </w:pPr>
    </w:p>
    <w:p w14:paraId="632C34CC">
      <w:pPr>
        <w:pStyle w:val="2"/>
        <w:rPr>
          <w:rFonts w:hint="eastAsia"/>
          <w:color w:val="auto"/>
          <w:lang w:val="en-US" w:eastAsia="zh-CN"/>
        </w:rPr>
      </w:pPr>
    </w:p>
    <w:p w14:paraId="4EAC9354">
      <w:pPr>
        <w:keepNext w:val="0"/>
        <w:keepLines w:val="0"/>
        <w:pageBreakBefore w:val="0"/>
        <w:kinsoku/>
        <w:wordWrap/>
        <w:topLinePunct w:val="0"/>
        <w:bidi w:val="0"/>
        <w:spacing w:line="240" w:lineRule="auto"/>
        <w:ind w:firstLine="640" w:firstLineChars="200"/>
        <w:jc w:val="left"/>
        <w:textAlignment w:val="auto"/>
        <w:rPr>
          <w:rFonts w:hint="eastAsia" w:ascii="仿宋_GB2312" w:hAnsi="仿宋_GB2312" w:eastAsia="仿宋_GB2312" w:cs="仿宋_GB2312"/>
          <w:b w:val="0"/>
          <w:bCs/>
          <w:color w:val="auto"/>
          <w:kern w:val="0"/>
          <w:sz w:val="32"/>
          <w:szCs w:val="32"/>
          <w:lang w:val="en-US" w:eastAsia="zh-CN"/>
        </w:rPr>
      </w:pPr>
      <w:r>
        <w:rPr>
          <w:rFonts w:hint="eastAsia" w:ascii="仿宋_GB2312" w:hAnsi="仿宋_GB2312" w:eastAsia="仿宋_GB2312" w:cs="仿宋_GB2312"/>
          <w:b w:val="0"/>
          <w:bCs/>
          <w:color w:val="auto"/>
          <w:kern w:val="0"/>
          <w:sz w:val="32"/>
          <w:szCs w:val="32"/>
          <w:lang w:val="en-US" w:eastAsia="zh-CN"/>
        </w:rPr>
        <w:t>1、</w:t>
      </w:r>
      <w:r>
        <w:rPr>
          <w:rFonts w:hint="eastAsia" w:ascii="仿宋_GB2312" w:hAnsi="仿宋_GB2312" w:eastAsia="仿宋_GB2312" w:cs="仿宋_GB2312"/>
          <w:b w:val="0"/>
          <w:bCs/>
          <w:color w:val="auto"/>
          <w:kern w:val="0"/>
          <w:sz w:val="32"/>
          <w:szCs w:val="32"/>
          <w:highlight w:val="none"/>
          <w:lang w:val="en-US" w:eastAsia="zh-CN"/>
        </w:rPr>
        <w:t>2024</w:t>
      </w:r>
      <w:r>
        <w:rPr>
          <w:rFonts w:hint="eastAsia" w:ascii="仿宋_GB2312" w:hAnsi="仿宋_GB2312" w:eastAsia="仿宋_GB2312" w:cs="仿宋_GB2312"/>
          <w:b w:val="0"/>
          <w:bCs/>
          <w:color w:val="auto"/>
          <w:kern w:val="0"/>
          <w:sz w:val="32"/>
          <w:szCs w:val="32"/>
          <w:lang w:val="en-US" w:eastAsia="zh-CN"/>
        </w:rPr>
        <w:t>年部门决算公开表格</w:t>
      </w:r>
    </w:p>
    <w:p w14:paraId="2FDDC04B">
      <w:pPr>
        <w:pStyle w:val="2"/>
        <w:rPr>
          <w:rFonts w:hint="eastAsia" w:ascii="仿宋_GB2312" w:hAnsi="仿宋_GB2312" w:eastAsia="仿宋_GB2312" w:cs="仿宋_GB2312"/>
          <w:b w:val="0"/>
          <w:bCs/>
          <w:color w:val="auto"/>
          <w:sz w:val="32"/>
          <w:szCs w:val="32"/>
          <w:lang w:val="en-US" w:eastAsia="zh-CN"/>
        </w:rPr>
      </w:pPr>
    </w:p>
    <w:p w14:paraId="27E2EE8B">
      <w:pPr>
        <w:keepNext w:val="0"/>
        <w:keepLines w:val="0"/>
        <w:pageBreakBefore w:val="0"/>
        <w:kinsoku/>
        <w:wordWrap/>
        <w:topLinePunct w:val="0"/>
        <w:bidi w:val="0"/>
        <w:spacing w:line="240" w:lineRule="auto"/>
        <w:ind w:firstLine="640" w:firstLineChars="200"/>
        <w:jc w:val="left"/>
        <w:textAlignment w:val="auto"/>
        <w:rPr>
          <w:rFonts w:hint="eastAsia" w:ascii="仿宋_GB2312" w:hAnsi="仿宋_GB2312" w:eastAsia="仿宋_GB2312" w:cs="仿宋_GB2312"/>
          <w:b w:val="0"/>
          <w:bCs/>
          <w:color w:val="auto"/>
          <w:kern w:val="0"/>
          <w:sz w:val="32"/>
          <w:szCs w:val="32"/>
        </w:rPr>
      </w:pPr>
      <w:r>
        <w:rPr>
          <w:rFonts w:hint="eastAsia" w:ascii="仿宋_GB2312" w:hAnsi="仿宋_GB2312" w:eastAsia="仿宋_GB2312" w:cs="仿宋_GB2312"/>
          <w:b w:val="0"/>
          <w:bCs/>
          <w:color w:val="auto"/>
          <w:kern w:val="0"/>
          <w:sz w:val="32"/>
          <w:szCs w:val="32"/>
          <w:lang w:val="en-US" w:eastAsia="zh-CN"/>
        </w:rPr>
        <w:t>2、</w:t>
      </w:r>
      <w:r>
        <w:rPr>
          <w:rFonts w:hint="eastAsia" w:ascii="仿宋_GB2312" w:hAnsi="仿宋_GB2312" w:eastAsia="仿宋_GB2312" w:cs="仿宋_GB2312"/>
          <w:b w:val="0"/>
          <w:bCs/>
          <w:color w:val="auto"/>
          <w:kern w:val="0"/>
          <w:sz w:val="32"/>
          <w:szCs w:val="32"/>
          <w:highlight w:val="none"/>
        </w:rPr>
        <w:t>202</w:t>
      </w:r>
      <w:r>
        <w:rPr>
          <w:rFonts w:hint="eastAsia" w:ascii="仿宋_GB2312" w:hAnsi="仿宋_GB2312" w:eastAsia="仿宋_GB2312" w:cs="仿宋_GB2312"/>
          <w:b w:val="0"/>
          <w:bCs/>
          <w:color w:val="auto"/>
          <w:kern w:val="0"/>
          <w:sz w:val="32"/>
          <w:szCs w:val="32"/>
          <w:highlight w:val="none"/>
          <w:lang w:val="en-US" w:eastAsia="zh-CN"/>
        </w:rPr>
        <w:t>4</w:t>
      </w:r>
      <w:r>
        <w:rPr>
          <w:rFonts w:hint="eastAsia" w:ascii="仿宋_GB2312" w:hAnsi="仿宋_GB2312" w:eastAsia="仿宋_GB2312" w:cs="仿宋_GB2312"/>
          <w:b w:val="0"/>
          <w:bCs/>
          <w:color w:val="auto"/>
          <w:kern w:val="0"/>
          <w:sz w:val="32"/>
          <w:szCs w:val="32"/>
        </w:rPr>
        <w:t>年度部门整体支出绩效评价报告</w:t>
      </w:r>
    </w:p>
    <w:p w14:paraId="045AD96C">
      <w:pPr>
        <w:keepNext w:val="0"/>
        <w:keepLines w:val="0"/>
        <w:pageBreakBefore w:val="0"/>
        <w:kinsoku/>
        <w:wordWrap/>
        <w:topLinePunct w:val="0"/>
        <w:bidi w:val="0"/>
        <w:spacing w:line="240" w:lineRule="auto"/>
        <w:textAlignment w:val="auto"/>
        <w:rPr>
          <w:rFonts w:hint="eastAsia" w:ascii="仿宋_GB2312" w:hAnsi="仿宋_GB2312" w:eastAsia="仿宋_GB2312" w:cs="仿宋_GB2312"/>
          <w:b w:val="0"/>
          <w:bCs/>
          <w:color w:val="auto"/>
          <w:sz w:val="32"/>
          <w:szCs w:val="32"/>
        </w:rPr>
      </w:pPr>
    </w:p>
    <w:p w14:paraId="7E6CA159">
      <w:pPr>
        <w:pStyle w:val="2"/>
        <w:rPr>
          <w:color w:val="auto"/>
        </w:rPr>
      </w:pPr>
    </w:p>
    <w:p w14:paraId="24DC0070">
      <w:pPr>
        <w:rPr>
          <w:rFonts w:ascii="黑体" w:hAnsi="黑体" w:eastAsia="黑体" w:cs="黑体"/>
          <w:b/>
          <w:bCs/>
          <w:color w:val="auto"/>
          <w:spacing w:val="29"/>
          <w:sz w:val="30"/>
          <w:szCs w:val="30"/>
          <w:lang w:eastAsia="zh-CN"/>
        </w:rPr>
      </w:pPr>
      <w:r>
        <w:rPr>
          <w:rFonts w:ascii="黑体" w:hAnsi="黑体" w:eastAsia="黑体" w:cs="黑体"/>
          <w:b/>
          <w:bCs/>
          <w:color w:val="auto"/>
          <w:spacing w:val="29"/>
          <w:sz w:val="30"/>
          <w:szCs w:val="30"/>
          <w:lang w:eastAsia="zh-CN"/>
        </w:rPr>
        <w:br w:type="page"/>
      </w:r>
    </w:p>
    <w:p w14:paraId="3CC0FFC7">
      <w:pPr>
        <w:spacing w:before="284" w:line="224" w:lineRule="auto"/>
        <w:rPr>
          <w:rFonts w:ascii="黑体" w:hAnsi="黑体" w:eastAsia="黑体" w:cs="黑体"/>
          <w:b/>
          <w:bCs/>
          <w:color w:val="auto"/>
          <w:spacing w:val="29"/>
          <w:sz w:val="30"/>
          <w:szCs w:val="30"/>
          <w:lang w:eastAsia="zh-CN"/>
        </w:rPr>
      </w:pPr>
    </w:p>
    <w:p w14:paraId="6544ACE9">
      <w:pPr>
        <w:spacing w:before="284" w:line="224" w:lineRule="auto"/>
        <w:rPr>
          <w:rFonts w:ascii="黑体" w:hAnsi="黑体" w:eastAsia="黑体" w:cs="黑体"/>
          <w:color w:val="auto"/>
          <w:sz w:val="30"/>
          <w:szCs w:val="30"/>
          <w:lang w:eastAsia="zh-CN"/>
        </w:rPr>
      </w:pPr>
      <w:r>
        <w:rPr>
          <w:rFonts w:ascii="黑体" w:hAnsi="黑体" w:eastAsia="黑体" w:cs="黑体"/>
          <w:b/>
          <w:bCs/>
          <w:color w:val="auto"/>
          <w:spacing w:val="29"/>
          <w:sz w:val="30"/>
          <w:szCs w:val="30"/>
          <w:lang w:eastAsia="zh-CN"/>
        </w:rPr>
        <w:t>附件4</w:t>
      </w:r>
    </w:p>
    <w:p w14:paraId="303E4221">
      <w:pPr>
        <w:spacing w:line="274" w:lineRule="auto"/>
        <w:rPr>
          <w:color w:val="auto"/>
          <w:lang w:eastAsia="zh-CN"/>
        </w:rPr>
      </w:pPr>
    </w:p>
    <w:p w14:paraId="3CEEE7A9">
      <w:pPr>
        <w:spacing w:line="274" w:lineRule="auto"/>
        <w:rPr>
          <w:color w:val="auto"/>
          <w:lang w:eastAsia="zh-CN"/>
        </w:rPr>
      </w:pPr>
    </w:p>
    <w:p w14:paraId="64C3258F">
      <w:pPr>
        <w:spacing w:line="274" w:lineRule="auto"/>
        <w:rPr>
          <w:color w:val="auto"/>
          <w:lang w:eastAsia="zh-CN"/>
        </w:rPr>
      </w:pPr>
    </w:p>
    <w:p w14:paraId="65B897B2">
      <w:pPr>
        <w:spacing w:before="143" w:line="767" w:lineRule="exact"/>
        <w:jc w:val="center"/>
        <w:rPr>
          <w:rFonts w:ascii="方正大标宋简体" w:hAnsi="方正大标宋简体" w:eastAsia="方正大标宋简体" w:cs="方正大标宋简体"/>
          <w:color w:val="auto"/>
          <w:sz w:val="44"/>
          <w:szCs w:val="44"/>
          <w:lang w:eastAsia="zh-CN"/>
        </w:rPr>
      </w:pPr>
      <w:r>
        <w:rPr>
          <w:rFonts w:hint="eastAsia" w:ascii="方正大标宋简体" w:hAnsi="方正大标宋简体" w:eastAsia="方正大标宋简体" w:cs="方正大标宋简体"/>
          <w:b/>
          <w:bCs/>
          <w:color w:val="auto"/>
          <w:spacing w:val="22"/>
          <w:position w:val="23"/>
          <w:sz w:val="44"/>
          <w:szCs w:val="44"/>
          <w:lang w:eastAsia="zh-CN"/>
        </w:rPr>
        <w:t>2024年度岳阳市建设工程质量安全监督站整体支出绩效自评报告</w:t>
      </w:r>
    </w:p>
    <w:p w14:paraId="61FA3D09">
      <w:pPr>
        <w:rPr>
          <w:color w:val="auto"/>
          <w:lang w:eastAsia="zh-CN"/>
        </w:rPr>
      </w:pPr>
    </w:p>
    <w:p w14:paraId="40E3579D">
      <w:pPr>
        <w:rPr>
          <w:color w:val="auto"/>
          <w:lang w:eastAsia="zh-CN"/>
        </w:rPr>
      </w:pPr>
    </w:p>
    <w:p w14:paraId="566B41F9">
      <w:pPr>
        <w:rPr>
          <w:color w:val="auto"/>
          <w:lang w:eastAsia="zh-CN"/>
        </w:rPr>
      </w:pPr>
    </w:p>
    <w:p w14:paraId="55B66BBD">
      <w:pPr>
        <w:rPr>
          <w:color w:val="auto"/>
          <w:lang w:eastAsia="zh-CN"/>
        </w:rPr>
      </w:pPr>
    </w:p>
    <w:p w14:paraId="15050A2E">
      <w:pPr>
        <w:rPr>
          <w:color w:val="auto"/>
          <w:lang w:eastAsia="zh-CN"/>
        </w:rPr>
      </w:pPr>
    </w:p>
    <w:p w14:paraId="3AD40B92">
      <w:pPr>
        <w:rPr>
          <w:color w:val="auto"/>
          <w:lang w:eastAsia="zh-CN"/>
        </w:rPr>
      </w:pPr>
    </w:p>
    <w:p w14:paraId="36192256">
      <w:pPr>
        <w:rPr>
          <w:color w:val="auto"/>
          <w:lang w:eastAsia="zh-CN"/>
        </w:rPr>
      </w:pPr>
    </w:p>
    <w:p w14:paraId="48520331">
      <w:pPr>
        <w:rPr>
          <w:color w:val="auto"/>
          <w:lang w:eastAsia="zh-CN"/>
        </w:rPr>
      </w:pPr>
    </w:p>
    <w:p w14:paraId="318DF075">
      <w:pPr>
        <w:rPr>
          <w:color w:val="auto"/>
          <w:lang w:eastAsia="zh-CN"/>
        </w:rPr>
      </w:pPr>
    </w:p>
    <w:p w14:paraId="539BBEE8">
      <w:pPr>
        <w:rPr>
          <w:color w:val="auto"/>
          <w:lang w:eastAsia="zh-CN"/>
        </w:rPr>
      </w:pPr>
    </w:p>
    <w:p w14:paraId="3700725B">
      <w:pPr>
        <w:rPr>
          <w:color w:val="auto"/>
          <w:lang w:eastAsia="zh-CN"/>
        </w:rPr>
      </w:pPr>
    </w:p>
    <w:p w14:paraId="4FB098EC">
      <w:pPr>
        <w:rPr>
          <w:color w:val="auto"/>
          <w:lang w:eastAsia="zh-CN"/>
        </w:rPr>
      </w:pPr>
    </w:p>
    <w:p w14:paraId="7C94FB6E">
      <w:pPr>
        <w:rPr>
          <w:color w:val="auto"/>
          <w:lang w:eastAsia="zh-CN"/>
        </w:rPr>
      </w:pPr>
    </w:p>
    <w:p w14:paraId="7C1F4180">
      <w:pPr>
        <w:rPr>
          <w:color w:val="auto"/>
          <w:lang w:eastAsia="zh-CN"/>
        </w:rPr>
      </w:pPr>
    </w:p>
    <w:p w14:paraId="36ACBE59">
      <w:pPr>
        <w:rPr>
          <w:color w:val="auto"/>
          <w:lang w:eastAsia="zh-CN"/>
        </w:rPr>
      </w:pPr>
    </w:p>
    <w:p w14:paraId="4584918E">
      <w:pPr>
        <w:rPr>
          <w:color w:val="auto"/>
          <w:lang w:eastAsia="zh-CN"/>
        </w:rPr>
      </w:pPr>
    </w:p>
    <w:p w14:paraId="496AEEA6">
      <w:pPr>
        <w:rPr>
          <w:color w:val="auto"/>
          <w:lang w:eastAsia="zh-CN"/>
        </w:rPr>
      </w:pPr>
    </w:p>
    <w:p w14:paraId="1FEE29F4">
      <w:pPr>
        <w:spacing w:line="241" w:lineRule="auto"/>
        <w:rPr>
          <w:color w:val="auto"/>
          <w:lang w:eastAsia="zh-CN"/>
        </w:rPr>
      </w:pPr>
    </w:p>
    <w:p w14:paraId="03688BE2">
      <w:pPr>
        <w:spacing w:line="241" w:lineRule="auto"/>
        <w:rPr>
          <w:color w:val="auto"/>
          <w:lang w:eastAsia="zh-CN"/>
        </w:rPr>
      </w:pPr>
    </w:p>
    <w:p w14:paraId="6ED8C2FF">
      <w:pPr>
        <w:spacing w:line="241" w:lineRule="auto"/>
        <w:rPr>
          <w:color w:val="auto"/>
          <w:lang w:eastAsia="zh-CN"/>
        </w:rPr>
      </w:pPr>
    </w:p>
    <w:p w14:paraId="7B841768">
      <w:pPr>
        <w:spacing w:line="241" w:lineRule="auto"/>
        <w:rPr>
          <w:color w:val="auto"/>
          <w:lang w:eastAsia="zh-CN"/>
        </w:rPr>
      </w:pPr>
    </w:p>
    <w:p w14:paraId="23C4AC87">
      <w:pPr>
        <w:spacing w:line="241" w:lineRule="auto"/>
        <w:rPr>
          <w:color w:val="auto"/>
          <w:lang w:eastAsia="zh-CN"/>
        </w:rPr>
      </w:pPr>
    </w:p>
    <w:p w14:paraId="017B699F">
      <w:pPr>
        <w:spacing w:line="241" w:lineRule="auto"/>
        <w:rPr>
          <w:color w:val="auto"/>
          <w:lang w:eastAsia="zh-CN"/>
        </w:rPr>
      </w:pPr>
    </w:p>
    <w:p w14:paraId="67CF7449">
      <w:pPr>
        <w:spacing w:line="241" w:lineRule="auto"/>
        <w:rPr>
          <w:color w:val="auto"/>
          <w:lang w:eastAsia="zh-CN"/>
        </w:rPr>
      </w:pPr>
    </w:p>
    <w:p w14:paraId="7B5B2F59">
      <w:pPr>
        <w:spacing w:line="241" w:lineRule="auto"/>
        <w:rPr>
          <w:color w:val="auto"/>
          <w:lang w:eastAsia="zh-CN"/>
        </w:rPr>
      </w:pPr>
    </w:p>
    <w:p w14:paraId="4DC70EDC">
      <w:pPr>
        <w:spacing w:line="241" w:lineRule="auto"/>
        <w:rPr>
          <w:color w:val="auto"/>
          <w:lang w:eastAsia="zh-CN"/>
        </w:rPr>
      </w:pPr>
    </w:p>
    <w:p w14:paraId="360BF011">
      <w:pPr>
        <w:spacing w:line="241" w:lineRule="auto"/>
        <w:rPr>
          <w:color w:val="auto"/>
          <w:lang w:eastAsia="zh-CN"/>
        </w:rPr>
      </w:pPr>
    </w:p>
    <w:p w14:paraId="6E38E26B">
      <w:pPr>
        <w:pStyle w:val="4"/>
        <w:spacing w:before="81" w:line="221" w:lineRule="auto"/>
        <w:ind w:firstLine="555" w:firstLineChars="200"/>
        <w:rPr>
          <w:rFonts w:hint="eastAsia" w:ascii="仿宋" w:hAnsi="仿宋" w:eastAsia="仿宋" w:cs="仿宋"/>
          <w:color w:val="auto"/>
          <w:sz w:val="32"/>
          <w:szCs w:val="32"/>
          <w:lang w:eastAsia="zh-CN"/>
        </w:rPr>
      </w:pPr>
      <w:r>
        <w:rPr>
          <w:rFonts w:hint="eastAsia" w:ascii="仿宋" w:hAnsi="仿宋" w:eastAsia="仿宋" w:cs="仿宋"/>
          <w:b/>
          <w:bCs/>
          <w:color w:val="auto"/>
          <w:spacing w:val="-22"/>
          <w:sz w:val="32"/>
          <w:szCs w:val="32"/>
          <w:lang w:eastAsia="zh-CN"/>
        </w:rPr>
        <w:t>部门(单位)名称</w:t>
      </w:r>
      <w:r>
        <w:rPr>
          <w:rFonts w:hint="eastAsia" w:ascii="仿宋" w:hAnsi="仿宋" w:eastAsia="仿宋" w:cs="仿宋"/>
          <w:color w:val="auto"/>
          <w:spacing w:val="6"/>
          <w:sz w:val="32"/>
          <w:szCs w:val="32"/>
          <w:lang w:eastAsia="zh-CN"/>
        </w:rPr>
        <w:t xml:space="preserve"> </w:t>
      </w:r>
      <w:r>
        <w:rPr>
          <w:rFonts w:hint="eastAsia" w:ascii="仿宋" w:hAnsi="仿宋" w:eastAsia="仿宋" w:cs="仿宋"/>
          <w:b/>
          <w:bCs/>
          <w:color w:val="auto"/>
          <w:spacing w:val="-22"/>
          <w:sz w:val="32"/>
          <w:szCs w:val="32"/>
          <w:lang w:eastAsia="zh-CN"/>
        </w:rPr>
        <w:t>：</w:t>
      </w:r>
      <w:r>
        <w:rPr>
          <w:rFonts w:hint="eastAsia" w:ascii="仿宋" w:hAnsi="仿宋" w:eastAsia="仿宋" w:cs="仿宋"/>
          <w:b/>
          <w:bCs/>
          <w:color w:val="auto"/>
          <w:sz w:val="32"/>
          <w:szCs w:val="32"/>
          <w:lang w:eastAsia="zh-CN"/>
        </w:rPr>
        <w:t>岳阳市建设工程质量安全监督站</w:t>
      </w:r>
    </w:p>
    <w:p w14:paraId="2E00BE8C">
      <w:pPr>
        <w:pStyle w:val="4"/>
        <w:spacing w:before="273" w:line="222" w:lineRule="auto"/>
        <w:ind w:left="3529"/>
        <w:rPr>
          <w:rFonts w:hint="eastAsia" w:ascii="仿宋" w:hAnsi="仿宋" w:eastAsia="仿宋" w:cs="仿宋"/>
          <w:b/>
          <w:bCs/>
          <w:color w:val="auto"/>
          <w:spacing w:val="-19"/>
          <w:sz w:val="32"/>
          <w:szCs w:val="32"/>
          <w:lang w:eastAsia="zh-CN"/>
        </w:rPr>
      </w:pPr>
      <w:r>
        <w:rPr>
          <w:rFonts w:hint="eastAsia" w:ascii="仿宋" w:hAnsi="仿宋" w:eastAsia="仿宋" w:cs="仿宋"/>
          <w:b/>
          <w:bCs/>
          <w:color w:val="auto"/>
          <w:spacing w:val="-19"/>
          <w:sz w:val="32"/>
          <w:szCs w:val="32"/>
          <w:lang w:eastAsia="zh-CN"/>
        </w:rPr>
        <w:t>2025年</w:t>
      </w:r>
      <w:r>
        <w:rPr>
          <w:rFonts w:hint="eastAsia" w:ascii="仿宋" w:hAnsi="仿宋" w:eastAsia="仿宋" w:cs="仿宋"/>
          <w:b/>
          <w:bCs/>
          <w:color w:val="auto"/>
          <w:spacing w:val="7"/>
          <w:sz w:val="32"/>
          <w:szCs w:val="32"/>
          <w:lang w:eastAsia="zh-CN"/>
        </w:rPr>
        <w:t>3</w:t>
      </w:r>
      <w:r>
        <w:rPr>
          <w:rFonts w:hint="eastAsia" w:ascii="仿宋" w:hAnsi="仿宋" w:eastAsia="仿宋" w:cs="仿宋"/>
          <w:b/>
          <w:bCs/>
          <w:color w:val="auto"/>
          <w:spacing w:val="-19"/>
          <w:sz w:val="32"/>
          <w:szCs w:val="32"/>
          <w:lang w:eastAsia="zh-CN"/>
        </w:rPr>
        <w:t>月</w:t>
      </w:r>
      <w:r>
        <w:rPr>
          <w:rFonts w:hint="eastAsia" w:ascii="仿宋" w:hAnsi="仿宋" w:eastAsia="仿宋" w:cs="仿宋"/>
          <w:b/>
          <w:bCs/>
          <w:color w:val="auto"/>
          <w:spacing w:val="26"/>
          <w:sz w:val="32"/>
          <w:szCs w:val="32"/>
          <w:lang w:eastAsia="zh-CN"/>
        </w:rPr>
        <w:t>18</w:t>
      </w:r>
      <w:r>
        <w:rPr>
          <w:rFonts w:hint="eastAsia" w:ascii="仿宋" w:hAnsi="仿宋" w:eastAsia="仿宋" w:cs="仿宋"/>
          <w:b/>
          <w:bCs/>
          <w:color w:val="auto"/>
          <w:spacing w:val="-19"/>
          <w:sz w:val="32"/>
          <w:szCs w:val="32"/>
          <w:lang w:eastAsia="zh-CN"/>
        </w:rPr>
        <w:t>日</w:t>
      </w:r>
    </w:p>
    <w:p w14:paraId="5F8E4322">
      <w:pPr>
        <w:pStyle w:val="4"/>
        <w:spacing w:before="273" w:line="222" w:lineRule="auto"/>
        <w:ind w:left="3529"/>
        <w:rPr>
          <w:b/>
          <w:bCs/>
          <w:color w:val="auto"/>
          <w:spacing w:val="-19"/>
          <w:sz w:val="25"/>
          <w:szCs w:val="25"/>
          <w:lang w:eastAsia="zh-CN"/>
        </w:rPr>
      </w:pPr>
    </w:p>
    <w:p w14:paraId="5017350C">
      <w:pPr>
        <w:pStyle w:val="4"/>
        <w:spacing w:before="273" w:line="222" w:lineRule="auto"/>
        <w:ind w:left="3529"/>
        <w:rPr>
          <w:b/>
          <w:bCs/>
          <w:color w:val="auto"/>
          <w:spacing w:val="-19"/>
          <w:sz w:val="25"/>
          <w:szCs w:val="25"/>
          <w:lang w:eastAsia="zh-CN"/>
        </w:rPr>
      </w:pPr>
    </w:p>
    <w:p w14:paraId="5460D0A9">
      <w:pPr>
        <w:rPr>
          <w:rFonts w:hint="eastAsia" w:ascii="方正大标宋简体" w:hAnsi="方正大标宋简体" w:eastAsia="方正大标宋简体" w:cs="方正大标宋简体"/>
          <w:b/>
          <w:bCs/>
          <w:color w:val="auto"/>
          <w:spacing w:val="22"/>
          <w:position w:val="23"/>
          <w:sz w:val="44"/>
          <w:szCs w:val="44"/>
          <w:lang w:eastAsia="zh-CN"/>
        </w:rPr>
      </w:pPr>
      <w:r>
        <w:rPr>
          <w:rFonts w:hint="eastAsia" w:ascii="方正大标宋简体" w:hAnsi="方正大标宋简体" w:eastAsia="方正大标宋简体" w:cs="方正大标宋简体"/>
          <w:b/>
          <w:bCs/>
          <w:color w:val="auto"/>
          <w:spacing w:val="22"/>
          <w:position w:val="23"/>
          <w:sz w:val="44"/>
          <w:szCs w:val="44"/>
          <w:lang w:eastAsia="zh-CN"/>
        </w:rPr>
        <w:br w:type="page"/>
      </w:r>
    </w:p>
    <w:p w14:paraId="0C5F6532">
      <w:pPr>
        <w:keepNext w:val="0"/>
        <w:keepLines w:val="0"/>
        <w:pageBreakBefore w:val="0"/>
        <w:widowControl w:val="0"/>
        <w:kinsoku/>
        <w:wordWrap/>
        <w:overflowPunct/>
        <w:topLinePunct w:val="0"/>
        <w:autoSpaceDE/>
        <w:autoSpaceDN/>
        <w:bidi w:val="0"/>
        <w:adjustRightInd/>
        <w:snapToGrid/>
        <w:spacing w:line="680" w:lineRule="exact"/>
        <w:jc w:val="center"/>
        <w:textAlignment w:val="auto"/>
        <w:rPr>
          <w:rFonts w:hint="eastAsia" w:ascii="方正大标宋简体" w:hAnsi="方正大标宋简体" w:eastAsia="方正大标宋简体" w:cs="方正大标宋简体"/>
          <w:b w:val="0"/>
          <w:bCs w:val="0"/>
          <w:color w:val="auto"/>
          <w:spacing w:val="0"/>
          <w:position w:val="0"/>
          <w:sz w:val="44"/>
          <w:szCs w:val="44"/>
          <w:lang w:eastAsia="zh-CN"/>
        </w:rPr>
      </w:pPr>
      <w:r>
        <w:rPr>
          <w:rFonts w:hint="eastAsia" w:ascii="方正大标宋简体" w:hAnsi="方正大标宋简体" w:eastAsia="方正大标宋简体" w:cs="方正大标宋简体"/>
          <w:b w:val="0"/>
          <w:bCs w:val="0"/>
          <w:color w:val="auto"/>
          <w:spacing w:val="0"/>
          <w:position w:val="0"/>
          <w:sz w:val="44"/>
          <w:szCs w:val="44"/>
          <w:lang w:eastAsia="zh-CN"/>
        </w:rPr>
        <w:t>2024年度岳阳市建设工程质量安全监督站</w:t>
      </w:r>
    </w:p>
    <w:p w14:paraId="052B9D8B">
      <w:pPr>
        <w:keepNext w:val="0"/>
        <w:keepLines w:val="0"/>
        <w:pageBreakBefore w:val="0"/>
        <w:widowControl w:val="0"/>
        <w:kinsoku/>
        <w:wordWrap/>
        <w:overflowPunct/>
        <w:topLinePunct w:val="0"/>
        <w:autoSpaceDE/>
        <w:autoSpaceDN/>
        <w:bidi w:val="0"/>
        <w:adjustRightInd/>
        <w:snapToGrid/>
        <w:spacing w:line="680" w:lineRule="exact"/>
        <w:jc w:val="center"/>
        <w:textAlignment w:val="auto"/>
        <w:rPr>
          <w:rFonts w:ascii="方正大标宋简体" w:hAnsi="方正大标宋简体" w:eastAsia="方正大标宋简体" w:cs="方正大标宋简体"/>
          <w:b w:val="0"/>
          <w:bCs w:val="0"/>
          <w:color w:val="auto"/>
          <w:spacing w:val="0"/>
          <w:position w:val="0"/>
          <w:sz w:val="44"/>
          <w:szCs w:val="44"/>
          <w:lang w:eastAsia="zh-CN"/>
        </w:rPr>
      </w:pPr>
      <w:r>
        <w:rPr>
          <w:rFonts w:hint="eastAsia" w:ascii="方正大标宋简体" w:hAnsi="方正大标宋简体" w:eastAsia="方正大标宋简体" w:cs="方正大标宋简体"/>
          <w:b w:val="0"/>
          <w:bCs w:val="0"/>
          <w:color w:val="auto"/>
          <w:spacing w:val="0"/>
          <w:position w:val="0"/>
          <w:sz w:val="44"/>
          <w:szCs w:val="44"/>
          <w:lang w:eastAsia="zh-CN"/>
        </w:rPr>
        <w:t>整体支出绩效自评报告</w:t>
      </w:r>
    </w:p>
    <w:p w14:paraId="33C18C7C">
      <w:pPr>
        <w:keepNext w:val="0"/>
        <w:keepLines w:val="0"/>
        <w:pageBreakBefore w:val="0"/>
        <w:kinsoku/>
        <w:wordWrap/>
        <w:overflowPunct/>
        <w:topLinePunct w:val="0"/>
        <w:autoSpaceDE/>
        <w:autoSpaceDN/>
        <w:bidi w:val="0"/>
        <w:adjustRightInd/>
        <w:snapToGrid/>
        <w:spacing w:line="600" w:lineRule="exact"/>
        <w:ind w:left="0" w:leftChars="0" w:right="0" w:firstLine="640" w:firstLineChars="200"/>
        <w:jc w:val="both"/>
        <w:textAlignment w:val="auto"/>
        <w:rPr>
          <w:rFonts w:hint="default" w:ascii="Times New Roman" w:hAnsi="Times New Roman" w:eastAsia="仿宋_GB2312" w:cs="Times New Roman"/>
          <w:color w:val="auto"/>
          <w:sz w:val="32"/>
          <w:szCs w:val="32"/>
          <w:lang w:eastAsia="zh-CN"/>
        </w:rPr>
      </w:pPr>
    </w:p>
    <w:p w14:paraId="1E94FEBF">
      <w:pPr>
        <w:keepNext w:val="0"/>
        <w:keepLines w:val="0"/>
        <w:pageBreakBefore w:val="0"/>
        <w:numPr>
          <w:ilvl w:val="0"/>
          <w:numId w:val="0"/>
        </w:numPr>
        <w:kinsoku/>
        <w:wordWrap/>
        <w:overflowPunct/>
        <w:topLinePunct w:val="0"/>
        <w:autoSpaceDE/>
        <w:autoSpaceDN/>
        <w:bidi w:val="0"/>
        <w:adjustRightInd/>
        <w:snapToGrid/>
        <w:spacing w:line="600" w:lineRule="exact"/>
        <w:ind w:right="0" w:rightChars="0" w:firstLine="640" w:firstLineChars="200"/>
        <w:jc w:val="both"/>
        <w:textAlignment w:val="auto"/>
        <w:rPr>
          <w:rFonts w:hint="eastAsia" w:ascii="黑体" w:hAnsi="黑体" w:eastAsia="黑体" w:cs="黑体"/>
          <w:color w:val="auto"/>
          <w:spacing w:val="0"/>
          <w:sz w:val="32"/>
          <w:szCs w:val="32"/>
        </w:rPr>
      </w:pPr>
      <w:r>
        <w:rPr>
          <w:rFonts w:hint="eastAsia" w:ascii="黑体" w:hAnsi="黑体" w:eastAsia="黑体" w:cs="黑体"/>
          <w:color w:val="auto"/>
          <w:spacing w:val="0"/>
          <w:sz w:val="32"/>
          <w:szCs w:val="32"/>
          <w:lang w:eastAsia="zh-CN"/>
        </w:rPr>
        <w:t>一、</w:t>
      </w:r>
      <w:r>
        <w:rPr>
          <w:rFonts w:hint="eastAsia" w:ascii="黑体" w:hAnsi="黑体" w:eastAsia="黑体" w:cs="黑体"/>
          <w:color w:val="auto"/>
          <w:spacing w:val="0"/>
          <w:sz w:val="32"/>
          <w:szCs w:val="32"/>
        </w:rPr>
        <w:t>单位基本情况</w:t>
      </w:r>
    </w:p>
    <w:p w14:paraId="293F6E02">
      <w:pPr>
        <w:keepNext w:val="0"/>
        <w:keepLines w:val="0"/>
        <w:pageBreakBefore w:val="0"/>
        <w:widowControl w:val="0"/>
        <w:kinsoku/>
        <w:wordWrap/>
        <w:overflowPunct/>
        <w:topLinePunct w:val="0"/>
        <w:autoSpaceDE/>
        <w:autoSpaceDN/>
        <w:bidi w:val="0"/>
        <w:adjustRightInd/>
        <w:snapToGrid/>
        <w:spacing w:line="600" w:lineRule="exact"/>
        <w:ind w:left="0" w:leftChars="0" w:right="0" w:firstLine="643" w:firstLineChars="200"/>
        <w:jc w:val="both"/>
        <w:textAlignment w:val="auto"/>
        <w:rPr>
          <w:rFonts w:hint="default" w:ascii="Times New Roman" w:hAnsi="Times New Roman" w:eastAsia="仿宋_GB2312" w:cs="Times New Roman"/>
          <w:b/>
          <w:bCs/>
          <w:color w:val="auto"/>
          <w:sz w:val="32"/>
          <w:szCs w:val="32"/>
        </w:rPr>
      </w:pPr>
      <w:r>
        <w:rPr>
          <w:rFonts w:hint="default" w:ascii="Times New Roman" w:hAnsi="Times New Roman" w:eastAsia="仿宋_GB2312" w:cs="Times New Roman"/>
          <w:b/>
          <w:bCs/>
          <w:color w:val="auto"/>
          <w:sz w:val="32"/>
          <w:szCs w:val="32"/>
        </w:rPr>
        <w:t>（一）基本情况。</w:t>
      </w:r>
    </w:p>
    <w:p w14:paraId="57B4CF30">
      <w:pPr>
        <w:keepNext w:val="0"/>
        <w:keepLines w:val="0"/>
        <w:pageBreakBefore w:val="0"/>
        <w:widowControl w:val="0"/>
        <w:kinsoku/>
        <w:wordWrap/>
        <w:overflowPunct/>
        <w:topLinePunct w:val="0"/>
        <w:autoSpaceDE/>
        <w:autoSpaceDN/>
        <w:bidi w:val="0"/>
        <w:adjustRightInd/>
        <w:snapToGrid/>
        <w:spacing w:line="600" w:lineRule="exact"/>
        <w:ind w:left="0" w:leftChars="0" w:right="0" w:firstLine="640" w:firstLineChars="200"/>
        <w:jc w:val="both"/>
        <w:textAlignment w:val="auto"/>
        <w:rPr>
          <w:rFonts w:hint="default" w:ascii="Times New Roman" w:hAnsi="Times New Roman" w:eastAsia="仿宋_GB2312" w:cs="Times New Roman"/>
          <w:color w:val="auto"/>
          <w:sz w:val="32"/>
          <w:szCs w:val="32"/>
        </w:rPr>
      </w:pPr>
      <w:r>
        <w:rPr>
          <w:rFonts w:hint="default" w:ascii="Times New Roman" w:hAnsi="Times New Roman" w:eastAsia="仿宋_GB2312" w:cs="Times New Roman"/>
          <w:color w:val="auto"/>
          <w:sz w:val="32"/>
          <w:szCs w:val="32"/>
        </w:rPr>
        <w:t>1．主要职能。</w:t>
      </w:r>
    </w:p>
    <w:p w14:paraId="7AE8FE22">
      <w:pPr>
        <w:keepNext w:val="0"/>
        <w:keepLines w:val="0"/>
        <w:pageBreakBefore w:val="0"/>
        <w:widowControl w:val="0"/>
        <w:kinsoku/>
        <w:wordWrap/>
        <w:overflowPunct/>
        <w:topLinePunct w:val="0"/>
        <w:autoSpaceDE/>
        <w:autoSpaceDN/>
        <w:bidi w:val="0"/>
        <w:adjustRightInd/>
        <w:snapToGrid/>
        <w:spacing w:line="600" w:lineRule="exact"/>
        <w:ind w:left="0" w:leftChars="0" w:right="0" w:firstLine="643" w:firstLineChars="200"/>
        <w:jc w:val="both"/>
        <w:textAlignment w:val="auto"/>
        <w:rPr>
          <w:rFonts w:hint="default" w:ascii="Times New Roman" w:hAnsi="Times New Roman" w:eastAsia="仿宋_GB2312" w:cs="Times New Roman"/>
          <w:b/>
          <w:bCs/>
          <w:color w:val="auto"/>
          <w:sz w:val="32"/>
          <w:szCs w:val="32"/>
          <w:lang w:eastAsia="zh-CN"/>
        </w:rPr>
      </w:pPr>
      <w:r>
        <w:rPr>
          <w:rFonts w:hint="default" w:ascii="Times New Roman" w:hAnsi="Times New Roman" w:eastAsia="仿宋_GB2312" w:cs="Times New Roman"/>
          <w:b/>
          <w:bCs/>
          <w:color w:val="auto"/>
          <w:sz w:val="32"/>
          <w:szCs w:val="32"/>
          <w:lang w:eastAsia="zh-CN"/>
        </w:rPr>
        <w:t>（一）为机关提供支持保障的职能</w:t>
      </w:r>
    </w:p>
    <w:p w14:paraId="75DCBB2E">
      <w:pPr>
        <w:keepNext w:val="0"/>
        <w:keepLines w:val="0"/>
        <w:pageBreakBefore w:val="0"/>
        <w:widowControl w:val="0"/>
        <w:kinsoku/>
        <w:wordWrap/>
        <w:overflowPunct/>
        <w:topLinePunct w:val="0"/>
        <w:autoSpaceDE/>
        <w:autoSpaceDN/>
        <w:bidi w:val="0"/>
        <w:adjustRightInd/>
        <w:snapToGrid/>
        <w:spacing w:line="600" w:lineRule="exact"/>
        <w:ind w:left="0" w:leftChars="0" w:right="0" w:firstLine="640" w:firstLineChars="200"/>
        <w:jc w:val="both"/>
        <w:textAlignment w:val="auto"/>
        <w:rPr>
          <w:rFonts w:hint="default" w:ascii="Times New Roman" w:hAnsi="Times New Roman" w:eastAsia="仿宋_GB2312" w:cs="Times New Roman"/>
          <w:color w:val="auto"/>
          <w:sz w:val="32"/>
          <w:szCs w:val="32"/>
          <w:lang w:eastAsia="zh-CN"/>
        </w:rPr>
      </w:pPr>
      <w:r>
        <w:rPr>
          <w:rFonts w:hint="default" w:ascii="Times New Roman" w:hAnsi="Times New Roman" w:eastAsia="仿宋_GB2312" w:cs="Times New Roman"/>
          <w:color w:val="auto"/>
          <w:sz w:val="32"/>
          <w:szCs w:val="32"/>
          <w:lang w:eastAsia="zh-CN"/>
        </w:rPr>
        <w:t>1.参与拟订建设工程质量安全监督管理的有关规定和年度工作计划并实施的事务性工作。</w:t>
      </w:r>
    </w:p>
    <w:p w14:paraId="4A44DA19">
      <w:pPr>
        <w:keepNext w:val="0"/>
        <w:keepLines w:val="0"/>
        <w:pageBreakBefore w:val="0"/>
        <w:widowControl w:val="0"/>
        <w:kinsoku/>
        <w:wordWrap/>
        <w:overflowPunct/>
        <w:topLinePunct w:val="0"/>
        <w:autoSpaceDE/>
        <w:autoSpaceDN/>
        <w:bidi w:val="0"/>
        <w:adjustRightInd/>
        <w:snapToGrid/>
        <w:spacing w:line="600" w:lineRule="exact"/>
        <w:ind w:left="0" w:leftChars="0" w:right="0" w:firstLine="640" w:firstLineChars="200"/>
        <w:jc w:val="both"/>
        <w:textAlignment w:val="auto"/>
        <w:rPr>
          <w:rFonts w:hint="default" w:ascii="Times New Roman" w:hAnsi="Times New Roman" w:eastAsia="仿宋_GB2312" w:cs="Times New Roman"/>
          <w:color w:val="auto"/>
          <w:sz w:val="32"/>
          <w:szCs w:val="32"/>
          <w:lang w:eastAsia="zh-CN"/>
        </w:rPr>
      </w:pPr>
      <w:r>
        <w:rPr>
          <w:rFonts w:hint="default" w:ascii="Times New Roman" w:hAnsi="Times New Roman" w:eastAsia="仿宋_GB2312" w:cs="Times New Roman"/>
          <w:color w:val="auto"/>
          <w:sz w:val="32"/>
          <w:szCs w:val="32"/>
          <w:lang w:eastAsia="zh-CN"/>
        </w:rPr>
        <w:t>2.负责中心城区（含城陵矶新港区，下同）已办理施工质量安全监督手续并取得施工许可证的工程项目质量安全监督及文明施工管理的行政辅助工作；负责违反建筑市场、工程质量安全、建筑节能等相关法律法规和未批先建等违法违规行为查处的行政辅助工作。</w:t>
      </w:r>
    </w:p>
    <w:p w14:paraId="3F9CEC52">
      <w:pPr>
        <w:keepNext w:val="0"/>
        <w:keepLines w:val="0"/>
        <w:pageBreakBefore w:val="0"/>
        <w:widowControl w:val="0"/>
        <w:kinsoku/>
        <w:wordWrap/>
        <w:overflowPunct/>
        <w:topLinePunct w:val="0"/>
        <w:autoSpaceDE/>
        <w:autoSpaceDN/>
        <w:bidi w:val="0"/>
        <w:adjustRightInd/>
        <w:snapToGrid/>
        <w:spacing w:line="600" w:lineRule="exact"/>
        <w:ind w:left="0" w:leftChars="0" w:right="0" w:firstLine="640" w:firstLineChars="200"/>
        <w:jc w:val="both"/>
        <w:textAlignment w:val="auto"/>
        <w:rPr>
          <w:rFonts w:hint="default" w:ascii="Times New Roman" w:hAnsi="Times New Roman" w:eastAsia="仿宋_GB2312" w:cs="Times New Roman"/>
          <w:color w:val="auto"/>
          <w:sz w:val="32"/>
          <w:szCs w:val="32"/>
          <w:lang w:eastAsia="zh-CN"/>
        </w:rPr>
      </w:pPr>
      <w:r>
        <w:rPr>
          <w:rFonts w:hint="default" w:ascii="Times New Roman" w:hAnsi="Times New Roman" w:eastAsia="仿宋_GB2312" w:cs="Times New Roman"/>
          <w:color w:val="auto"/>
          <w:sz w:val="32"/>
          <w:szCs w:val="32"/>
          <w:lang w:eastAsia="zh-CN"/>
        </w:rPr>
        <w:t>3.负责中心城区建设工程质量和安全生产监督注册和竣工验收备案的行政辅助工作。</w:t>
      </w:r>
    </w:p>
    <w:p w14:paraId="60B3AA4A">
      <w:pPr>
        <w:keepNext w:val="0"/>
        <w:keepLines w:val="0"/>
        <w:pageBreakBefore w:val="0"/>
        <w:widowControl w:val="0"/>
        <w:kinsoku/>
        <w:wordWrap/>
        <w:overflowPunct/>
        <w:topLinePunct w:val="0"/>
        <w:autoSpaceDE/>
        <w:autoSpaceDN/>
        <w:bidi w:val="0"/>
        <w:adjustRightInd/>
        <w:snapToGrid/>
        <w:spacing w:line="600" w:lineRule="exact"/>
        <w:ind w:left="0" w:leftChars="0" w:right="0" w:firstLine="640" w:firstLineChars="200"/>
        <w:jc w:val="both"/>
        <w:textAlignment w:val="auto"/>
        <w:rPr>
          <w:rFonts w:hint="default" w:ascii="Times New Roman" w:hAnsi="Times New Roman" w:eastAsia="仿宋_GB2312" w:cs="Times New Roman"/>
          <w:color w:val="auto"/>
          <w:sz w:val="32"/>
          <w:szCs w:val="32"/>
          <w:lang w:eastAsia="zh-CN"/>
        </w:rPr>
      </w:pPr>
      <w:r>
        <w:rPr>
          <w:rFonts w:hint="default" w:ascii="Times New Roman" w:hAnsi="Times New Roman" w:eastAsia="仿宋_GB2312" w:cs="Times New Roman"/>
          <w:color w:val="auto"/>
          <w:sz w:val="32"/>
          <w:szCs w:val="32"/>
          <w:lang w:eastAsia="zh-CN"/>
        </w:rPr>
        <w:t>4.负责中心城区工程建设中各方责任主体信用评价管理的行政辅助工作。</w:t>
      </w:r>
    </w:p>
    <w:p w14:paraId="78E3840B">
      <w:pPr>
        <w:keepNext w:val="0"/>
        <w:keepLines w:val="0"/>
        <w:pageBreakBefore w:val="0"/>
        <w:widowControl w:val="0"/>
        <w:kinsoku/>
        <w:wordWrap/>
        <w:overflowPunct/>
        <w:topLinePunct w:val="0"/>
        <w:autoSpaceDE/>
        <w:autoSpaceDN/>
        <w:bidi w:val="0"/>
        <w:adjustRightInd/>
        <w:snapToGrid/>
        <w:spacing w:line="600" w:lineRule="exact"/>
        <w:ind w:left="0" w:leftChars="0" w:right="0" w:firstLine="640" w:firstLineChars="200"/>
        <w:jc w:val="both"/>
        <w:textAlignment w:val="auto"/>
        <w:rPr>
          <w:rFonts w:hint="default" w:ascii="Times New Roman" w:hAnsi="Times New Roman" w:eastAsia="仿宋_GB2312" w:cs="Times New Roman"/>
          <w:color w:val="auto"/>
          <w:sz w:val="32"/>
          <w:szCs w:val="32"/>
          <w:lang w:eastAsia="zh-CN"/>
        </w:rPr>
      </w:pPr>
      <w:r>
        <w:rPr>
          <w:rFonts w:hint="default" w:ascii="Times New Roman" w:hAnsi="Times New Roman" w:eastAsia="仿宋_GB2312" w:cs="Times New Roman"/>
          <w:color w:val="auto"/>
          <w:sz w:val="32"/>
          <w:szCs w:val="32"/>
          <w:lang w:eastAsia="zh-CN"/>
        </w:rPr>
        <w:t>5.负责中心城区建设工程质量和安全生产标准化管理的行政辅助工作；负责房屋安全鉴定、建设工程检测、工程质量安全监督抽查检测以及应当办理施工许可的既有建筑物装饰装修活动的监督管理的行政辅助工作。</w:t>
      </w:r>
    </w:p>
    <w:p w14:paraId="665BE6F3">
      <w:pPr>
        <w:keepNext w:val="0"/>
        <w:keepLines w:val="0"/>
        <w:pageBreakBefore w:val="0"/>
        <w:widowControl w:val="0"/>
        <w:kinsoku/>
        <w:wordWrap/>
        <w:overflowPunct/>
        <w:topLinePunct w:val="0"/>
        <w:autoSpaceDE/>
        <w:autoSpaceDN/>
        <w:bidi w:val="0"/>
        <w:adjustRightInd/>
        <w:snapToGrid/>
        <w:spacing w:line="600" w:lineRule="exact"/>
        <w:ind w:left="0" w:leftChars="0" w:right="0" w:firstLine="640" w:firstLineChars="200"/>
        <w:jc w:val="both"/>
        <w:textAlignment w:val="auto"/>
        <w:rPr>
          <w:rFonts w:hint="default" w:ascii="Times New Roman" w:hAnsi="Times New Roman" w:eastAsia="仿宋_GB2312" w:cs="Times New Roman"/>
          <w:color w:val="auto"/>
          <w:sz w:val="32"/>
          <w:szCs w:val="32"/>
          <w:lang w:eastAsia="zh-CN"/>
        </w:rPr>
      </w:pPr>
      <w:r>
        <w:rPr>
          <w:rFonts w:hint="default" w:ascii="Times New Roman" w:hAnsi="Times New Roman" w:eastAsia="仿宋_GB2312" w:cs="Times New Roman"/>
          <w:color w:val="auto"/>
          <w:sz w:val="32"/>
          <w:szCs w:val="32"/>
          <w:lang w:eastAsia="zh-CN"/>
        </w:rPr>
        <w:t>6.负责中心城区建设工程施工现场建筑材料、构配件、安全防护用具及建筑起重机械备案、安装、拆卸、使用登记、运行使用等监督管理的行政辅助工作。</w:t>
      </w:r>
    </w:p>
    <w:p w14:paraId="698E68C0">
      <w:pPr>
        <w:keepNext w:val="0"/>
        <w:keepLines w:val="0"/>
        <w:pageBreakBefore w:val="0"/>
        <w:widowControl w:val="0"/>
        <w:kinsoku/>
        <w:wordWrap/>
        <w:overflowPunct/>
        <w:topLinePunct w:val="0"/>
        <w:autoSpaceDE/>
        <w:autoSpaceDN/>
        <w:bidi w:val="0"/>
        <w:adjustRightInd/>
        <w:snapToGrid/>
        <w:spacing w:line="600" w:lineRule="exact"/>
        <w:ind w:left="0" w:leftChars="0" w:right="0" w:firstLine="640" w:firstLineChars="200"/>
        <w:jc w:val="both"/>
        <w:textAlignment w:val="auto"/>
        <w:rPr>
          <w:rFonts w:hint="default" w:ascii="Times New Roman" w:hAnsi="Times New Roman" w:eastAsia="仿宋_GB2312" w:cs="Times New Roman"/>
          <w:color w:val="auto"/>
          <w:sz w:val="32"/>
          <w:szCs w:val="32"/>
          <w:lang w:eastAsia="zh-CN"/>
        </w:rPr>
      </w:pPr>
      <w:r>
        <w:rPr>
          <w:rFonts w:hint="default" w:ascii="Times New Roman" w:hAnsi="Times New Roman" w:eastAsia="仿宋_GB2312" w:cs="Times New Roman"/>
          <w:color w:val="auto"/>
          <w:sz w:val="32"/>
          <w:szCs w:val="32"/>
          <w:lang w:eastAsia="zh-CN"/>
        </w:rPr>
        <w:t>7.负责中心城区建设工程消防施工质量监督管理和消防设计审查验收违法违规行为查处的行政辅助工作，为消防竣工验收或备案抽查提供技术支撑工作。</w:t>
      </w:r>
    </w:p>
    <w:p w14:paraId="484B5074">
      <w:pPr>
        <w:keepNext w:val="0"/>
        <w:keepLines w:val="0"/>
        <w:pageBreakBefore w:val="0"/>
        <w:widowControl w:val="0"/>
        <w:kinsoku/>
        <w:wordWrap/>
        <w:overflowPunct/>
        <w:topLinePunct w:val="0"/>
        <w:autoSpaceDE/>
        <w:autoSpaceDN/>
        <w:bidi w:val="0"/>
        <w:adjustRightInd/>
        <w:snapToGrid/>
        <w:spacing w:line="600" w:lineRule="exact"/>
        <w:ind w:left="0" w:leftChars="0" w:right="0" w:firstLine="640" w:firstLineChars="200"/>
        <w:jc w:val="both"/>
        <w:textAlignment w:val="auto"/>
        <w:rPr>
          <w:rFonts w:hint="default" w:ascii="Times New Roman" w:hAnsi="Times New Roman" w:eastAsia="仿宋_GB2312" w:cs="Times New Roman"/>
          <w:color w:val="auto"/>
          <w:sz w:val="32"/>
          <w:szCs w:val="32"/>
          <w:lang w:eastAsia="zh-CN"/>
        </w:rPr>
      </w:pPr>
      <w:r>
        <w:rPr>
          <w:rFonts w:hint="default" w:ascii="Times New Roman" w:hAnsi="Times New Roman" w:eastAsia="仿宋_GB2312" w:cs="Times New Roman"/>
          <w:color w:val="auto"/>
          <w:sz w:val="32"/>
          <w:szCs w:val="32"/>
          <w:lang w:eastAsia="zh-CN"/>
        </w:rPr>
        <w:t>8.负责协调处理市城区建设工程质量安全信访事件，为调查处理工程质量安全事故提供技术支撑工作。</w:t>
      </w:r>
    </w:p>
    <w:p w14:paraId="18AB76FF">
      <w:pPr>
        <w:keepNext w:val="0"/>
        <w:keepLines w:val="0"/>
        <w:pageBreakBefore w:val="0"/>
        <w:widowControl w:val="0"/>
        <w:kinsoku/>
        <w:wordWrap/>
        <w:overflowPunct/>
        <w:topLinePunct w:val="0"/>
        <w:autoSpaceDE/>
        <w:autoSpaceDN/>
        <w:bidi w:val="0"/>
        <w:adjustRightInd/>
        <w:snapToGrid/>
        <w:spacing w:line="600" w:lineRule="exact"/>
        <w:ind w:left="0" w:leftChars="0" w:right="0" w:firstLine="640" w:firstLineChars="200"/>
        <w:jc w:val="both"/>
        <w:textAlignment w:val="auto"/>
        <w:rPr>
          <w:rFonts w:hint="default" w:ascii="Times New Roman" w:hAnsi="Times New Roman" w:eastAsia="仿宋_GB2312" w:cs="Times New Roman"/>
          <w:color w:val="auto"/>
          <w:sz w:val="32"/>
          <w:szCs w:val="32"/>
          <w:lang w:eastAsia="zh-CN"/>
        </w:rPr>
      </w:pPr>
      <w:r>
        <w:rPr>
          <w:rFonts w:hint="default" w:ascii="Times New Roman" w:hAnsi="Times New Roman" w:eastAsia="仿宋_GB2312" w:cs="Times New Roman"/>
          <w:color w:val="auto"/>
          <w:sz w:val="32"/>
          <w:szCs w:val="32"/>
          <w:lang w:eastAsia="zh-CN"/>
        </w:rPr>
        <w:t>9.负责指导县市区建设工程质量安全监督管理的行政辅助工作。</w:t>
      </w:r>
    </w:p>
    <w:p w14:paraId="518E7E82">
      <w:pPr>
        <w:keepNext w:val="0"/>
        <w:keepLines w:val="0"/>
        <w:pageBreakBefore w:val="0"/>
        <w:widowControl w:val="0"/>
        <w:kinsoku/>
        <w:wordWrap/>
        <w:overflowPunct/>
        <w:topLinePunct w:val="0"/>
        <w:autoSpaceDE/>
        <w:autoSpaceDN/>
        <w:bidi w:val="0"/>
        <w:adjustRightInd/>
        <w:snapToGrid/>
        <w:spacing w:line="600" w:lineRule="exact"/>
        <w:ind w:left="0" w:leftChars="0" w:right="0" w:firstLine="640" w:firstLineChars="200"/>
        <w:jc w:val="both"/>
        <w:textAlignment w:val="auto"/>
        <w:rPr>
          <w:rFonts w:hint="default" w:ascii="Times New Roman" w:hAnsi="Times New Roman" w:eastAsia="仿宋_GB2312" w:cs="Times New Roman"/>
          <w:b w:val="0"/>
          <w:bCs w:val="0"/>
          <w:color w:val="auto"/>
          <w:sz w:val="32"/>
          <w:szCs w:val="32"/>
          <w:lang w:eastAsia="zh-CN"/>
        </w:rPr>
      </w:pPr>
      <w:r>
        <w:rPr>
          <w:rFonts w:hint="default" w:ascii="Times New Roman" w:hAnsi="Times New Roman" w:eastAsia="仿宋_GB2312" w:cs="Times New Roman"/>
          <w:b w:val="0"/>
          <w:bCs w:val="0"/>
          <w:color w:val="auto"/>
          <w:sz w:val="32"/>
          <w:szCs w:val="32"/>
          <w:lang w:eastAsia="zh-CN"/>
        </w:rPr>
        <w:t>（二）面向社会提供公益服务的职能，负责为社会公众提供工程质量安全技术咨询服务。</w:t>
      </w:r>
    </w:p>
    <w:p w14:paraId="7482B3DE">
      <w:pPr>
        <w:keepNext w:val="0"/>
        <w:keepLines w:val="0"/>
        <w:pageBreakBefore w:val="0"/>
        <w:widowControl w:val="0"/>
        <w:kinsoku/>
        <w:wordWrap/>
        <w:overflowPunct/>
        <w:topLinePunct w:val="0"/>
        <w:autoSpaceDE/>
        <w:autoSpaceDN/>
        <w:bidi w:val="0"/>
        <w:adjustRightInd/>
        <w:snapToGrid/>
        <w:spacing w:line="600" w:lineRule="exact"/>
        <w:ind w:left="0" w:leftChars="0" w:right="0" w:firstLine="640" w:firstLineChars="200"/>
        <w:jc w:val="both"/>
        <w:textAlignment w:val="auto"/>
        <w:rPr>
          <w:rFonts w:hint="default" w:ascii="Times New Roman" w:hAnsi="Times New Roman" w:eastAsia="仿宋_GB2312" w:cs="Times New Roman"/>
          <w:b w:val="0"/>
          <w:bCs w:val="0"/>
          <w:color w:val="auto"/>
          <w:sz w:val="32"/>
          <w:szCs w:val="32"/>
          <w:lang w:eastAsia="zh-CN"/>
        </w:rPr>
      </w:pPr>
      <w:r>
        <w:rPr>
          <w:rFonts w:hint="default" w:ascii="Times New Roman" w:hAnsi="Times New Roman" w:eastAsia="仿宋_GB2312" w:cs="Times New Roman"/>
          <w:b w:val="0"/>
          <w:bCs w:val="0"/>
          <w:color w:val="auto"/>
          <w:sz w:val="32"/>
          <w:szCs w:val="32"/>
          <w:lang w:eastAsia="zh-CN"/>
        </w:rPr>
        <w:t>（三）完成市住房和城乡建设局交办的其他任务。</w:t>
      </w:r>
    </w:p>
    <w:p w14:paraId="03EDFE89">
      <w:pPr>
        <w:keepNext w:val="0"/>
        <w:keepLines w:val="0"/>
        <w:pageBreakBefore w:val="0"/>
        <w:widowControl w:val="0"/>
        <w:kinsoku/>
        <w:wordWrap/>
        <w:overflowPunct/>
        <w:topLinePunct w:val="0"/>
        <w:autoSpaceDE/>
        <w:autoSpaceDN/>
        <w:bidi w:val="0"/>
        <w:adjustRightInd/>
        <w:snapToGrid/>
        <w:spacing w:line="600" w:lineRule="exact"/>
        <w:ind w:left="0" w:leftChars="0" w:right="0" w:firstLine="640" w:firstLineChars="200"/>
        <w:jc w:val="both"/>
        <w:textAlignment w:val="auto"/>
        <w:rPr>
          <w:rFonts w:hint="default" w:ascii="Times New Roman" w:hAnsi="Times New Roman" w:eastAsia="仿宋_GB2312" w:cs="Times New Roman"/>
          <w:color w:val="auto"/>
          <w:sz w:val="32"/>
          <w:szCs w:val="32"/>
          <w:lang w:eastAsia="zh-CN"/>
        </w:rPr>
      </w:pPr>
      <w:r>
        <w:rPr>
          <w:rFonts w:hint="default" w:ascii="Times New Roman" w:hAnsi="Times New Roman" w:eastAsia="仿宋_GB2312" w:cs="Times New Roman"/>
          <w:color w:val="auto"/>
          <w:sz w:val="32"/>
          <w:szCs w:val="32"/>
          <w:lang w:eastAsia="zh-CN"/>
        </w:rPr>
        <w:t>2．机构情况，包括当年变动情况及原因。</w:t>
      </w:r>
    </w:p>
    <w:p w14:paraId="5964F81A">
      <w:pPr>
        <w:keepNext w:val="0"/>
        <w:keepLines w:val="0"/>
        <w:pageBreakBefore w:val="0"/>
        <w:widowControl w:val="0"/>
        <w:kinsoku/>
        <w:wordWrap/>
        <w:overflowPunct/>
        <w:topLinePunct w:val="0"/>
        <w:autoSpaceDE/>
        <w:autoSpaceDN/>
        <w:bidi w:val="0"/>
        <w:adjustRightInd/>
        <w:snapToGrid/>
        <w:spacing w:line="600" w:lineRule="exact"/>
        <w:ind w:left="0" w:leftChars="0" w:right="0" w:firstLine="640" w:firstLineChars="200"/>
        <w:jc w:val="both"/>
        <w:textAlignment w:val="auto"/>
        <w:rPr>
          <w:rFonts w:hint="default" w:ascii="Times New Roman" w:hAnsi="Times New Roman" w:eastAsia="仿宋_GB2312" w:cs="Times New Roman"/>
          <w:color w:val="auto"/>
          <w:sz w:val="32"/>
          <w:szCs w:val="32"/>
          <w:lang w:eastAsia="zh-CN"/>
        </w:rPr>
      </w:pPr>
      <w:r>
        <w:rPr>
          <w:rFonts w:hint="default" w:ascii="Times New Roman" w:hAnsi="Times New Roman" w:eastAsia="仿宋_GB2312" w:cs="Times New Roman"/>
          <w:color w:val="auto"/>
          <w:sz w:val="32"/>
          <w:szCs w:val="32"/>
          <w:lang w:eastAsia="zh-CN"/>
        </w:rPr>
        <w:t>根据《中共湖南省委办公厅湖南省人民政府办公厅关于印发〈关于深化事业单位改革试点工作的实施意见〉的通知》（湘办发〔2021]1号）、《中共湖南省委机构编制委员会印发〈岳阳市市直深化事业单位改革试点实施方案〉的通知》（湘编发〔2021〕5号）精神，中共岳阳市委机构编制委员会2021年9越2日发《岳阳市建设工程质量安全监督站职能配置、内设机构和人员编制规定》，本单位设12个内设机构：</w:t>
      </w:r>
    </w:p>
    <w:p w14:paraId="626A09B6">
      <w:pPr>
        <w:keepNext w:val="0"/>
        <w:keepLines w:val="0"/>
        <w:pageBreakBefore w:val="0"/>
        <w:widowControl w:val="0"/>
        <w:kinsoku/>
        <w:wordWrap/>
        <w:overflowPunct/>
        <w:topLinePunct w:val="0"/>
        <w:autoSpaceDE/>
        <w:autoSpaceDN/>
        <w:bidi w:val="0"/>
        <w:adjustRightInd/>
        <w:snapToGrid/>
        <w:spacing w:line="600" w:lineRule="exact"/>
        <w:ind w:left="0" w:leftChars="0" w:right="0" w:firstLine="640" w:firstLineChars="200"/>
        <w:jc w:val="both"/>
        <w:textAlignment w:val="auto"/>
        <w:rPr>
          <w:rFonts w:hint="default" w:ascii="Times New Roman" w:hAnsi="Times New Roman" w:eastAsia="仿宋_GB2312" w:cs="Times New Roman"/>
          <w:color w:val="auto"/>
          <w:sz w:val="32"/>
          <w:szCs w:val="32"/>
          <w:lang w:eastAsia="zh-CN"/>
        </w:rPr>
      </w:pPr>
      <w:r>
        <w:rPr>
          <w:rFonts w:hint="default" w:ascii="Times New Roman" w:hAnsi="Times New Roman" w:eastAsia="仿宋_GB2312" w:cs="Times New Roman"/>
          <w:color w:val="auto"/>
          <w:sz w:val="32"/>
          <w:szCs w:val="32"/>
          <w:lang w:eastAsia="zh-CN"/>
        </w:rPr>
        <w:t>（一）综合部</w:t>
      </w:r>
    </w:p>
    <w:p w14:paraId="16B04377">
      <w:pPr>
        <w:keepNext w:val="0"/>
        <w:keepLines w:val="0"/>
        <w:pageBreakBefore w:val="0"/>
        <w:widowControl w:val="0"/>
        <w:kinsoku/>
        <w:wordWrap/>
        <w:overflowPunct/>
        <w:topLinePunct w:val="0"/>
        <w:autoSpaceDE/>
        <w:autoSpaceDN/>
        <w:bidi w:val="0"/>
        <w:adjustRightInd/>
        <w:snapToGrid/>
        <w:spacing w:line="600" w:lineRule="exact"/>
        <w:ind w:left="0" w:leftChars="0" w:right="0" w:firstLine="640" w:firstLineChars="200"/>
        <w:jc w:val="both"/>
        <w:textAlignment w:val="auto"/>
        <w:rPr>
          <w:rFonts w:hint="default" w:ascii="Times New Roman" w:hAnsi="Times New Roman" w:eastAsia="仿宋_GB2312" w:cs="Times New Roman"/>
          <w:color w:val="auto"/>
          <w:sz w:val="32"/>
          <w:szCs w:val="32"/>
          <w:lang w:eastAsia="zh-CN"/>
        </w:rPr>
      </w:pPr>
      <w:r>
        <w:rPr>
          <w:rFonts w:hint="default" w:ascii="Times New Roman" w:hAnsi="Times New Roman" w:eastAsia="仿宋_GB2312" w:cs="Times New Roman"/>
          <w:color w:val="auto"/>
          <w:sz w:val="32"/>
          <w:szCs w:val="32"/>
          <w:lang w:eastAsia="zh-CN"/>
        </w:rPr>
        <w:t>（二）信息技术部</w:t>
      </w:r>
    </w:p>
    <w:p w14:paraId="7DCDF663">
      <w:pPr>
        <w:keepNext w:val="0"/>
        <w:keepLines w:val="0"/>
        <w:pageBreakBefore w:val="0"/>
        <w:widowControl w:val="0"/>
        <w:kinsoku/>
        <w:wordWrap/>
        <w:overflowPunct/>
        <w:topLinePunct w:val="0"/>
        <w:autoSpaceDE/>
        <w:autoSpaceDN/>
        <w:bidi w:val="0"/>
        <w:adjustRightInd/>
        <w:snapToGrid/>
        <w:spacing w:line="600" w:lineRule="exact"/>
        <w:ind w:left="0" w:leftChars="0" w:right="0" w:firstLine="640" w:firstLineChars="200"/>
        <w:jc w:val="both"/>
        <w:textAlignment w:val="auto"/>
        <w:rPr>
          <w:rFonts w:hint="default" w:ascii="Times New Roman" w:hAnsi="Times New Roman" w:eastAsia="仿宋_GB2312" w:cs="Times New Roman"/>
          <w:color w:val="auto"/>
          <w:sz w:val="32"/>
          <w:szCs w:val="32"/>
          <w:lang w:eastAsia="zh-CN"/>
        </w:rPr>
      </w:pPr>
      <w:r>
        <w:rPr>
          <w:rFonts w:hint="default" w:ascii="Times New Roman" w:hAnsi="Times New Roman" w:eastAsia="仿宋_GB2312" w:cs="Times New Roman"/>
          <w:color w:val="auto"/>
          <w:sz w:val="32"/>
          <w:szCs w:val="32"/>
          <w:lang w:eastAsia="zh-CN"/>
        </w:rPr>
        <w:t>（三）信用评价部</w:t>
      </w:r>
    </w:p>
    <w:p w14:paraId="730C97A6">
      <w:pPr>
        <w:keepNext w:val="0"/>
        <w:keepLines w:val="0"/>
        <w:pageBreakBefore w:val="0"/>
        <w:widowControl w:val="0"/>
        <w:kinsoku/>
        <w:wordWrap/>
        <w:overflowPunct/>
        <w:topLinePunct w:val="0"/>
        <w:autoSpaceDE/>
        <w:autoSpaceDN/>
        <w:bidi w:val="0"/>
        <w:adjustRightInd/>
        <w:snapToGrid/>
        <w:spacing w:line="600" w:lineRule="exact"/>
        <w:ind w:left="0" w:leftChars="0" w:right="0" w:firstLine="640" w:firstLineChars="200"/>
        <w:jc w:val="both"/>
        <w:textAlignment w:val="auto"/>
        <w:rPr>
          <w:rFonts w:hint="default" w:ascii="Times New Roman" w:hAnsi="Times New Roman" w:eastAsia="仿宋_GB2312" w:cs="Times New Roman"/>
          <w:color w:val="auto"/>
          <w:sz w:val="32"/>
          <w:szCs w:val="32"/>
          <w:lang w:eastAsia="zh-CN"/>
        </w:rPr>
      </w:pPr>
      <w:r>
        <w:rPr>
          <w:rFonts w:hint="default" w:ascii="Times New Roman" w:hAnsi="Times New Roman" w:eastAsia="仿宋_GB2312" w:cs="Times New Roman"/>
          <w:color w:val="auto"/>
          <w:sz w:val="32"/>
          <w:szCs w:val="32"/>
          <w:lang w:eastAsia="zh-CN"/>
        </w:rPr>
        <w:t>（四）法规事务部</w:t>
      </w:r>
    </w:p>
    <w:p w14:paraId="497E1B01">
      <w:pPr>
        <w:keepNext w:val="0"/>
        <w:keepLines w:val="0"/>
        <w:pageBreakBefore w:val="0"/>
        <w:widowControl w:val="0"/>
        <w:kinsoku/>
        <w:wordWrap/>
        <w:overflowPunct/>
        <w:topLinePunct w:val="0"/>
        <w:autoSpaceDE/>
        <w:autoSpaceDN/>
        <w:bidi w:val="0"/>
        <w:adjustRightInd/>
        <w:snapToGrid/>
        <w:spacing w:line="600" w:lineRule="exact"/>
        <w:ind w:left="0" w:leftChars="0" w:right="0" w:firstLine="640" w:firstLineChars="200"/>
        <w:jc w:val="both"/>
        <w:textAlignment w:val="auto"/>
        <w:rPr>
          <w:rFonts w:hint="default" w:ascii="Times New Roman" w:hAnsi="Times New Roman" w:eastAsia="仿宋_GB2312" w:cs="Times New Roman"/>
          <w:color w:val="auto"/>
          <w:sz w:val="32"/>
          <w:szCs w:val="32"/>
          <w:lang w:eastAsia="zh-CN"/>
        </w:rPr>
      </w:pPr>
      <w:r>
        <w:rPr>
          <w:rFonts w:hint="default" w:ascii="Times New Roman" w:hAnsi="Times New Roman" w:eastAsia="仿宋_GB2312" w:cs="Times New Roman"/>
          <w:color w:val="auto"/>
          <w:sz w:val="32"/>
          <w:szCs w:val="32"/>
          <w:lang w:eastAsia="zh-CN"/>
        </w:rPr>
        <w:t>（五）建设工程质量考评部</w:t>
      </w:r>
    </w:p>
    <w:p w14:paraId="29AC5D88">
      <w:pPr>
        <w:keepNext w:val="0"/>
        <w:keepLines w:val="0"/>
        <w:pageBreakBefore w:val="0"/>
        <w:widowControl w:val="0"/>
        <w:kinsoku/>
        <w:wordWrap/>
        <w:overflowPunct/>
        <w:topLinePunct w:val="0"/>
        <w:autoSpaceDE/>
        <w:autoSpaceDN/>
        <w:bidi w:val="0"/>
        <w:adjustRightInd/>
        <w:snapToGrid/>
        <w:spacing w:line="600" w:lineRule="exact"/>
        <w:ind w:left="0" w:leftChars="0" w:right="0" w:firstLine="640" w:firstLineChars="200"/>
        <w:jc w:val="both"/>
        <w:textAlignment w:val="auto"/>
        <w:rPr>
          <w:rFonts w:hint="default" w:ascii="Times New Roman" w:hAnsi="Times New Roman" w:eastAsia="仿宋_GB2312" w:cs="Times New Roman"/>
          <w:color w:val="auto"/>
          <w:sz w:val="32"/>
          <w:szCs w:val="32"/>
          <w:lang w:eastAsia="zh-CN"/>
        </w:rPr>
      </w:pPr>
      <w:r>
        <w:rPr>
          <w:rFonts w:hint="default" w:ascii="Times New Roman" w:hAnsi="Times New Roman" w:eastAsia="仿宋_GB2312" w:cs="Times New Roman"/>
          <w:color w:val="auto"/>
          <w:sz w:val="32"/>
          <w:szCs w:val="32"/>
          <w:lang w:eastAsia="zh-CN"/>
        </w:rPr>
        <w:t>（六）建设施工安全考评部</w:t>
      </w:r>
    </w:p>
    <w:p w14:paraId="022F7C54">
      <w:pPr>
        <w:keepNext w:val="0"/>
        <w:keepLines w:val="0"/>
        <w:pageBreakBefore w:val="0"/>
        <w:widowControl w:val="0"/>
        <w:kinsoku/>
        <w:wordWrap/>
        <w:overflowPunct/>
        <w:topLinePunct w:val="0"/>
        <w:autoSpaceDE/>
        <w:autoSpaceDN/>
        <w:bidi w:val="0"/>
        <w:adjustRightInd/>
        <w:snapToGrid/>
        <w:spacing w:line="600" w:lineRule="exact"/>
        <w:ind w:left="0" w:leftChars="0" w:right="0" w:firstLine="640" w:firstLineChars="200"/>
        <w:jc w:val="both"/>
        <w:textAlignment w:val="auto"/>
        <w:rPr>
          <w:rFonts w:hint="default" w:ascii="Times New Roman" w:hAnsi="Times New Roman" w:eastAsia="仿宋_GB2312" w:cs="Times New Roman"/>
          <w:color w:val="auto"/>
          <w:sz w:val="32"/>
          <w:szCs w:val="32"/>
          <w:lang w:eastAsia="zh-CN"/>
        </w:rPr>
      </w:pPr>
      <w:r>
        <w:rPr>
          <w:rFonts w:hint="default" w:ascii="Times New Roman" w:hAnsi="Times New Roman" w:eastAsia="仿宋_GB2312" w:cs="Times New Roman"/>
          <w:color w:val="auto"/>
          <w:sz w:val="32"/>
          <w:szCs w:val="32"/>
          <w:lang w:eastAsia="zh-CN"/>
        </w:rPr>
        <w:t>（七）房屋安全鉴定部</w:t>
      </w:r>
    </w:p>
    <w:p w14:paraId="688100D0">
      <w:pPr>
        <w:keepNext w:val="0"/>
        <w:keepLines w:val="0"/>
        <w:pageBreakBefore w:val="0"/>
        <w:widowControl w:val="0"/>
        <w:kinsoku/>
        <w:wordWrap/>
        <w:overflowPunct/>
        <w:topLinePunct w:val="0"/>
        <w:autoSpaceDE/>
        <w:autoSpaceDN/>
        <w:bidi w:val="0"/>
        <w:adjustRightInd/>
        <w:snapToGrid/>
        <w:spacing w:line="600" w:lineRule="exact"/>
        <w:ind w:left="0" w:leftChars="0" w:right="0" w:firstLine="640" w:firstLineChars="200"/>
        <w:jc w:val="both"/>
        <w:textAlignment w:val="auto"/>
        <w:rPr>
          <w:rFonts w:hint="default" w:ascii="Times New Roman" w:hAnsi="Times New Roman" w:eastAsia="仿宋_GB2312" w:cs="Times New Roman"/>
          <w:color w:val="auto"/>
          <w:sz w:val="32"/>
          <w:szCs w:val="32"/>
          <w:lang w:eastAsia="zh-CN"/>
        </w:rPr>
      </w:pPr>
      <w:r>
        <w:rPr>
          <w:rFonts w:hint="default" w:ascii="Times New Roman" w:hAnsi="Times New Roman" w:eastAsia="仿宋_GB2312" w:cs="Times New Roman"/>
          <w:color w:val="auto"/>
          <w:sz w:val="32"/>
          <w:szCs w:val="32"/>
          <w:lang w:eastAsia="zh-CN"/>
        </w:rPr>
        <w:t>（八）装修工程监督部</w:t>
      </w:r>
    </w:p>
    <w:p w14:paraId="14379855">
      <w:pPr>
        <w:keepNext w:val="0"/>
        <w:keepLines w:val="0"/>
        <w:pageBreakBefore w:val="0"/>
        <w:widowControl w:val="0"/>
        <w:kinsoku/>
        <w:wordWrap/>
        <w:overflowPunct/>
        <w:topLinePunct w:val="0"/>
        <w:autoSpaceDE/>
        <w:autoSpaceDN/>
        <w:bidi w:val="0"/>
        <w:adjustRightInd/>
        <w:snapToGrid/>
        <w:spacing w:line="600" w:lineRule="exact"/>
        <w:ind w:left="0" w:leftChars="0" w:right="0" w:firstLine="640" w:firstLineChars="200"/>
        <w:jc w:val="both"/>
        <w:textAlignment w:val="auto"/>
        <w:rPr>
          <w:rFonts w:hint="default" w:ascii="Times New Roman" w:hAnsi="Times New Roman" w:eastAsia="仿宋_GB2312" w:cs="Times New Roman"/>
          <w:color w:val="auto"/>
          <w:sz w:val="32"/>
          <w:szCs w:val="32"/>
          <w:lang w:eastAsia="zh-CN"/>
        </w:rPr>
      </w:pPr>
      <w:r>
        <w:rPr>
          <w:rFonts w:hint="default" w:ascii="Times New Roman" w:hAnsi="Times New Roman" w:eastAsia="仿宋_GB2312" w:cs="Times New Roman"/>
          <w:color w:val="auto"/>
          <w:sz w:val="32"/>
          <w:szCs w:val="32"/>
          <w:lang w:eastAsia="zh-CN"/>
        </w:rPr>
        <w:t>（九）建设工程检测监督部</w:t>
      </w:r>
    </w:p>
    <w:p w14:paraId="31CA6FA0">
      <w:pPr>
        <w:keepNext w:val="0"/>
        <w:keepLines w:val="0"/>
        <w:pageBreakBefore w:val="0"/>
        <w:widowControl w:val="0"/>
        <w:kinsoku/>
        <w:wordWrap/>
        <w:overflowPunct/>
        <w:topLinePunct w:val="0"/>
        <w:autoSpaceDE/>
        <w:autoSpaceDN/>
        <w:bidi w:val="0"/>
        <w:adjustRightInd/>
        <w:snapToGrid/>
        <w:spacing w:line="600" w:lineRule="exact"/>
        <w:ind w:left="0" w:leftChars="0" w:right="0" w:firstLine="640" w:firstLineChars="200"/>
        <w:jc w:val="both"/>
        <w:textAlignment w:val="auto"/>
        <w:rPr>
          <w:rFonts w:hint="default" w:ascii="Times New Roman" w:hAnsi="Times New Roman" w:eastAsia="仿宋_GB2312" w:cs="Times New Roman"/>
          <w:color w:val="auto"/>
          <w:sz w:val="32"/>
          <w:szCs w:val="32"/>
          <w:lang w:eastAsia="zh-CN"/>
        </w:rPr>
      </w:pPr>
      <w:r>
        <w:rPr>
          <w:rFonts w:hint="default" w:ascii="Times New Roman" w:hAnsi="Times New Roman" w:eastAsia="仿宋_GB2312" w:cs="Times New Roman"/>
          <w:color w:val="auto"/>
          <w:sz w:val="32"/>
          <w:szCs w:val="32"/>
          <w:lang w:eastAsia="zh-CN"/>
        </w:rPr>
        <w:t>（十）重点工程监督部</w:t>
      </w:r>
    </w:p>
    <w:p w14:paraId="0177FEDF">
      <w:pPr>
        <w:keepNext w:val="0"/>
        <w:keepLines w:val="0"/>
        <w:pageBreakBefore w:val="0"/>
        <w:widowControl w:val="0"/>
        <w:kinsoku/>
        <w:wordWrap/>
        <w:overflowPunct/>
        <w:topLinePunct w:val="0"/>
        <w:autoSpaceDE/>
        <w:autoSpaceDN/>
        <w:bidi w:val="0"/>
        <w:adjustRightInd/>
        <w:snapToGrid/>
        <w:spacing w:line="600" w:lineRule="exact"/>
        <w:ind w:left="0" w:leftChars="0" w:right="0" w:firstLine="640" w:firstLineChars="200"/>
        <w:jc w:val="both"/>
        <w:textAlignment w:val="auto"/>
        <w:rPr>
          <w:rFonts w:hint="default" w:ascii="Times New Roman" w:hAnsi="Times New Roman" w:eastAsia="仿宋_GB2312" w:cs="Times New Roman"/>
          <w:color w:val="auto"/>
          <w:sz w:val="32"/>
          <w:szCs w:val="32"/>
          <w:lang w:eastAsia="zh-CN"/>
        </w:rPr>
      </w:pPr>
      <w:r>
        <w:rPr>
          <w:rFonts w:hint="default" w:ascii="Times New Roman" w:hAnsi="Times New Roman" w:eastAsia="仿宋_GB2312" w:cs="Times New Roman"/>
          <w:color w:val="auto"/>
          <w:sz w:val="32"/>
          <w:szCs w:val="32"/>
          <w:lang w:eastAsia="zh-CN"/>
        </w:rPr>
        <w:t>（十一）消防工程建设质量监督部</w:t>
      </w:r>
    </w:p>
    <w:p w14:paraId="40D41248">
      <w:pPr>
        <w:keepNext w:val="0"/>
        <w:keepLines w:val="0"/>
        <w:pageBreakBefore w:val="0"/>
        <w:widowControl w:val="0"/>
        <w:kinsoku/>
        <w:wordWrap/>
        <w:overflowPunct/>
        <w:topLinePunct w:val="0"/>
        <w:autoSpaceDE/>
        <w:autoSpaceDN/>
        <w:bidi w:val="0"/>
        <w:adjustRightInd/>
        <w:snapToGrid/>
        <w:spacing w:line="600" w:lineRule="exact"/>
        <w:ind w:left="0" w:leftChars="0" w:right="0" w:firstLine="640" w:firstLineChars="200"/>
        <w:jc w:val="both"/>
        <w:textAlignment w:val="auto"/>
        <w:rPr>
          <w:rFonts w:hint="default" w:ascii="Times New Roman" w:hAnsi="Times New Roman" w:eastAsia="仿宋_GB2312" w:cs="Times New Roman"/>
          <w:color w:val="auto"/>
          <w:sz w:val="32"/>
          <w:szCs w:val="32"/>
          <w:lang w:eastAsia="zh-CN"/>
        </w:rPr>
      </w:pPr>
      <w:r>
        <w:rPr>
          <w:rFonts w:hint="default" w:ascii="Times New Roman" w:hAnsi="Times New Roman" w:eastAsia="仿宋_GB2312" w:cs="Times New Roman"/>
          <w:color w:val="auto"/>
          <w:sz w:val="32"/>
          <w:szCs w:val="32"/>
          <w:lang w:eastAsia="zh-CN"/>
        </w:rPr>
        <w:t>（十二）财务部</w:t>
      </w:r>
    </w:p>
    <w:p w14:paraId="437C8F38">
      <w:pPr>
        <w:keepNext w:val="0"/>
        <w:keepLines w:val="0"/>
        <w:pageBreakBefore w:val="0"/>
        <w:widowControl w:val="0"/>
        <w:kinsoku/>
        <w:wordWrap/>
        <w:overflowPunct/>
        <w:topLinePunct w:val="0"/>
        <w:autoSpaceDE/>
        <w:autoSpaceDN/>
        <w:bidi w:val="0"/>
        <w:adjustRightInd/>
        <w:snapToGrid/>
        <w:spacing w:line="600" w:lineRule="exact"/>
        <w:ind w:left="0" w:leftChars="0" w:right="0" w:firstLine="640" w:firstLineChars="200"/>
        <w:jc w:val="both"/>
        <w:textAlignment w:val="auto"/>
        <w:rPr>
          <w:rFonts w:hint="default" w:ascii="Times New Roman" w:hAnsi="Times New Roman" w:eastAsia="仿宋_GB2312" w:cs="Times New Roman"/>
          <w:color w:val="auto"/>
          <w:sz w:val="32"/>
          <w:szCs w:val="32"/>
          <w:lang w:eastAsia="zh-CN"/>
        </w:rPr>
      </w:pPr>
      <w:r>
        <w:rPr>
          <w:rFonts w:hint="default" w:ascii="Times New Roman" w:hAnsi="Times New Roman" w:eastAsia="仿宋_GB2312" w:cs="Times New Roman"/>
          <w:color w:val="auto"/>
          <w:sz w:val="32"/>
          <w:szCs w:val="32"/>
          <w:lang w:eastAsia="zh-CN"/>
        </w:rPr>
        <w:t>设三个分支机构：</w:t>
      </w:r>
    </w:p>
    <w:p w14:paraId="2717DDD2">
      <w:pPr>
        <w:keepNext w:val="0"/>
        <w:keepLines w:val="0"/>
        <w:pageBreakBefore w:val="0"/>
        <w:widowControl w:val="0"/>
        <w:kinsoku/>
        <w:wordWrap/>
        <w:overflowPunct/>
        <w:topLinePunct w:val="0"/>
        <w:autoSpaceDE/>
        <w:autoSpaceDN/>
        <w:bidi w:val="0"/>
        <w:adjustRightInd/>
        <w:snapToGrid/>
        <w:spacing w:line="600" w:lineRule="exact"/>
        <w:ind w:left="0" w:leftChars="0" w:right="0" w:firstLine="640" w:firstLineChars="200"/>
        <w:jc w:val="both"/>
        <w:textAlignment w:val="auto"/>
        <w:rPr>
          <w:rFonts w:hint="default" w:ascii="Times New Roman" w:hAnsi="Times New Roman" w:eastAsia="仿宋_GB2312" w:cs="Times New Roman"/>
          <w:color w:val="auto"/>
          <w:sz w:val="32"/>
          <w:szCs w:val="32"/>
          <w:lang w:eastAsia="zh-CN"/>
        </w:rPr>
      </w:pPr>
      <w:r>
        <w:rPr>
          <w:rFonts w:hint="default" w:ascii="Times New Roman" w:hAnsi="Times New Roman" w:eastAsia="仿宋_GB2312" w:cs="Times New Roman"/>
          <w:color w:val="auto"/>
          <w:sz w:val="32"/>
          <w:szCs w:val="32"/>
          <w:lang w:eastAsia="zh-CN"/>
        </w:rPr>
        <w:t>（一）市建设工程质量安全监督站监督一所</w:t>
      </w:r>
    </w:p>
    <w:p w14:paraId="1406F85C">
      <w:pPr>
        <w:keepNext w:val="0"/>
        <w:keepLines w:val="0"/>
        <w:pageBreakBefore w:val="0"/>
        <w:widowControl w:val="0"/>
        <w:kinsoku/>
        <w:wordWrap/>
        <w:overflowPunct/>
        <w:topLinePunct w:val="0"/>
        <w:autoSpaceDE/>
        <w:autoSpaceDN/>
        <w:bidi w:val="0"/>
        <w:adjustRightInd/>
        <w:snapToGrid/>
        <w:spacing w:line="600" w:lineRule="exact"/>
        <w:ind w:left="0" w:leftChars="0" w:right="0" w:firstLine="640" w:firstLineChars="200"/>
        <w:jc w:val="both"/>
        <w:textAlignment w:val="auto"/>
        <w:rPr>
          <w:rFonts w:hint="default" w:ascii="Times New Roman" w:hAnsi="Times New Roman" w:eastAsia="仿宋_GB2312" w:cs="Times New Roman"/>
          <w:color w:val="auto"/>
          <w:sz w:val="32"/>
          <w:szCs w:val="32"/>
          <w:lang w:eastAsia="zh-CN"/>
        </w:rPr>
      </w:pPr>
      <w:r>
        <w:rPr>
          <w:rFonts w:hint="default" w:ascii="Times New Roman" w:hAnsi="Times New Roman" w:eastAsia="仿宋_GB2312" w:cs="Times New Roman"/>
          <w:color w:val="auto"/>
          <w:sz w:val="32"/>
          <w:szCs w:val="32"/>
          <w:lang w:eastAsia="zh-CN"/>
        </w:rPr>
        <w:t>（二）市建设工程质量安全监督站监督二所</w:t>
      </w:r>
    </w:p>
    <w:p w14:paraId="5AE53B61">
      <w:pPr>
        <w:keepNext w:val="0"/>
        <w:keepLines w:val="0"/>
        <w:pageBreakBefore w:val="0"/>
        <w:widowControl w:val="0"/>
        <w:kinsoku/>
        <w:wordWrap/>
        <w:overflowPunct/>
        <w:topLinePunct w:val="0"/>
        <w:autoSpaceDE/>
        <w:autoSpaceDN/>
        <w:bidi w:val="0"/>
        <w:adjustRightInd/>
        <w:snapToGrid/>
        <w:spacing w:line="600" w:lineRule="exact"/>
        <w:ind w:left="0" w:leftChars="0" w:right="0" w:firstLine="640" w:firstLineChars="200"/>
        <w:jc w:val="both"/>
        <w:textAlignment w:val="auto"/>
        <w:rPr>
          <w:rFonts w:hint="default" w:ascii="Times New Roman" w:hAnsi="Times New Roman" w:eastAsia="仿宋_GB2312" w:cs="Times New Roman"/>
          <w:color w:val="auto"/>
          <w:sz w:val="32"/>
          <w:szCs w:val="32"/>
          <w:lang w:eastAsia="zh-CN"/>
        </w:rPr>
      </w:pPr>
      <w:r>
        <w:rPr>
          <w:rFonts w:hint="default" w:ascii="Times New Roman" w:hAnsi="Times New Roman" w:eastAsia="仿宋_GB2312" w:cs="Times New Roman"/>
          <w:color w:val="auto"/>
          <w:sz w:val="32"/>
          <w:szCs w:val="32"/>
          <w:lang w:eastAsia="zh-CN"/>
        </w:rPr>
        <w:t>（三）市建设工程质量安全监督站监督三所。</w:t>
      </w:r>
    </w:p>
    <w:p w14:paraId="5FE3409A">
      <w:pPr>
        <w:keepNext w:val="0"/>
        <w:keepLines w:val="0"/>
        <w:pageBreakBefore w:val="0"/>
        <w:numPr>
          <w:ilvl w:val="0"/>
          <w:numId w:val="0"/>
        </w:numPr>
        <w:kinsoku/>
        <w:wordWrap/>
        <w:overflowPunct/>
        <w:topLinePunct w:val="0"/>
        <w:autoSpaceDE/>
        <w:autoSpaceDN/>
        <w:bidi w:val="0"/>
        <w:adjustRightInd/>
        <w:snapToGrid/>
        <w:spacing w:line="600" w:lineRule="exact"/>
        <w:ind w:right="0" w:rightChars="0" w:firstLine="640" w:firstLineChars="200"/>
        <w:jc w:val="both"/>
        <w:textAlignment w:val="auto"/>
        <w:rPr>
          <w:rFonts w:hint="default" w:ascii="黑体" w:hAnsi="黑体" w:eastAsia="黑体" w:cs="黑体"/>
          <w:color w:val="auto"/>
          <w:spacing w:val="0"/>
          <w:sz w:val="32"/>
          <w:szCs w:val="32"/>
          <w:lang w:eastAsia="zh-CN"/>
        </w:rPr>
      </w:pPr>
      <w:r>
        <w:rPr>
          <w:rFonts w:hint="default" w:ascii="黑体" w:hAnsi="黑体" w:eastAsia="黑体" w:cs="黑体"/>
          <w:color w:val="auto"/>
          <w:spacing w:val="0"/>
          <w:sz w:val="32"/>
          <w:szCs w:val="32"/>
          <w:lang w:eastAsia="zh-CN"/>
        </w:rPr>
        <w:t>二、一般公共预算支出情况</w:t>
      </w:r>
    </w:p>
    <w:p w14:paraId="691C7B13">
      <w:pPr>
        <w:keepNext w:val="0"/>
        <w:keepLines w:val="0"/>
        <w:pageBreakBefore w:val="0"/>
        <w:kinsoku/>
        <w:wordWrap/>
        <w:overflowPunct/>
        <w:topLinePunct w:val="0"/>
        <w:autoSpaceDE/>
        <w:autoSpaceDN/>
        <w:bidi w:val="0"/>
        <w:adjustRightInd/>
        <w:snapToGrid/>
        <w:spacing w:line="600" w:lineRule="exact"/>
        <w:ind w:left="0" w:leftChars="0" w:right="0" w:firstLine="643" w:firstLineChars="200"/>
        <w:jc w:val="both"/>
        <w:textAlignment w:val="auto"/>
        <w:outlineLvl w:val="2"/>
        <w:rPr>
          <w:rFonts w:hint="default" w:ascii="Times New Roman" w:hAnsi="Times New Roman" w:eastAsia="仿宋_GB2312" w:cs="Times New Roman"/>
          <w:b/>
          <w:bCs/>
          <w:color w:val="auto"/>
          <w:spacing w:val="0"/>
          <w:sz w:val="32"/>
          <w:szCs w:val="32"/>
          <w:lang w:eastAsia="zh-CN"/>
        </w:rPr>
      </w:pPr>
      <w:r>
        <w:rPr>
          <w:rFonts w:hint="eastAsia" w:ascii="Times New Roman" w:hAnsi="Times New Roman" w:eastAsia="仿宋_GB2312" w:cs="Times New Roman"/>
          <w:b/>
          <w:bCs/>
          <w:color w:val="auto"/>
          <w:spacing w:val="0"/>
          <w:sz w:val="32"/>
          <w:szCs w:val="32"/>
          <w:lang w:eastAsia="zh-CN"/>
        </w:rPr>
        <w:t>（</w:t>
      </w:r>
      <w:r>
        <w:rPr>
          <w:rFonts w:hint="default" w:ascii="Times New Roman" w:hAnsi="Times New Roman" w:eastAsia="仿宋_GB2312" w:cs="Times New Roman"/>
          <w:b/>
          <w:bCs/>
          <w:color w:val="auto"/>
          <w:spacing w:val="0"/>
          <w:sz w:val="32"/>
          <w:szCs w:val="32"/>
          <w:lang w:eastAsia="zh-CN"/>
        </w:rPr>
        <w:t>一</w:t>
      </w:r>
      <w:r>
        <w:rPr>
          <w:rFonts w:hint="eastAsia" w:ascii="Times New Roman" w:hAnsi="Times New Roman" w:eastAsia="仿宋_GB2312" w:cs="Times New Roman"/>
          <w:b/>
          <w:bCs/>
          <w:color w:val="auto"/>
          <w:spacing w:val="0"/>
          <w:sz w:val="32"/>
          <w:szCs w:val="32"/>
          <w:lang w:eastAsia="zh-CN"/>
        </w:rPr>
        <w:t>）</w:t>
      </w:r>
      <w:r>
        <w:rPr>
          <w:rFonts w:hint="default" w:ascii="Times New Roman" w:hAnsi="Times New Roman" w:eastAsia="仿宋_GB2312" w:cs="Times New Roman"/>
          <w:b/>
          <w:bCs/>
          <w:color w:val="auto"/>
          <w:spacing w:val="0"/>
          <w:sz w:val="32"/>
          <w:szCs w:val="32"/>
          <w:lang w:eastAsia="zh-CN"/>
        </w:rPr>
        <w:t>基本支出情况</w:t>
      </w:r>
    </w:p>
    <w:p w14:paraId="3F59FC35">
      <w:pPr>
        <w:keepNext w:val="0"/>
        <w:keepLines w:val="0"/>
        <w:pageBreakBefore w:val="0"/>
        <w:widowControl w:val="0"/>
        <w:kinsoku/>
        <w:wordWrap/>
        <w:overflowPunct/>
        <w:topLinePunct w:val="0"/>
        <w:autoSpaceDE/>
        <w:autoSpaceDN/>
        <w:bidi w:val="0"/>
        <w:adjustRightInd/>
        <w:snapToGrid/>
        <w:spacing w:line="600" w:lineRule="exact"/>
        <w:ind w:left="0" w:leftChars="0" w:right="0" w:firstLine="640" w:firstLineChars="200"/>
        <w:jc w:val="both"/>
        <w:textAlignment w:val="auto"/>
        <w:rPr>
          <w:rFonts w:hint="default" w:ascii="Times New Roman" w:hAnsi="Times New Roman" w:eastAsia="仿宋_GB2312" w:cs="Times New Roman"/>
          <w:color w:val="auto"/>
          <w:sz w:val="32"/>
          <w:szCs w:val="32"/>
          <w:lang w:eastAsia="zh-CN"/>
        </w:rPr>
      </w:pPr>
      <w:r>
        <w:rPr>
          <w:rFonts w:hint="default" w:ascii="Times New Roman" w:hAnsi="Times New Roman" w:eastAsia="仿宋_GB2312" w:cs="Times New Roman"/>
          <w:color w:val="auto"/>
          <w:sz w:val="32"/>
          <w:szCs w:val="32"/>
          <w:lang w:eastAsia="zh-CN"/>
        </w:rPr>
        <w:t>本单位2024年基本支出2060.04万元，其中人员经费支出1904.52万元，公用经费支出155.52万元。</w:t>
      </w:r>
    </w:p>
    <w:p w14:paraId="10E452FA">
      <w:pPr>
        <w:keepNext w:val="0"/>
        <w:keepLines w:val="0"/>
        <w:pageBreakBefore w:val="0"/>
        <w:kinsoku/>
        <w:wordWrap/>
        <w:overflowPunct/>
        <w:topLinePunct w:val="0"/>
        <w:autoSpaceDE/>
        <w:autoSpaceDN/>
        <w:bidi w:val="0"/>
        <w:adjustRightInd/>
        <w:snapToGrid/>
        <w:spacing w:line="600" w:lineRule="exact"/>
        <w:ind w:left="0" w:leftChars="0" w:right="0" w:firstLine="643" w:firstLineChars="200"/>
        <w:jc w:val="both"/>
        <w:textAlignment w:val="auto"/>
        <w:outlineLvl w:val="2"/>
        <w:rPr>
          <w:rFonts w:hint="default" w:ascii="Times New Roman" w:hAnsi="Times New Roman" w:eastAsia="仿宋_GB2312" w:cs="Times New Roman"/>
          <w:b/>
          <w:bCs/>
          <w:color w:val="auto"/>
          <w:spacing w:val="0"/>
          <w:sz w:val="32"/>
          <w:szCs w:val="32"/>
          <w:lang w:eastAsia="zh-CN"/>
        </w:rPr>
      </w:pPr>
      <w:r>
        <w:rPr>
          <w:rFonts w:hint="default" w:ascii="Times New Roman" w:hAnsi="Times New Roman" w:eastAsia="仿宋_GB2312" w:cs="Times New Roman"/>
          <w:b/>
          <w:bCs/>
          <w:color w:val="auto"/>
          <w:spacing w:val="0"/>
          <w:sz w:val="32"/>
          <w:szCs w:val="32"/>
          <w:lang w:eastAsia="zh-CN"/>
        </w:rPr>
        <w:t>（二）项目支出情况</w:t>
      </w:r>
    </w:p>
    <w:p w14:paraId="6057B244">
      <w:pPr>
        <w:pStyle w:val="2"/>
        <w:keepNext w:val="0"/>
        <w:keepLines w:val="0"/>
        <w:pageBreakBefore w:val="0"/>
        <w:kinsoku/>
        <w:wordWrap/>
        <w:overflowPunct/>
        <w:topLinePunct w:val="0"/>
        <w:autoSpaceDE/>
        <w:autoSpaceDN/>
        <w:bidi w:val="0"/>
        <w:adjustRightInd/>
        <w:snapToGrid/>
        <w:spacing w:after="0" w:line="600" w:lineRule="exact"/>
        <w:ind w:left="0" w:leftChars="0" w:right="0" w:firstLine="640" w:firstLineChars="200"/>
        <w:jc w:val="both"/>
        <w:textAlignment w:val="auto"/>
        <w:rPr>
          <w:rFonts w:hint="default" w:ascii="Times New Roman" w:hAnsi="Times New Roman" w:eastAsia="仿宋_GB2312" w:cs="Times New Roman"/>
          <w:color w:val="auto"/>
          <w:sz w:val="32"/>
          <w:szCs w:val="32"/>
          <w:lang w:eastAsia="zh-CN"/>
        </w:rPr>
      </w:pPr>
      <w:r>
        <w:rPr>
          <w:rFonts w:hint="default" w:ascii="Times New Roman" w:hAnsi="Times New Roman" w:eastAsia="仿宋_GB2312" w:cs="Times New Roman"/>
          <w:color w:val="auto"/>
          <w:sz w:val="32"/>
          <w:szCs w:val="32"/>
          <w:lang w:eastAsia="zh-CN"/>
        </w:rPr>
        <w:t>本单位2024年项目支出36.92万元，其中商品服务支出35.59万元，资本性支出1.33万元。</w:t>
      </w:r>
    </w:p>
    <w:p w14:paraId="3A14A770">
      <w:pPr>
        <w:keepNext w:val="0"/>
        <w:keepLines w:val="0"/>
        <w:pageBreakBefore w:val="0"/>
        <w:numPr>
          <w:ilvl w:val="0"/>
          <w:numId w:val="0"/>
        </w:numPr>
        <w:kinsoku/>
        <w:wordWrap/>
        <w:overflowPunct/>
        <w:topLinePunct w:val="0"/>
        <w:autoSpaceDE/>
        <w:autoSpaceDN/>
        <w:bidi w:val="0"/>
        <w:adjustRightInd/>
        <w:snapToGrid/>
        <w:spacing w:line="600" w:lineRule="exact"/>
        <w:ind w:right="0" w:rightChars="0" w:firstLine="640" w:firstLineChars="200"/>
        <w:jc w:val="both"/>
        <w:textAlignment w:val="auto"/>
        <w:rPr>
          <w:rFonts w:hint="default" w:ascii="黑体" w:hAnsi="黑体" w:eastAsia="黑体" w:cs="黑体"/>
          <w:color w:val="auto"/>
          <w:spacing w:val="0"/>
          <w:sz w:val="32"/>
          <w:szCs w:val="32"/>
          <w:lang w:eastAsia="zh-CN"/>
        </w:rPr>
      </w:pPr>
      <w:r>
        <w:rPr>
          <w:rFonts w:hint="eastAsia" w:ascii="黑体" w:hAnsi="黑体" w:eastAsia="黑体" w:cs="黑体"/>
          <w:color w:val="auto"/>
          <w:spacing w:val="0"/>
          <w:sz w:val="32"/>
          <w:szCs w:val="32"/>
          <w:lang w:eastAsia="zh-CN"/>
        </w:rPr>
        <w:t>三、</w:t>
      </w:r>
      <w:r>
        <w:rPr>
          <w:rFonts w:hint="default" w:ascii="黑体" w:hAnsi="黑体" w:eastAsia="黑体" w:cs="黑体"/>
          <w:color w:val="auto"/>
          <w:spacing w:val="0"/>
          <w:sz w:val="32"/>
          <w:szCs w:val="32"/>
          <w:lang w:eastAsia="zh-CN"/>
        </w:rPr>
        <w:t>政府性基金预算支出情况</w:t>
      </w:r>
    </w:p>
    <w:p w14:paraId="25B50F4A">
      <w:pPr>
        <w:keepNext w:val="0"/>
        <w:keepLines w:val="0"/>
        <w:pageBreakBefore w:val="0"/>
        <w:widowControl w:val="0"/>
        <w:kinsoku/>
        <w:wordWrap/>
        <w:overflowPunct/>
        <w:topLinePunct w:val="0"/>
        <w:autoSpaceDE/>
        <w:autoSpaceDN/>
        <w:bidi w:val="0"/>
        <w:adjustRightInd/>
        <w:snapToGrid/>
        <w:spacing w:line="600" w:lineRule="exact"/>
        <w:ind w:left="0" w:leftChars="0" w:right="0" w:firstLine="640" w:firstLineChars="200"/>
        <w:jc w:val="both"/>
        <w:textAlignment w:val="auto"/>
        <w:rPr>
          <w:rFonts w:hint="default" w:ascii="Times New Roman" w:hAnsi="Times New Roman" w:eastAsia="仿宋_GB2312" w:cs="Times New Roman"/>
          <w:color w:val="auto"/>
          <w:sz w:val="32"/>
          <w:szCs w:val="32"/>
          <w:lang w:eastAsia="zh-CN"/>
        </w:rPr>
      </w:pPr>
      <w:r>
        <w:rPr>
          <w:rFonts w:hint="default" w:ascii="Times New Roman" w:hAnsi="Times New Roman" w:eastAsia="仿宋_GB2312" w:cs="Times New Roman"/>
          <w:color w:val="auto"/>
          <w:sz w:val="32"/>
          <w:szCs w:val="32"/>
          <w:lang w:eastAsia="zh-CN"/>
        </w:rPr>
        <w:t>本单位无政府性基金预算支出</w:t>
      </w:r>
    </w:p>
    <w:p w14:paraId="721DA805">
      <w:pPr>
        <w:keepNext w:val="0"/>
        <w:keepLines w:val="0"/>
        <w:pageBreakBefore w:val="0"/>
        <w:numPr>
          <w:ilvl w:val="0"/>
          <w:numId w:val="0"/>
        </w:numPr>
        <w:kinsoku/>
        <w:wordWrap/>
        <w:overflowPunct/>
        <w:topLinePunct w:val="0"/>
        <w:autoSpaceDE/>
        <w:autoSpaceDN/>
        <w:bidi w:val="0"/>
        <w:adjustRightInd/>
        <w:snapToGrid/>
        <w:spacing w:line="600" w:lineRule="exact"/>
        <w:ind w:right="0" w:rightChars="0" w:firstLine="640" w:firstLineChars="200"/>
        <w:jc w:val="both"/>
        <w:textAlignment w:val="auto"/>
        <w:rPr>
          <w:rFonts w:hint="default" w:ascii="黑体" w:hAnsi="黑体" w:eastAsia="黑体" w:cs="黑体"/>
          <w:color w:val="auto"/>
          <w:spacing w:val="0"/>
          <w:sz w:val="32"/>
          <w:szCs w:val="32"/>
          <w:lang w:eastAsia="zh-CN"/>
        </w:rPr>
      </w:pPr>
      <w:r>
        <w:rPr>
          <w:rFonts w:hint="eastAsia" w:ascii="黑体" w:hAnsi="黑体" w:eastAsia="黑体" w:cs="黑体"/>
          <w:color w:val="auto"/>
          <w:spacing w:val="0"/>
          <w:sz w:val="32"/>
          <w:szCs w:val="32"/>
          <w:lang w:eastAsia="zh-CN"/>
        </w:rPr>
        <w:t>四、</w:t>
      </w:r>
      <w:r>
        <w:rPr>
          <w:rFonts w:hint="default" w:ascii="黑体" w:hAnsi="黑体" w:eastAsia="黑体" w:cs="黑体"/>
          <w:color w:val="auto"/>
          <w:spacing w:val="0"/>
          <w:sz w:val="32"/>
          <w:szCs w:val="32"/>
          <w:lang w:eastAsia="zh-CN"/>
        </w:rPr>
        <w:t>国有资本经营预算支出情况</w:t>
      </w:r>
    </w:p>
    <w:p w14:paraId="52C1FEA3">
      <w:pPr>
        <w:keepNext w:val="0"/>
        <w:keepLines w:val="0"/>
        <w:pageBreakBefore w:val="0"/>
        <w:widowControl w:val="0"/>
        <w:kinsoku/>
        <w:wordWrap/>
        <w:overflowPunct/>
        <w:topLinePunct w:val="0"/>
        <w:autoSpaceDE/>
        <w:autoSpaceDN/>
        <w:bidi w:val="0"/>
        <w:adjustRightInd/>
        <w:snapToGrid/>
        <w:spacing w:line="600" w:lineRule="exact"/>
        <w:ind w:left="0" w:leftChars="0" w:right="0" w:firstLine="640" w:firstLineChars="200"/>
        <w:jc w:val="both"/>
        <w:textAlignment w:val="auto"/>
        <w:rPr>
          <w:rFonts w:hint="default" w:ascii="Times New Roman" w:hAnsi="Times New Roman" w:eastAsia="仿宋_GB2312" w:cs="Times New Roman"/>
          <w:color w:val="auto"/>
          <w:sz w:val="32"/>
          <w:szCs w:val="32"/>
          <w:lang w:eastAsia="zh-CN"/>
        </w:rPr>
      </w:pPr>
      <w:r>
        <w:rPr>
          <w:rFonts w:hint="default" w:ascii="Times New Roman" w:hAnsi="Times New Roman" w:eastAsia="仿宋_GB2312" w:cs="Times New Roman"/>
          <w:color w:val="auto"/>
          <w:sz w:val="32"/>
          <w:szCs w:val="32"/>
          <w:lang w:eastAsia="zh-CN"/>
        </w:rPr>
        <w:t>本单位无国有资本经营预算支出</w:t>
      </w:r>
    </w:p>
    <w:p w14:paraId="3C4296F0">
      <w:pPr>
        <w:keepNext w:val="0"/>
        <w:keepLines w:val="0"/>
        <w:pageBreakBefore w:val="0"/>
        <w:numPr>
          <w:ilvl w:val="0"/>
          <w:numId w:val="0"/>
        </w:numPr>
        <w:kinsoku/>
        <w:wordWrap/>
        <w:overflowPunct/>
        <w:topLinePunct w:val="0"/>
        <w:autoSpaceDE/>
        <w:autoSpaceDN/>
        <w:bidi w:val="0"/>
        <w:adjustRightInd/>
        <w:snapToGrid/>
        <w:spacing w:line="600" w:lineRule="exact"/>
        <w:ind w:right="0" w:rightChars="0" w:firstLine="640" w:firstLineChars="200"/>
        <w:jc w:val="both"/>
        <w:textAlignment w:val="auto"/>
        <w:rPr>
          <w:rFonts w:hint="default" w:ascii="黑体" w:hAnsi="黑体" w:eastAsia="黑体" w:cs="黑体"/>
          <w:color w:val="auto"/>
          <w:spacing w:val="0"/>
          <w:sz w:val="32"/>
          <w:szCs w:val="32"/>
          <w:lang w:eastAsia="zh-CN"/>
        </w:rPr>
      </w:pPr>
      <w:r>
        <w:rPr>
          <w:rFonts w:hint="eastAsia" w:ascii="黑体" w:hAnsi="黑体" w:eastAsia="黑体" w:cs="黑体"/>
          <w:color w:val="auto"/>
          <w:spacing w:val="0"/>
          <w:sz w:val="32"/>
          <w:szCs w:val="32"/>
          <w:lang w:eastAsia="zh-CN"/>
        </w:rPr>
        <w:t>五、</w:t>
      </w:r>
      <w:r>
        <w:rPr>
          <w:rFonts w:hint="default" w:ascii="黑体" w:hAnsi="黑体" w:eastAsia="黑体" w:cs="黑体"/>
          <w:color w:val="auto"/>
          <w:spacing w:val="0"/>
          <w:sz w:val="32"/>
          <w:szCs w:val="32"/>
          <w:lang w:eastAsia="zh-CN"/>
        </w:rPr>
        <w:t>社会保险基金预算支出情</w:t>
      </w:r>
    </w:p>
    <w:p w14:paraId="4EA61D98">
      <w:pPr>
        <w:keepNext w:val="0"/>
        <w:keepLines w:val="0"/>
        <w:pageBreakBefore w:val="0"/>
        <w:widowControl w:val="0"/>
        <w:kinsoku/>
        <w:wordWrap/>
        <w:overflowPunct/>
        <w:topLinePunct w:val="0"/>
        <w:autoSpaceDE/>
        <w:autoSpaceDN/>
        <w:bidi w:val="0"/>
        <w:adjustRightInd/>
        <w:snapToGrid/>
        <w:spacing w:line="600" w:lineRule="exact"/>
        <w:ind w:left="0" w:leftChars="0" w:right="0" w:firstLine="640" w:firstLineChars="200"/>
        <w:jc w:val="both"/>
        <w:textAlignment w:val="auto"/>
        <w:rPr>
          <w:rFonts w:hint="default" w:ascii="Times New Roman" w:hAnsi="Times New Roman" w:eastAsia="仿宋_GB2312" w:cs="Times New Roman"/>
          <w:b/>
          <w:bCs/>
          <w:color w:val="auto"/>
          <w:spacing w:val="-5"/>
          <w:sz w:val="32"/>
          <w:szCs w:val="32"/>
          <w:lang w:eastAsia="zh-CN"/>
        </w:rPr>
      </w:pPr>
      <w:r>
        <w:rPr>
          <w:rFonts w:hint="default" w:ascii="Times New Roman" w:hAnsi="Times New Roman" w:eastAsia="仿宋_GB2312" w:cs="Times New Roman"/>
          <w:color w:val="auto"/>
          <w:sz w:val="32"/>
          <w:szCs w:val="32"/>
          <w:lang w:eastAsia="zh-CN"/>
        </w:rPr>
        <w:t>本单位无社会保险基金预算支出</w:t>
      </w:r>
    </w:p>
    <w:p w14:paraId="74F4FF93">
      <w:pPr>
        <w:keepNext w:val="0"/>
        <w:keepLines w:val="0"/>
        <w:pageBreakBefore w:val="0"/>
        <w:numPr>
          <w:ilvl w:val="0"/>
          <w:numId w:val="0"/>
        </w:numPr>
        <w:kinsoku/>
        <w:wordWrap/>
        <w:overflowPunct/>
        <w:topLinePunct w:val="0"/>
        <w:autoSpaceDE/>
        <w:autoSpaceDN/>
        <w:bidi w:val="0"/>
        <w:adjustRightInd/>
        <w:snapToGrid/>
        <w:spacing w:line="600" w:lineRule="exact"/>
        <w:ind w:right="0" w:rightChars="0" w:firstLine="640" w:firstLineChars="200"/>
        <w:jc w:val="both"/>
        <w:textAlignment w:val="auto"/>
        <w:rPr>
          <w:rFonts w:hint="default" w:ascii="黑体" w:hAnsi="黑体" w:eastAsia="黑体" w:cs="黑体"/>
          <w:color w:val="auto"/>
          <w:spacing w:val="0"/>
          <w:sz w:val="32"/>
          <w:szCs w:val="32"/>
          <w:lang w:eastAsia="zh-CN"/>
        </w:rPr>
      </w:pPr>
      <w:r>
        <w:rPr>
          <w:rFonts w:hint="eastAsia" w:ascii="黑体" w:hAnsi="黑体" w:eastAsia="黑体" w:cs="黑体"/>
          <w:color w:val="auto"/>
          <w:spacing w:val="0"/>
          <w:sz w:val="32"/>
          <w:szCs w:val="32"/>
          <w:lang w:eastAsia="zh-CN"/>
        </w:rPr>
        <w:t>六</w:t>
      </w:r>
      <w:r>
        <w:rPr>
          <w:rFonts w:hint="default" w:ascii="黑体" w:hAnsi="黑体" w:eastAsia="黑体" w:cs="黑体"/>
          <w:color w:val="auto"/>
          <w:spacing w:val="0"/>
          <w:sz w:val="32"/>
          <w:szCs w:val="32"/>
          <w:lang w:eastAsia="zh-CN"/>
        </w:rPr>
        <w:t>、部门整体支出绩效情况</w:t>
      </w:r>
    </w:p>
    <w:p w14:paraId="587A1CE5">
      <w:pPr>
        <w:keepNext w:val="0"/>
        <w:keepLines w:val="0"/>
        <w:pageBreakBefore w:val="0"/>
        <w:widowControl w:val="0"/>
        <w:kinsoku/>
        <w:wordWrap/>
        <w:overflowPunct/>
        <w:topLinePunct w:val="0"/>
        <w:autoSpaceDE/>
        <w:autoSpaceDN/>
        <w:bidi w:val="0"/>
        <w:adjustRightInd/>
        <w:snapToGrid/>
        <w:spacing w:line="600" w:lineRule="exact"/>
        <w:ind w:left="0" w:leftChars="0" w:right="0" w:firstLine="640" w:firstLineChars="200"/>
        <w:jc w:val="both"/>
        <w:textAlignment w:val="auto"/>
        <w:rPr>
          <w:rFonts w:hint="default" w:ascii="Times New Roman" w:hAnsi="Times New Roman" w:eastAsia="仿宋_GB2312" w:cs="Times New Roman"/>
          <w:color w:val="auto"/>
          <w:kern w:val="2"/>
          <w:sz w:val="32"/>
          <w:szCs w:val="32"/>
          <w:lang w:eastAsia="zh-CN"/>
        </w:rPr>
      </w:pPr>
      <w:r>
        <w:rPr>
          <w:rFonts w:hint="default" w:ascii="Times New Roman" w:hAnsi="Times New Roman" w:eastAsia="仿宋_GB2312" w:cs="Times New Roman"/>
          <w:color w:val="auto"/>
          <w:kern w:val="2"/>
          <w:sz w:val="32"/>
          <w:szCs w:val="32"/>
          <w:lang w:eastAsia="zh-CN"/>
        </w:rPr>
        <w:t>2024年，本单位已完成整体支出绩效目标，充分发挥了监管职能，自觉在服务大局中彰显质安担当，以高水平安全为全市建筑品质高质量发展保驾护航。确保监督工作稳中有序，安全生产稳中向好，中心城区伤亡事故零发生。</w:t>
      </w:r>
      <w:r>
        <w:rPr>
          <w:rFonts w:hint="default" w:ascii="Times New Roman" w:hAnsi="Times New Roman" w:eastAsia="仿宋_GB2312" w:cs="Times New Roman"/>
          <w:color w:val="auto"/>
          <w:sz w:val="32"/>
          <w:szCs w:val="32"/>
          <w:lang w:eastAsia="zh-CN"/>
        </w:rPr>
        <w:t>牢牢把握“以人民为中心”的宗旨，回应民生之盼，增进民生之福，让群众切实感受到住建人的温暖和住建事业的温度。强化以人为本，架起信访服务“连心桥”。严格落实“323”工作机制，建立受理、登记、办结一站式信访服务规程，强化接诉即办，尤其在房屋质量问题方面，实现“一线直传”，不断提升群众满意度，坚决杜绝因自身原因造成的重复信访或不满意信访。共受理投诉840起，其中质量投诉780起，安全生产投诉60起。质量投诉：“12345”热线583起，市长、厅长信箱、网上信访来件共144件，红网投诉53起。安全投诉：“12345”热线57起，市长信箱3件，其中涉及安全投诉42起，文明施工18起。在规定时限内办结率100%，</w:t>
      </w:r>
      <w:r>
        <w:rPr>
          <w:rFonts w:hint="default" w:ascii="Times New Roman" w:hAnsi="Times New Roman" w:eastAsia="仿宋_GB2312" w:cs="Times New Roman"/>
          <w:color w:val="auto"/>
          <w:kern w:val="2"/>
          <w:sz w:val="32"/>
          <w:szCs w:val="32"/>
          <w:lang w:eastAsia="zh-CN"/>
        </w:rPr>
        <w:t>做到处理率100%、回复率100%、满意率100%。</w:t>
      </w:r>
    </w:p>
    <w:p w14:paraId="5F964587">
      <w:pPr>
        <w:keepNext w:val="0"/>
        <w:keepLines w:val="0"/>
        <w:pageBreakBefore w:val="0"/>
        <w:numPr>
          <w:ilvl w:val="0"/>
          <w:numId w:val="0"/>
        </w:numPr>
        <w:kinsoku/>
        <w:wordWrap/>
        <w:overflowPunct/>
        <w:topLinePunct w:val="0"/>
        <w:autoSpaceDE/>
        <w:autoSpaceDN/>
        <w:bidi w:val="0"/>
        <w:adjustRightInd/>
        <w:snapToGrid/>
        <w:spacing w:line="600" w:lineRule="exact"/>
        <w:ind w:right="0" w:rightChars="0" w:firstLine="640" w:firstLineChars="200"/>
        <w:jc w:val="both"/>
        <w:textAlignment w:val="auto"/>
        <w:rPr>
          <w:rFonts w:hint="default" w:ascii="黑体" w:hAnsi="黑体" w:eastAsia="黑体" w:cs="黑体"/>
          <w:color w:val="auto"/>
          <w:spacing w:val="0"/>
          <w:sz w:val="32"/>
          <w:szCs w:val="32"/>
          <w:lang w:eastAsia="zh-CN"/>
        </w:rPr>
      </w:pPr>
      <w:r>
        <w:rPr>
          <w:rFonts w:hint="eastAsia" w:ascii="黑体" w:hAnsi="黑体" w:eastAsia="黑体" w:cs="黑体"/>
          <w:color w:val="auto"/>
          <w:spacing w:val="0"/>
          <w:sz w:val="32"/>
          <w:szCs w:val="32"/>
          <w:lang w:eastAsia="zh-CN"/>
        </w:rPr>
        <w:t>七、</w:t>
      </w:r>
      <w:r>
        <w:rPr>
          <w:rFonts w:hint="default" w:ascii="黑体" w:hAnsi="黑体" w:eastAsia="黑体" w:cs="黑体"/>
          <w:color w:val="auto"/>
          <w:spacing w:val="0"/>
          <w:sz w:val="32"/>
          <w:szCs w:val="32"/>
          <w:lang w:eastAsia="zh-CN"/>
        </w:rPr>
        <w:t>存在的问题及原因分析</w:t>
      </w:r>
    </w:p>
    <w:p w14:paraId="6CB9F0D2">
      <w:pPr>
        <w:keepNext w:val="0"/>
        <w:keepLines w:val="0"/>
        <w:pageBreakBefore w:val="0"/>
        <w:widowControl w:val="0"/>
        <w:kinsoku/>
        <w:wordWrap/>
        <w:overflowPunct/>
        <w:topLinePunct w:val="0"/>
        <w:autoSpaceDE/>
        <w:autoSpaceDN/>
        <w:bidi w:val="0"/>
        <w:adjustRightInd/>
        <w:snapToGrid/>
        <w:spacing w:line="600" w:lineRule="exact"/>
        <w:ind w:left="0" w:leftChars="0" w:right="0" w:firstLine="640" w:firstLineChars="200"/>
        <w:jc w:val="both"/>
        <w:textAlignment w:val="auto"/>
        <w:outlineLvl w:val="0"/>
        <w:rPr>
          <w:rFonts w:hint="default" w:ascii="Times New Roman" w:hAnsi="Times New Roman" w:eastAsia="仿宋_GB2312" w:cs="Times New Roman"/>
          <w:color w:val="auto"/>
          <w:sz w:val="32"/>
          <w:szCs w:val="32"/>
          <w:lang w:eastAsia="zh-CN"/>
        </w:rPr>
      </w:pPr>
      <w:r>
        <w:rPr>
          <w:rFonts w:hint="default" w:ascii="Times New Roman" w:hAnsi="Times New Roman" w:eastAsia="仿宋_GB2312" w:cs="Times New Roman"/>
          <w:color w:val="auto"/>
          <w:sz w:val="32"/>
          <w:szCs w:val="32"/>
          <w:lang w:eastAsia="zh-CN"/>
        </w:rPr>
        <w:t>202</w:t>
      </w:r>
      <w:r>
        <w:rPr>
          <w:rFonts w:hint="default" w:ascii="Times New Roman" w:hAnsi="Times New Roman" w:eastAsia="仿宋_GB2312" w:cs="Times New Roman"/>
          <w:color w:val="auto"/>
          <w:sz w:val="32"/>
          <w:szCs w:val="32"/>
          <w:lang w:val="en-US" w:eastAsia="zh-CN"/>
        </w:rPr>
        <w:t>4</w:t>
      </w:r>
      <w:r>
        <w:rPr>
          <w:rFonts w:hint="default" w:ascii="Times New Roman" w:hAnsi="Times New Roman" w:eastAsia="仿宋_GB2312" w:cs="Times New Roman"/>
          <w:color w:val="auto"/>
          <w:sz w:val="32"/>
          <w:szCs w:val="32"/>
          <w:lang w:eastAsia="zh-CN"/>
        </w:rPr>
        <w:t>年使用了上年度结余的其他资金，使预算资金的支出进度未达预期。</w:t>
      </w:r>
    </w:p>
    <w:p w14:paraId="366C6D5B">
      <w:pPr>
        <w:keepNext w:val="0"/>
        <w:keepLines w:val="0"/>
        <w:pageBreakBefore w:val="0"/>
        <w:numPr>
          <w:ilvl w:val="0"/>
          <w:numId w:val="0"/>
        </w:numPr>
        <w:kinsoku/>
        <w:wordWrap/>
        <w:overflowPunct/>
        <w:topLinePunct w:val="0"/>
        <w:autoSpaceDE/>
        <w:autoSpaceDN/>
        <w:bidi w:val="0"/>
        <w:adjustRightInd/>
        <w:snapToGrid/>
        <w:spacing w:line="600" w:lineRule="exact"/>
        <w:ind w:right="0" w:rightChars="0" w:firstLine="640" w:firstLineChars="200"/>
        <w:jc w:val="both"/>
        <w:textAlignment w:val="auto"/>
        <w:rPr>
          <w:rFonts w:hint="default" w:ascii="黑体" w:hAnsi="黑体" w:eastAsia="黑体" w:cs="黑体"/>
          <w:color w:val="auto"/>
          <w:spacing w:val="0"/>
          <w:sz w:val="32"/>
          <w:szCs w:val="32"/>
          <w:lang w:eastAsia="zh-CN"/>
        </w:rPr>
      </w:pPr>
      <w:r>
        <w:rPr>
          <w:rFonts w:hint="eastAsia" w:ascii="黑体" w:hAnsi="黑体" w:eastAsia="黑体" w:cs="黑体"/>
          <w:color w:val="auto"/>
          <w:spacing w:val="0"/>
          <w:sz w:val="32"/>
          <w:szCs w:val="32"/>
          <w:lang w:eastAsia="zh-CN"/>
        </w:rPr>
        <w:t>八、</w:t>
      </w:r>
      <w:r>
        <w:rPr>
          <w:rFonts w:hint="default" w:ascii="黑体" w:hAnsi="黑体" w:eastAsia="黑体" w:cs="黑体"/>
          <w:color w:val="auto"/>
          <w:spacing w:val="0"/>
          <w:sz w:val="32"/>
          <w:szCs w:val="32"/>
          <w:lang w:eastAsia="zh-CN"/>
        </w:rPr>
        <w:t>下一步改进措施</w:t>
      </w:r>
    </w:p>
    <w:p w14:paraId="41113D2A">
      <w:pPr>
        <w:pStyle w:val="2"/>
        <w:keepNext w:val="0"/>
        <w:keepLines w:val="0"/>
        <w:pageBreakBefore w:val="0"/>
        <w:kinsoku/>
        <w:wordWrap/>
        <w:overflowPunct/>
        <w:topLinePunct w:val="0"/>
        <w:autoSpaceDE/>
        <w:autoSpaceDN/>
        <w:bidi w:val="0"/>
        <w:adjustRightInd/>
        <w:snapToGrid/>
        <w:spacing w:after="0" w:line="600" w:lineRule="exact"/>
        <w:ind w:left="0" w:leftChars="0" w:right="0" w:firstLine="640" w:firstLineChars="200"/>
        <w:jc w:val="both"/>
        <w:textAlignment w:val="auto"/>
        <w:rPr>
          <w:rFonts w:hint="default" w:ascii="Times New Roman" w:hAnsi="Times New Roman" w:eastAsia="仿宋_GB2312" w:cs="Times New Roman"/>
          <w:color w:val="auto"/>
          <w:sz w:val="32"/>
          <w:szCs w:val="32"/>
          <w:lang w:eastAsia="zh-CN"/>
        </w:rPr>
      </w:pPr>
      <w:r>
        <w:rPr>
          <w:rFonts w:hint="default" w:ascii="Times New Roman" w:hAnsi="Times New Roman" w:eastAsia="仿宋_GB2312" w:cs="Times New Roman"/>
          <w:color w:val="auto"/>
          <w:sz w:val="32"/>
          <w:szCs w:val="32"/>
          <w:lang w:eastAsia="zh-CN"/>
        </w:rPr>
        <w:t>加强财政预算资金使用效益跟踪“回头”看，及时预控、查找资金使用和管理过程中薄弱环节，提出纠偏措施，加快资金拨付进度，确保后续绩效目标的有效实现提供有力支撑</w:t>
      </w:r>
    </w:p>
    <w:p w14:paraId="3CF57385">
      <w:pPr>
        <w:keepNext w:val="0"/>
        <w:keepLines w:val="0"/>
        <w:pageBreakBefore w:val="0"/>
        <w:numPr>
          <w:ilvl w:val="0"/>
          <w:numId w:val="0"/>
        </w:numPr>
        <w:kinsoku/>
        <w:wordWrap/>
        <w:overflowPunct/>
        <w:topLinePunct w:val="0"/>
        <w:autoSpaceDE/>
        <w:autoSpaceDN/>
        <w:bidi w:val="0"/>
        <w:adjustRightInd/>
        <w:snapToGrid/>
        <w:spacing w:line="600" w:lineRule="exact"/>
        <w:ind w:right="0" w:rightChars="0" w:firstLine="640" w:firstLineChars="200"/>
        <w:jc w:val="both"/>
        <w:textAlignment w:val="auto"/>
        <w:rPr>
          <w:rFonts w:hint="default" w:ascii="黑体" w:hAnsi="黑体" w:eastAsia="黑体" w:cs="黑体"/>
          <w:color w:val="auto"/>
          <w:spacing w:val="0"/>
          <w:sz w:val="32"/>
          <w:szCs w:val="32"/>
          <w:lang w:eastAsia="zh-CN"/>
        </w:rPr>
      </w:pPr>
      <w:r>
        <w:rPr>
          <w:rFonts w:hint="default" w:ascii="黑体" w:hAnsi="黑体" w:eastAsia="黑体" w:cs="黑体"/>
          <w:color w:val="auto"/>
          <w:spacing w:val="0"/>
          <w:sz w:val="32"/>
          <w:szCs w:val="32"/>
          <w:lang w:eastAsia="zh-CN"/>
        </w:rPr>
        <w:t xml:space="preserve">九、部门整体支出绩效自评结果拟应用和公开情况 </w:t>
      </w:r>
    </w:p>
    <w:tbl>
      <w:tblPr>
        <w:tblStyle w:val="9"/>
        <w:tblW w:w="8625"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5" w:type="dxa"/>
          <w:bottom w:w="0" w:type="dxa"/>
          <w:right w:w="15" w:type="dxa"/>
        </w:tblCellMar>
      </w:tblPr>
      <w:tblGrid>
        <w:gridCol w:w="1018"/>
        <w:gridCol w:w="2163"/>
        <w:gridCol w:w="3479"/>
        <w:gridCol w:w="1965"/>
      </w:tblGrid>
      <w:tr w14:paraId="3C76061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5" w:type="dxa"/>
            <w:bottom w:w="0" w:type="dxa"/>
            <w:right w:w="15" w:type="dxa"/>
          </w:tblCellMar>
        </w:tblPrEx>
        <w:trPr>
          <w:trHeight w:val="643" w:hRule="atLeast"/>
        </w:trPr>
        <w:tc>
          <w:tcPr>
            <w:tcW w:w="8625" w:type="dxa"/>
            <w:gridSpan w:val="4"/>
            <w:noWrap/>
            <w:vAlign w:val="center"/>
          </w:tcPr>
          <w:p w14:paraId="5450257D">
            <w:pPr>
              <w:spacing w:line="320" w:lineRule="exact"/>
              <w:jc w:val="center"/>
              <w:textAlignment w:val="center"/>
              <w:rPr>
                <w:rFonts w:ascii="仿宋_GB2312" w:hAnsi="仿宋_GB2312" w:eastAsia="黑体" w:cs="仿宋_GB2312"/>
                <w:color w:val="auto"/>
                <w:sz w:val="24"/>
                <w:lang w:eastAsia="zh-CN"/>
              </w:rPr>
            </w:pPr>
            <w:r>
              <w:rPr>
                <w:rFonts w:hint="eastAsia" w:ascii="黑体" w:hAnsi="黑体" w:eastAsia="黑体" w:cs="黑体"/>
                <w:color w:val="auto"/>
                <w:sz w:val="28"/>
                <w:szCs w:val="28"/>
                <w:lang w:eastAsia="zh-CN"/>
              </w:rPr>
              <w:t>绩效评价小组人员名单</w:t>
            </w:r>
          </w:p>
        </w:tc>
      </w:tr>
      <w:tr w14:paraId="2DEFEE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5" w:type="dxa"/>
            <w:bottom w:w="0" w:type="dxa"/>
            <w:right w:w="15" w:type="dxa"/>
          </w:tblCellMar>
        </w:tblPrEx>
        <w:trPr>
          <w:trHeight w:val="585" w:hRule="atLeast"/>
        </w:trPr>
        <w:tc>
          <w:tcPr>
            <w:tcW w:w="1018" w:type="dxa"/>
            <w:noWrap/>
            <w:vAlign w:val="center"/>
          </w:tcPr>
          <w:p w14:paraId="6702B7D3">
            <w:pPr>
              <w:spacing w:line="320" w:lineRule="exact"/>
              <w:jc w:val="center"/>
              <w:textAlignment w:val="center"/>
              <w:rPr>
                <w:rFonts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rPr>
              <w:t>姓  名</w:t>
            </w:r>
          </w:p>
        </w:tc>
        <w:tc>
          <w:tcPr>
            <w:tcW w:w="2163" w:type="dxa"/>
            <w:noWrap/>
            <w:vAlign w:val="center"/>
          </w:tcPr>
          <w:p w14:paraId="7D75A88C">
            <w:pPr>
              <w:spacing w:line="320" w:lineRule="exact"/>
              <w:jc w:val="center"/>
              <w:textAlignment w:val="center"/>
              <w:rPr>
                <w:rFonts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rPr>
              <w:t>职务/职称</w:t>
            </w:r>
          </w:p>
        </w:tc>
        <w:tc>
          <w:tcPr>
            <w:tcW w:w="3479" w:type="dxa"/>
            <w:noWrap/>
            <w:vAlign w:val="center"/>
          </w:tcPr>
          <w:p w14:paraId="76A7D3AF">
            <w:pPr>
              <w:spacing w:line="320" w:lineRule="exact"/>
              <w:jc w:val="center"/>
              <w:textAlignment w:val="center"/>
              <w:rPr>
                <w:rFonts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rPr>
              <w:t>单  位</w:t>
            </w:r>
          </w:p>
        </w:tc>
        <w:tc>
          <w:tcPr>
            <w:tcW w:w="1965" w:type="dxa"/>
            <w:noWrap/>
            <w:vAlign w:val="center"/>
          </w:tcPr>
          <w:p w14:paraId="6F5A94CB">
            <w:pPr>
              <w:spacing w:line="320" w:lineRule="exact"/>
              <w:jc w:val="center"/>
              <w:textAlignment w:val="center"/>
              <w:rPr>
                <w:rFonts w:ascii="仿宋_GB2312" w:hAnsi="仿宋_GB2312" w:eastAsia="仿宋_GB2312" w:cs="仿宋_GB2312"/>
                <w:color w:val="auto"/>
                <w:sz w:val="24"/>
                <w:szCs w:val="24"/>
              </w:rPr>
            </w:pPr>
            <w:r>
              <w:rPr>
                <w:rFonts w:hint="eastAsia" w:ascii="仿宋_GB2312" w:hAnsi="仿宋_GB2312" w:eastAsia="仿宋_GB2312" w:cs="仿宋_GB2312"/>
                <w:color w:val="auto"/>
                <w:sz w:val="24"/>
                <w:szCs w:val="24"/>
              </w:rPr>
              <w:t>签  字</w:t>
            </w:r>
          </w:p>
        </w:tc>
      </w:tr>
      <w:tr w14:paraId="5FE32AD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5" w:type="dxa"/>
            <w:bottom w:w="0" w:type="dxa"/>
            <w:right w:w="15" w:type="dxa"/>
          </w:tblCellMar>
        </w:tblPrEx>
        <w:trPr>
          <w:trHeight w:val="707" w:hRule="atLeast"/>
        </w:trPr>
        <w:tc>
          <w:tcPr>
            <w:tcW w:w="1018" w:type="dxa"/>
            <w:noWrap/>
            <w:vAlign w:val="center"/>
          </w:tcPr>
          <w:p w14:paraId="587035AA">
            <w:pPr>
              <w:widowControl w:val="0"/>
              <w:kinsoku/>
              <w:autoSpaceDE/>
              <w:adjustRightInd/>
              <w:snapToGrid/>
              <w:spacing w:line="200" w:lineRule="exact"/>
              <w:jc w:val="center"/>
              <w:textAlignment w:val="center"/>
              <w:rPr>
                <w:rFonts w:ascii="仿宋_GB2312" w:hAnsi="仿宋_GB2312" w:eastAsia="仿宋_GB2312" w:cs="仿宋_GB2312"/>
                <w:color w:val="auto"/>
              </w:rPr>
            </w:pPr>
            <w:r>
              <w:rPr>
                <w:rFonts w:hint="eastAsia" w:ascii="仿宋_GB2312" w:hAnsi="仿宋_GB2312" w:eastAsia="仿宋_GB2312" w:cs="仿宋_GB2312"/>
                <w:color w:val="auto"/>
              </w:rPr>
              <w:t>廖亚辉</w:t>
            </w:r>
          </w:p>
        </w:tc>
        <w:tc>
          <w:tcPr>
            <w:tcW w:w="2163" w:type="dxa"/>
            <w:noWrap/>
            <w:vAlign w:val="center"/>
          </w:tcPr>
          <w:p w14:paraId="0072F7F2">
            <w:pPr>
              <w:widowControl w:val="0"/>
              <w:kinsoku/>
              <w:autoSpaceDE/>
              <w:adjustRightInd/>
              <w:snapToGrid/>
              <w:spacing w:line="200" w:lineRule="exact"/>
              <w:jc w:val="center"/>
              <w:textAlignment w:val="center"/>
              <w:rPr>
                <w:rFonts w:ascii="仿宋_GB2312" w:hAnsi="仿宋_GB2312" w:eastAsia="仿宋_GB2312" w:cs="仿宋_GB2312"/>
                <w:color w:val="auto"/>
              </w:rPr>
            </w:pPr>
            <w:r>
              <w:rPr>
                <w:rFonts w:hint="eastAsia" w:ascii="仿宋_GB2312" w:hAnsi="仿宋_GB2312" w:eastAsia="仿宋_GB2312" w:cs="仿宋_GB2312"/>
                <w:color w:val="auto"/>
              </w:rPr>
              <w:t>站长、书记</w:t>
            </w:r>
          </w:p>
        </w:tc>
        <w:tc>
          <w:tcPr>
            <w:tcW w:w="3479" w:type="dxa"/>
            <w:noWrap/>
            <w:vAlign w:val="center"/>
          </w:tcPr>
          <w:p w14:paraId="484F19DC">
            <w:pPr>
              <w:spacing w:line="400" w:lineRule="exact"/>
              <w:jc w:val="center"/>
              <w:textAlignment w:val="center"/>
              <w:rPr>
                <w:rFonts w:ascii="仿宋_GB2312" w:hAnsi="仿宋_GB2312" w:eastAsia="仿宋_GB2312" w:cs="仿宋_GB2312"/>
                <w:color w:val="auto"/>
                <w:lang w:eastAsia="zh-CN"/>
              </w:rPr>
            </w:pPr>
            <w:r>
              <w:rPr>
                <w:rFonts w:hint="eastAsia" w:ascii="仿宋_GB2312" w:hAnsi="仿宋_GB2312" w:eastAsia="仿宋_GB2312" w:cs="仿宋_GB2312"/>
                <w:color w:val="auto"/>
                <w:lang w:eastAsia="zh-CN"/>
              </w:rPr>
              <w:t>岳阳市建设工程质量安全监督站</w:t>
            </w:r>
          </w:p>
        </w:tc>
        <w:tc>
          <w:tcPr>
            <w:tcW w:w="1965" w:type="dxa"/>
            <w:noWrap/>
            <w:vAlign w:val="center"/>
          </w:tcPr>
          <w:p w14:paraId="1D306E72">
            <w:pPr>
              <w:spacing w:line="320" w:lineRule="exact"/>
              <w:jc w:val="center"/>
              <w:textAlignment w:val="center"/>
              <w:rPr>
                <w:rFonts w:ascii="仿宋_GB2312" w:hAnsi="仿宋_GB2312" w:eastAsia="仿宋_GB2312" w:cs="仿宋_GB2312"/>
                <w:color w:val="auto"/>
              </w:rPr>
            </w:pPr>
            <w:r>
              <w:rPr>
                <w:rFonts w:hint="eastAsia" w:ascii="仿宋_GB2312" w:hAnsi="仿宋_GB2312" w:eastAsia="仿宋_GB2312" w:cs="仿宋_GB2312"/>
                <w:color w:val="auto"/>
              </w:rPr>
              <w:t>廖亚辉</w:t>
            </w:r>
          </w:p>
        </w:tc>
      </w:tr>
      <w:tr w14:paraId="5769CBB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5" w:type="dxa"/>
            <w:bottom w:w="0" w:type="dxa"/>
            <w:right w:w="15" w:type="dxa"/>
          </w:tblCellMar>
        </w:tblPrEx>
        <w:trPr>
          <w:trHeight w:val="689" w:hRule="atLeast"/>
        </w:trPr>
        <w:tc>
          <w:tcPr>
            <w:tcW w:w="1018" w:type="dxa"/>
            <w:noWrap/>
            <w:vAlign w:val="center"/>
          </w:tcPr>
          <w:p w14:paraId="5EE7192B">
            <w:pPr>
              <w:widowControl w:val="0"/>
              <w:kinsoku/>
              <w:autoSpaceDE/>
              <w:adjustRightInd/>
              <w:snapToGrid/>
              <w:spacing w:line="200" w:lineRule="exact"/>
              <w:jc w:val="center"/>
              <w:textAlignment w:val="center"/>
              <w:rPr>
                <w:rFonts w:ascii="仿宋_GB2312" w:hAnsi="仿宋_GB2312" w:eastAsia="仿宋_GB2312" w:cs="仿宋_GB2312"/>
                <w:color w:val="auto"/>
              </w:rPr>
            </w:pPr>
            <w:r>
              <w:rPr>
                <w:rFonts w:hint="eastAsia" w:ascii="仿宋_GB2312" w:hAnsi="仿宋_GB2312" w:eastAsia="仿宋_GB2312" w:cs="仿宋_GB2312"/>
                <w:color w:val="auto"/>
              </w:rPr>
              <w:t>邓志文</w:t>
            </w:r>
          </w:p>
        </w:tc>
        <w:tc>
          <w:tcPr>
            <w:tcW w:w="2163" w:type="dxa"/>
            <w:noWrap/>
            <w:vAlign w:val="center"/>
          </w:tcPr>
          <w:p w14:paraId="264A7E92">
            <w:pPr>
              <w:widowControl w:val="0"/>
              <w:kinsoku/>
              <w:autoSpaceDE/>
              <w:adjustRightInd/>
              <w:snapToGrid/>
              <w:spacing w:line="200" w:lineRule="exact"/>
              <w:jc w:val="center"/>
              <w:textAlignment w:val="center"/>
              <w:rPr>
                <w:rFonts w:ascii="仿宋_GB2312" w:hAnsi="仿宋_GB2312" w:eastAsia="仿宋_GB2312" w:cs="仿宋_GB2312"/>
                <w:color w:val="auto"/>
              </w:rPr>
            </w:pPr>
            <w:r>
              <w:rPr>
                <w:rFonts w:hint="eastAsia" w:ascii="仿宋_GB2312" w:hAnsi="仿宋_GB2312" w:eastAsia="仿宋_GB2312" w:cs="仿宋_GB2312"/>
                <w:color w:val="auto"/>
                <w:lang w:eastAsia="zh-CN"/>
              </w:rPr>
              <w:t>专职</w:t>
            </w:r>
            <w:r>
              <w:rPr>
                <w:rFonts w:hint="eastAsia" w:ascii="仿宋_GB2312" w:hAnsi="仿宋_GB2312" w:eastAsia="仿宋_GB2312" w:cs="仿宋_GB2312"/>
                <w:color w:val="auto"/>
              </w:rPr>
              <w:t>副书记</w:t>
            </w:r>
          </w:p>
        </w:tc>
        <w:tc>
          <w:tcPr>
            <w:tcW w:w="3479" w:type="dxa"/>
            <w:noWrap/>
            <w:vAlign w:val="center"/>
          </w:tcPr>
          <w:p w14:paraId="7CD00305">
            <w:pPr>
              <w:spacing w:line="400" w:lineRule="exact"/>
              <w:jc w:val="center"/>
              <w:textAlignment w:val="center"/>
              <w:rPr>
                <w:rFonts w:ascii="仿宋_GB2312" w:hAnsi="仿宋_GB2312" w:eastAsia="仿宋_GB2312" w:cs="仿宋_GB2312"/>
                <w:color w:val="auto"/>
                <w:lang w:eastAsia="zh-CN"/>
              </w:rPr>
            </w:pPr>
            <w:r>
              <w:rPr>
                <w:rFonts w:hint="eastAsia" w:ascii="仿宋_GB2312" w:hAnsi="仿宋_GB2312" w:eastAsia="仿宋_GB2312" w:cs="仿宋_GB2312"/>
                <w:color w:val="auto"/>
                <w:lang w:eastAsia="zh-CN"/>
              </w:rPr>
              <w:t>岳阳市建设工程质量安全监督站</w:t>
            </w:r>
          </w:p>
        </w:tc>
        <w:tc>
          <w:tcPr>
            <w:tcW w:w="1965" w:type="dxa"/>
            <w:noWrap/>
            <w:vAlign w:val="center"/>
          </w:tcPr>
          <w:p w14:paraId="5C2FDC16">
            <w:pPr>
              <w:spacing w:line="320" w:lineRule="exact"/>
              <w:jc w:val="center"/>
              <w:textAlignment w:val="center"/>
              <w:rPr>
                <w:rFonts w:ascii="仿宋_GB2312" w:hAnsi="仿宋_GB2312" w:eastAsia="仿宋_GB2312" w:cs="仿宋_GB2312"/>
                <w:color w:val="auto"/>
              </w:rPr>
            </w:pPr>
            <w:r>
              <w:rPr>
                <w:rFonts w:hint="eastAsia" w:ascii="仿宋_GB2312" w:hAnsi="仿宋_GB2312" w:eastAsia="仿宋_GB2312" w:cs="仿宋_GB2312"/>
                <w:color w:val="auto"/>
              </w:rPr>
              <w:t>邓志文</w:t>
            </w:r>
          </w:p>
        </w:tc>
      </w:tr>
      <w:tr w14:paraId="5A8210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5" w:type="dxa"/>
            <w:bottom w:w="0" w:type="dxa"/>
            <w:right w:w="15" w:type="dxa"/>
          </w:tblCellMar>
        </w:tblPrEx>
        <w:trPr>
          <w:trHeight w:val="788" w:hRule="atLeast"/>
        </w:trPr>
        <w:tc>
          <w:tcPr>
            <w:tcW w:w="1018" w:type="dxa"/>
            <w:noWrap/>
            <w:vAlign w:val="center"/>
          </w:tcPr>
          <w:p w14:paraId="214DA201">
            <w:pPr>
              <w:widowControl w:val="0"/>
              <w:kinsoku/>
              <w:autoSpaceDE/>
              <w:adjustRightInd/>
              <w:snapToGrid/>
              <w:spacing w:line="200" w:lineRule="exact"/>
              <w:jc w:val="center"/>
              <w:textAlignment w:val="center"/>
              <w:rPr>
                <w:rFonts w:ascii="仿宋_GB2312" w:hAnsi="仿宋_GB2312" w:eastAsia="仿宋_GB2312" w:cs="仿宋_GB2312"/>
                <w:color w:val="auto"/>
              </w:rPr>
            </w:pPr>
            <w:r>
              <w:rPr>
                <w:rFonts w:hint="eastAsia" w:ascii="仿宋_GB2312" w:hAnsi="仿宋_GB2312" w:eastAsia="仿宋_GB2312" w:cs="仿宋_GB2312"/>
                <w:color w:val="auto"/>
              </w:rPr>
              <w:t>张强</w:t>
            </w:r>
          </w:p>
        </w:tc>
        <w:tc>
          <w:tcPr>
            <w:tcW w:w="2163" w:type="dxa"/>
            <w:noWrap/>
            <w:vAlign w:val="center"/>
          </w:tcPr>
          <w:p w14:paraId="215820D4">
            <w:pPr>
              <w:widowControl w:val="0"/>
              <w:kinsoku/>
              <w:autoSpaceDE/>
              <w:adjustRightInd/>
              <w:snapToGrid/>
              <w:spacing w:line="200" w:lineRule="exact"/>
              <w:jc w:val="center"/>
              <w:textAlignment w:val="center"/>
              <w:rPr>
                <w:rFonts w:ascii="仿宋_GB2312" w:hAnsi="仿宋_GB2312" w:eastAsia="仿宋_GB2312" w:cs="仿宋_GB2312"/>
                <w:color w:val="auto"/>
              </w:rPr>
            </w:pPr>
            <w:r>
              <w:rPr>
                <w:rFonts w:hint="eastAsia" w:ascii="仿宋_GB2312" w:hAnsi="仿宋_GB2312" w:eastAsia="仿宋_GB2312" w:cs="仿宋_GB2312"/>
                <w:color w:val="auto"/>
                <w:lang w:eastAsia="zh-CN"/>
              </w:rPr>
              <w:t>党委委员、</w:t>
            </w:r>
            <w:r>
              <w:rPr>
                <w:rFonts w:hint="eastAsia" w:ascii="仿宋_GB2312" w:hAnsi="仿宋_GB2312" w:eastAsia="仿宋_GB2312" w:cs="仿宋_GB2312"/>
                <w:color w:val="auto"/>
              </w:rPr>
              <w:t>副站长</w:t>
            </w:r>
          </w:p>
        </w:tc>
        <w:tc>
          <w:tcPr>
            <w:tcW w:w="3479" w:type="dxa"/>
            <w:noWrap/>
            <w:vAlign w:val="center"/>
          </w:tcPr>
          <w:p w14:paraId="162369B3">
            <w:pPr>
              <w:spacing w:line="400" w:lineRule="exact"/>
              <w:jc w:val="center"/>
              <w:textAlignment w:val="center"/>
              <w:rPr>
                <w:rFonts w:ascii="仿宋_GB2312" w:hAnsi="仿宋_GB2312" w:eastAsia="仿宋_GB2312" w:cs="仿宋_GB2312"/>
                <w:color w:val="auto"/>
                <w:kern w:val="2"/>
                <w:lang w:eastAsia="zh-CN"/>
              </w:rPr>
            </w:pPr>
            <w:r>
              <w:rPr>
                <w:rFonts w:hint="eastAsia" w:ascii="仿宋_GB2312" w:hAnsi="仿宋_GB2312" w:eastAsia="仿宋_GB2312" w:cs="仿宋_GB2312"/>
                <w:color w:val="auto"/>
                <w:lang w:eastAsia="zh-CN"/>
              </w:rPr>
              <w:t>岳阳市建设工程质量安全监督站</w:t>
            </w:r>
          </w:p>
        </w:tc>
        <w:tc>
          <w:tcPr>
            <w:tcW w:w="1965" w:type="dxa"/>
            <w:noWrap/>
            <w:vAlign w:val="center"/>
          </w:tcPr>
          <w:p w14:paraId="161A59F6">
            <w:pPr>
              <w:spacing w:line="320" w:lineRule="exact"/>
              <w:jc w:val="center"/>
              <w:textAlignment w:val="center"/>
              <w:rPr>
                <w:rFonts w:ascii="仿宋_GB2312" w:hAnsi="仿宋_GB2312" w:eastAsia="仿宋_GB2312" w:cs="仿宋_GB2312"/>
                <w:color w:val="auto"/>
              </w:rPr>
            </w:pPr>
            <w:r>
              <w:rPr>
                <w:rFonts w:hint="eastAsia" w:ascii="仿宋_GB2312" w:hAnsi="仿宋_GB2312" w:eastAsia="仿宋_GB2312" w:cs="仿宋_GB2312"/>
                <w:color w:val="auto"/>
              </w:rPr>
              <w:t>张强</w:t>
            </w:r>
          </w:p>
        </w:tc>
      </w:tr>
      <w:tr w14:paraId="6E6B141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5" w:type="dxa"/>
            <w:bottom w:w="0" w:type="dxa"/>
            <w:right w:w="15" w:type="dxa"/>
          </w:tblCellMar>
        </w:tblPrEx>
        <w:trPr>
          <w:trHeight w:val="573" w:hRule="atLeast"/>
        </w:trPr>
        <w:tc>
          <w:tcPr>
            <w:tcW w:w="1018" w:type="dxa"/>
            <w:noWrap/>
            <w:vAlign w:val="center"/>
          </w:tcPr>
          <w:p w14:paraId="22D8BCED">
            <w:pPr>
              <w:widowControl w:val="0"/>
              <w:kinsoku/>
              <w:autoSpaceDE/>
              <w:adjustRightInd/>
              <w:snapToGrid/>
              <w:spacing w:line="200" w:lineRule="exact"/>
              <w:jc w:val="center"/>
              <w:textAlignment w:val="center"/>
              <w:rPr>
                <w:rFonts w:ascii="仿宋_GB2312" w:hAnsi="仿宋_GB2312" w:eastAsia="仿宋_GB2312" w:cs="仿宋_GB2312"/>
                <w:color w:val="auto"/>
              </w:rPr>
            </w:pPr>
            <w:r>
              <w:rPr>
                <w:rFonts w:hint="eastAsia" w:ascii="仿宋_GB2312" w:hAnsi="仿宋_GB2312" w:eastAsia="仿宋_GB2312" w:cs="仿宋_GB2312"/>
                <w:color w:val="auto"/>
              </w:rPr>
              <w:t>米胜</w:t>
            </w:r>
          </w:p>
        </w:tc>
        <w:tc>
          <w:tcPr>
            <w:tcW w:w="2163" w:type="dxa"/>
            <w:noWrap/>
            <w:vAlign w:val="center"/>
          </w:tcPr>
          <w:p w14:paraId="3BD1F272">
            <w:pPr>
              <w:widowControl w:val="0"/>
              <w:kinsoku/>
              <w:autoSpaceDE/>
              <w:adjustRightInd/>
              <w:snapToGrid/>
              <w:spacing w:line="200" w:lineRule="exact"/>
              <w:jc w:val="center"/>
              <w:textAlignment w:val="center"/>
              <w:rPr>
                <w:rFonts w:ascii="仿宋_GB2312" w:hAnsi="仿宋_GB2312" w:eastAsia="仿宋_GB2312" w:cs="仿宋_GB2312"/>
                <w:color w:val="auto"/>
              </w:rPr>
            </w:pPr>
            <w:r>
              <w:rPr>
                <w:rFonts w:hint="eastAsia" w:ascii="仿宋_GB2312" w:hAnsi="仿宋_GB2312" w:eastAsia="仿宋_GB2312" w:cs="仿宋_GB2312"/>
                <w:color w:val="auto"/>
                <w:lang w:eastAsia="zh-CN"/>
              </w:rPr>
              <w:t>党委委员、</w:t>
            </w:r>
            <w:r>
              <w:rPr>
                <w:rFonts w:hint="eastAsia" w:ascii="仿宋_GB2312" w:hAnsi="仿宋_GB2312" w:eastAsia="仿宋_GB2312" w:cs="仿宋_GB2312"/>
                <w:color w:val="auto"/>
              </w:rPr>
              <w:t>副站长</w:t>
            </w:r>
          </w:p>
        </w:tc>
        <w:tc>
          <w:tcPr>
            <w:tcW w:w="3479" w:type="dxa"/>
            <w:noWrap/>
            <w:vAlign w:val="center"/>
          </w:tcPr>
          <w:p w14:paraId="05774D9B">
            <w:pPr>
              <w:spacing w:line="400" w:lineRule="exact"/>
              <w:jc w:val="center"/>
              <w:textAlignment w:val="center"/>
              <w:rPr>
                <w:rFonts w:ascii="仿宋_GB2312" w:hAnsi="仿宋_GB2312" w:eastAsia="仿宋_GB2312" w:cs="仿宋_GB2312"/>
                <w:color w:val="auto"/>
                <w:kern w:val="2"/>
                <w:lang w:eastAsia="zh-CN"/>
              </w:rPr>
            </w:pPr>
            <w:r>
              <w:rPr>
                <w:rFonts w:hint="eastAsia" w:ascii="仿宋_GB2312" w:hAnsi="仿宋_GB2312" w:eastAsia="仿宋_GB2312" w:cs="仿宋_GB2312"/>
                <w:color w:val="auto"/>
                <w:lang w:eastAsia="zh-CN"/>
              </w:rPr>
              <w:t>岳阳市建设工程质量安全监督站</w:t>
            </w:r>
          </w:p>
        </w:tc>
        <w:tc>
          <w:tcPr>
            <w:tcW w:w="1965" w:type="dxa"/>
            <w:noWrap/>
            <w:vAlign w:val="center"/>
          </w:tcPr>
          <w:p w14:paraId="7FD7E62B">
            <w:pPr>
              <w:spacing w:line="320" w:lineRule="exact"/>
              <w:jc w:val="center"/>
              <w:textAlignment w:val="center"/>
              <w:rPr>
                <w:rFonts w:ascii="仿宋_GB2312" w:hAnsi="仿宋_GB2312" w:eastAsia="仿宋_GB2312" w:cs="仿宋_GB2312"/>
                <w:color w:val="auto"/>
              </w:rPr>
            </w:pPr>
            <w:r>
              <w:rPr>
                <w:rFonts w:hint="eastAsia" w:ascii="仿宋_GB2312" w:hAnsi="仿宋_GB2312" w:eastAsia="仿宋_GB2312" w:cs="仿宋_GB2312"/>
                <w:color w:val="auto"/>
              </w:rPr>
              <w:t>米胜</w:t>
            </w:r>
          </w:p>
        </w:tc>
      </w:tr>
      <w:tr w14:paraId="700E90D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5" w:type="dxa"/>
            <w:bottom w:w="0" w:type="dxa"/>
            <w:right w:w="15" w:type="dxa"/>
          </w:tblCellMar>
        </w:tblPrEx>
        <w:trPr>
          <w:trHeight w:val="622" w:hRule="atLeast"/>
        </w:trPr>
        <w:tc>
          <w:tcPr>
            <w:tcW w:w="1018" w:type="dxa"/>
            <w:noWrap/>
            <w:vAlign w:val="center"/>
          </w:tcPr>
          <w:p w14:paraId="040F4B6D">
            <w:pPr>
              <w:spacing w:line="400" w:lineRule="exact"/>
              <w:jc w:val="center"/>
              <w:textAlignment w:val="center"/>
              <w:rPr>
                <w:rFonts w:ascii="仿宋_GB2312" w:hAnsi="仿宋_GB2312" w:eastAsia="仿宋_GB2312" w:cs="仿宋_GB2312"/>
                <w:color w:val="auto"/>
              </w:rPr>
            </w:pPr>
            <w:r>
              <w:rPr>
                <w:rFonts w:hint="eastAsia" w:ascii="仿宋_GB2312" w:hAnsi="仿宋_GB2312" w:eastAsia="仿宋_GB2312" w:cs="仿宋_GB2312"/>
                <w:color w:val="auto"/>
              </w:rPr>
              <w:t>陈赛</w:t>
            </w:r>
          </w:p>
        </w:tc>
        <w:tc>
          <w:tcPr>
            <w:tcW w:w="2163" w:type="dxa"/>
            <w:noWrap/>
            <w:vAlign w:val="center"/>
          </w:tcPr>
          <w:p w14:paraId="5AF9DD13">
            <w:pPr>
              <w:spacing w:line="400" w:lineRule="exact"/>
              <w:jc w:val="center"/>
              <w:textAlignment w:val="center"/>
              <w:rPr>
                <w:rFonts w:ascii="仿宋_GB2312" w:hAnsi="仿宋_GB2312" w:eastAsia="仿宋_GB2312" w:cs="仿宋_GB2312"/>
                <w:color w:val="auto"/>
              </w:rPr>
            </w:pPr>
            <w:r>
              <w:rPr>
                <w:rFonts w:hint="eastAsia" w:ascii="仿宋_GB2312" w:hAnsi="仿宋_GB2312" w:eastAsia="仿宋_GB2312" w:cs="仿宋_GB2312"/>
                <w:color w:val="auto"/>
                <w:lang w:eastAsia="zh-CN"/>
              </w:rPr>
              <w:t>党委委员、</w:t>
            </w:r>
            <w:r>
              <w:rPr>
                <w:rFonts w:hint="eastAsia" w:ascii="仿宋_GB2312" w:hAnsi="仿宋_GB2312" w:eastAsia="仿宋_GB2312" w:cs="仿宋_GB2312"/>
                <w:color w:val="auto"/>
              </w:rPr>
              <w:t>副站长</w:t>
            </w:r>
          </w:p>
        </w:tc>
        <w:tc>
          <w:tcPr>
            <w:tcW w:w="3479" w:type="dxa"/>
            <w:noWrap/>
            <w:vAlign w:val="center"/>
          </w:tcPr>
          <w:p w14:paraId="54EFC436">
            <w:pPr>
              <w:spacing w:line="400" w:lineRule="exact"/>
              <w:jc w:val="center"/>
              <w:textAlignment w:val="center"/>
              <w:rPr>
                <w:rFonts w:ascii="仿宋_GB2312" w:hAnsi="仿宋_GB2312" w:eastAsia="仿宋_GB2312" w:cs="仿宋_GB2312"/>
                <w:color w:val="auto"/>
                <w:kern w:val="2"/>
                <w:lang w:eastAsia="zh-CN"/>
              </w:rPr>
            </w:pPr>
            <w:r>
              <w:rPr>
                <w:rFonts w:hint="eastAsia" w:ascii="仿宋_GB2312" w:hAnsi="仿宋_GB2312" w:eastAsia="仿宋_GB2312" w:cs="仿宋_GB2312"/>
                <w:color w:val="auto"/>
                <w:lang w:eastAsia="zh-CN"/>
              </w:rPr>
              <w:t>岳阳市建设工程质量安全监督站</w:t>
            </w:r>
          </w:p>
        </w:tc>
        <w:tc>
          <w:tcPr>
            <w:tcW w:w="1965" w:type="dxa"/>
            <w:noWrap/>
            <w:vAlign w:val="center"/>
          </w:tcPr>
          <w:p w14:paraId="1EA73AC3">
            <w:pPr>
              <w:spacing w:line="320" w:lineRule="exact"/>
              <w:jc w:val="center"/>
              <w:textAlignment w:val="center"/>
              <w:rPr>
                <w:rFonts w:ascii="仿宋_GB2312" w:hAnsi="仿宋_GB2312" w:eastAsia="仿宋_GB2312" w:cs="仿宋_GB2312"/>
                <w:color w:val="auto"/>
              </w:rPr>
            </w:pPr>
            <w:r>
              <w:rPr>
                <w:rFonts w:hint="eastAsia" w:ascii="仿宋_GB2312" w:hAnsi="仿宋_GB2312" w:eastAsia="仿宋_GB2312" w:cs="仿宋_GB2312"/>
                <w:color w:val="auto"/>
              </w:rPr>
              <w:t>陈赛</w:t>
            </w:r>
          </w:p>
        </w:tc>
      </w:tr>
      <w:tr w14:paraId="2AE6D9C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5" w:type="dxa"/>
            <w:bottom w:w="0" w:type="dxa"/>
            <w:right w:w="15" w:type="dxa"/>
          </w:tblCellMar>
        </w:tblPrEx>
        <w:trPr>
          <w:trHeight w:val="757" w:hRule="atLeast"/>
        </w:trPr>
        <w:tc>
          <w:tcPr>
            <w:tcW w:w="1018" w:type="dxa"/>
            <w:noWrap/>
            <w:vAlign w:val="center"/>
          </w:tcPr>
          <w:p w14:paraId="73305469">
            <w:pPr>
              <w:widowControl w:val="0"/>
              <w:kinsoku/>
              <w:autoSpaceDE/>
              <w:adjustRightInd/>
              <w:snapToGrid/>
              <w:spacing w:line="200" w:lineRule="exact"/>
              <w:jc w:val="center"/>
              <w:textAlignment w:val="center"/>
              <w:rPr>
                <w:rFonts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孙君峰</w:t>
            </w:r>
          </w:p>
        </w:tc>
        <w:tc>
          <w:tcPr>
            <w:tcW w:w="2163" w:type="dxa"/>
            <w:noWrap/>
            <w:vAlign w:val="center"/>
          </w:tcPr>
          <w:p w14:paraId="21CBB417">
            <w:pPr>
              <w:widowControl w:val="0"/>
              <w:kinsoku/>
              <w:autoSpaceDE/>
              <w:adjustRightInd/>
              <w:snapToGrid/>
              <w:spacing w:line="200" w:lineRule="exact"/>
              <w:jc w:val="center"/>
              <w:textAlignment w:val="center"/>
              <w:rPr>
                <w:rFonts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lang w:eastAsia="zh-CN"/>
              </w:rPr>
              <w:t>党委党委、</w:t>
            </w:r>
            <w:r>
              <w:rPr>
                <w:rFonts w:hint="eastAsia" w:ascii="仿宋_GB2312" w:hAnsi="仿宋_GB2312" w:eastAsia="仿宋_GB2312" w:cs="仿宋_GB2312"/>
                <w:color w:val="auto"/>
                <w:sz w:val="22"/>
                <w:szCs w:val="22"/>
              </w:rPr>
              <w:t>副站长</w:t>
            </w:r>
          </w:p>
        </w:tc>
        <w:tc>
          <w:tcPr>
            <w:tcW w:w="3479" w:type="dxa"/>
            <w:noWrap/>
            <w:vAlign w:val="center"/>
          </w:tcPr>
          <w:p w14:paraId="2F179E17">
            <w:pPr>
              <w:spacing w:line="400" w:lineRule="exact"/>
              <w:jc w:val="center"/>
              <w:textAlignment w:val="center"/>
              <w:rPr>
                <w:rFonts w:ascii="仿宋_GB2312" w:hAnsi="仿宋_GB2312" w:eastAsia="仿宋_GB2312" w:cs="仿宋_GB2312"/>
                <w:color w:val="auto"/>
                <w:sz w:val="22"/>
                <w:szCs w:val="22"/>
                <w:lang w:eastAsia="zh-CN"/>
              </w:rPr>
            </w:pPr>
            <w:r>
              <w:rPr>
                <w:rFonts w:hint="eastAsia" w:ascii="仿宋_GB2312" w:hAnsi="仿宋_GB2312" w:eastAsia="仿宋_GB2312" w:cs="仿宋_GB2312"/>
                <w:color w:val="auto"/>
                <w:lang w:eastAsia="zh-CN"/>
              </w:rPr>
              <w:t>岳阳市建设工程质量安全监督站</w:t>
            </w:r>
          </w:p>
        </w:tc>
        <w:tc>
          <w:tcPr>
            <w:tcW w:w="1965" w:type="dxa"/>
            <w:noWrap/>
            <w:vAlign w:val="center"/>
          </w:tcPr>
          <w:p w14:paraId="704A136D">
            <w:pPr>
              <w:spacing w:line="320" w:lineRule="exact"/>
              <w:jc w:val="center"/>
              <w:textAlignment w:val="center"/>
              <w:rPr>
                <w:rFonts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孙君峰</w:t>
            </w:r>
          </w:p>
        </w:tc>
      </w:tr>
      <w:tr w14:paraId="1E782DA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5" w:type="dxa"/>
            <w:bottom w:w="0" w:type="dxa"/>
            <w:right w:w="15" w:type="dxa"/>
          </w:tblCellMar>
        </w:tblPrEx>
        <w:trPr>
          <w:trHeight w:val="615" w:hRule="atLeast"/>
        </w:trPr>
        <w:tc>
          <w:tcPr>
            <w:tcW w:w="1018" w:type="dxa"/>
            <w:noWrap/>
            <w:vAlign w:val="center"/>
          </w:tcPr>
          <w:p w14:paraId="1A065817">
            <w:pPr>
              <w:spacing w:line="400" w:lineRule="exact"/>
              <w:jc w:val="center"/>
              <w:textAlignment w:val="center"/>
              <w:rPr>
                <w:rFonts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胡军</w:t>
            </w:r>
          </w:p>
        </w:tc>
        <w:tc>
          <w:tcPr>
            <w:tcW w:w="2163" w:type="dxa"/>
            <w:noWrap/>
            <w:vAlign w:val="center"/>
          </w:tcPr>
          <w:p w14:paraId="1C2D1752">
            <w:pPr>
              <w:spacing w:line="400" w:lineRule="exact"/>
              <w:jc w:val="center"/>
              <w:textAlignment w:val="center"/>
              <w:rPr>
                <w:rFonts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lang w:eastAsia="zh-CN"/>
              </w:rPr>
              <w:t>党委委员、</w:t>
            </w:r>
            <w:r>
              <w:rPr>
                <w:rFonts w:hint="eastAsia" w:ascii="仿宋_GB2312" w:hAnsi="仿宋_GB2312" w:eastAsia="仿宋_GB2312" w:cs="仿宋_GB2312"/>
                <w:color w:val="auto"/>
                <w:sz w:val="22"/>
                <w:szCs w:val="22"/>
              </w:rPr>
              <w:t>副站长</w:t>
            </w:r>
          </w:p>
        </w:tc>
        <w:tc>
          <w:tcPr>
            <w:tcW w:w="3479" w:type="dxa"/>
            <w:noWrap/>
            <w:vAlign w:val="center"/>
          </w:tcPr>
          <w:p w14:paraId="54F2DA6D">
            <w:pPr>
              <w:spacing w:line="400" w:lineRule="exact"/>
              <w:jc w:val="center"/>
              <w:textAlignment w:val="center"/>
              <w:rPr>
                <w:rFonts w:ascii="仿宋_GB2312" w:hAnsi="仿宋_GB2312" w:eastAsia="仿宋_GB2312" w:cs="仿宋_GB2312"/>
                <w:color w:val="auto"/>
                <w:sz w:val="22"/>
                <w:szCs w:val="22"/>
                <w:lang w:eastAsia="zh-CN"/>
              </w:rPr>
            </w:pPr>
            <w:r>
              <w:rPr>
                <w:rFonts w:hint="eastAsia" w:ascii="仿宋_GB2312" w:hAnsi="仿宋_GB2312" w:eastAsia="仿宋_GB2312" w:cs="仿宋_GB2312"/>
                <w:color w:val="auto"/>
                <w:lang w:eastAsia="zh-CN"/>
              </w:rPr>
              <w:t>岳阳市建设工程质量安全监督站</w:t>
            </w:r>
          </w:p>
        </w:tc>
        <w:tc>
          <w:tcPr>
            <w:tcW w:w="1965" w:type="dxa"/>
            <w:noWrap/>
            <w:vAlign w:val="center"/>
          </w:tcPr>
          <w:p w14:paraId="09DE6752">
            <w:pPr>
              <w:spacing w:line="320" w:lineRule="exact"/>
              <w:jc w:val="center"/>
              <w:textAlignment w:val="center"/>
              <w:rPr>
                <w:rFonts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胡军</w:t>
            </w:r>
          </w:p>
        </w:tc>
      </w:tr>
      <w:tr w14:paraId="1C4DBD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5" w:type="dxa"/>
            <w:bottom w:w="0" w:type="dxa"/>
            <w:right w:w="15" w:type="dxa"/>
          </w:tblCellMar>
        </w:tblPrEx>
        <w:trPr>
          <w:trHeight w:val="640" w:hRule="atLeast"/>
        </w:trPr>
        <w:tc>
          <w:tcPr>
            <w:tcW w:w="1018" w:type="dxa"/>
            <w:noWrap/>
            <w:vAlign w:val="center"/>
          </w:tcPr>
          <w:p w14:paraId="5732DC87">
            <w:pPr>
              <w:spacing w:line="400" w:lineRule="exact"/>
              <w:jc w:val="center"/>
              <w:textAlignment w:val="center"/>
              <w:rPr>
                <w:rFonts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陈志军</w:t>
            </w:r>
          </w:p>
        </w:tc>
        <w:tc>
          <w:tcPr>
            <w:tcW w:w="2163" w:type="dxa"/>
            <w:noWrap/>
            <w:vAlign w:val="center"/>
          </w:tcPr>
          <w:p w14:paraId="31AA3B74">
            <w:pPr>
              <w:spacing w:line="400" w:lineRule="exact"/>
              <w:jc w:val="center"/>
              <w:textAlignment w:val="center"/>
              <w:rPr>
                <w:rFonts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财务部部长</w:t>
            </w:r>
          </w:p>
        </w:tc>
        <w:tc>
          <w:tcPr>
            <w:tcW w:w="3479" w:type="dxa"/>
            <w:noWrap/>
            <w:vAlign w:val="center"/>
          </w:tcPr>
          <w:p w14:paraId="46D55E99">
            <w:pPr>
              <w:spacing w:line="400" w:lineRule="exact"/>
              <w:jc w:val="center"/>
              <w:textAlignment w:val="center"/>
              <w:rPr>
                <w:rFonts w:ascii="仿宋_GB2312" w:hAnsi="仿宋_GB2312" w:eastAsia="仿宋_GB2312" w:cs="仿宋_GB2312"/>
                <w:color w:val="auto"/>
                <w:sz w:val="22"/>
                <w:szCs w:val="22"/>
                <w:lang w:eastAsia="zh-CN"/>
              </w:rPr>
            </w:pPr>
            <w:r>
              <w:rPr>
                <w:rFonts w:hint="eastAsia" w:ascii="仿宋_GB2312" w:hAnsi="仿宋_GB2312" w:eastAsia="仿宋_GB2312" w:cs="仿宋_GB2312"/>
                <w:color w:val="auto"/>
                <w:lang w:eastAsia="zh-CN"/>
              </w:rPr>
              <w:t>岳阳市建设工程质量安全监督站</w:t>
            </w:r>
          </w:p>
        </w:tc>
        <w:tc>
          <w:tcPr>
            <w:tcW w:w="1965" w:type="dxa"/>
            <w:noWrap/>
            <w:vAlign w:val="center"/>
          </w:tcPr>
          <w:p w14:paraId="449CFA76">
            <w:pPr>
              <w:spacing w:line="320" w:lineRule="exact"/>
              <w:jc w:val="center"/>
              <w:textAlignment w:val="center"/>
              <w:rPr>
                <w:rFonts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陈志军</w:t>
            </w:r>
          </w:p>
        </w:tc>
      </w:tr>
      <w:tr w14:paraId="302E4D5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5" w:type="dxa"/>
            <w:bottom w:w="0" w:type="dxa"/>
            <w:right w:w="15" w:type="dxa"/>
          </w:tblCellMar>
        </w:tblPrEx>
        <w:trPr>
          <w:trHeight w:val="648" w:hRule="atLeast"/>
        </w:trPr>
        <w:tc>
          <w:tcPr>
            <w:tcW w:w="1018" w:type="dxa"/>
            <w:noWrap/>
            <w:vAlign w:val="center"/>
          </w:tcPr>
          <w:p w14:paraId="4A946379">
            <w:pPr>
              <w:spacing w:line="400" w:lineRule="exact"/>
              <w:jc w:val="center"/>
              <w:textAlignment w:val="center"/>
              <w:rPr>
                <w:rFonts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王锦</w:t>
            </w:r>
          </w:p>
        </w:tc>
        <w:tc>
          <w:tcPr>
            <w:tcW w:w="2163" w:type="dxa"/>
            <w:noWrap/>
            <w:vAlign w:val="center"/>
          </w:tcPr>
          <w:p w14:paraId="61ED8643">
            <w:pPr>
              <w:spacing w:line="400" w:lineRule="exact"/>
              <w:jc w:val="center"/>
              <w:textAlignment w:val="center"/>
              <w:rPr>
                <w:rFonts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综合部部长</w:t>
            </w:r>
          </w:p>
        </w:tc>
        <w:tc>
          <w:tcPr>
            <w:tcW w:w="3479" w:type="dxa"/>
            <w:noWrap/>
            <w:vAlign w:val="center"/>
          </w:tcPr>
          <w:p w14:paraId="31E824E8">
            <w:pPr>
              <w:spacing w:line="400" w:lineRule="exact"/>
              <w:jc w:val="center"/>
              <w:textAlignment w:val="center"/>
              <w:rPr>
                <w:rFonts w:ascii="仿宋_GB2312" w:hAnsi="仿宋_GB2312" w:eastAsia="仿宋_GB2312" w:cs="仿宋_GB2312"/>
                <w:color w:val="auto"/>
                <w:sz w:val="22"/>
                <w:szCs w:val="22"/>
                <w:lang w:eastAsia="zh-CN"/>
              </w:rPr>
            </w:pPr>
            <w:r>
              <w:rPr>
                <w:rFonts w:hint="eastAsia" w:ascii="仿宋_GB2312" w:hAnsi="仿宋_GB2312" w:eastAsia="仿宋_GB2312" w:cs="仿宋_GB2312"/>
                <w:color w:val="auto"/>
                <w:lang w:eastAsia="zh-CN"/>
              </w:rPr>
              <w:t>岳阳市建设工程质量安全监督站</w:t>
            </w:r>
          </w:p>
        </w:tc>
        <w:tc>
          <w:tcPr>
            <w:tcW w:w="1965" w:type="dxa"/>
            <w:noWrap/>
            <w:vAlign w:val="center"/>
          </w:tcPr>
          <w:p w14:paraId="3307A52E">
            <w:pPr>
              <w:spacing w:line="320" w:lineRule="exact"/>
              <w:jc w:val="center"/>
              <w:textAlignment w:val="center"/>
              <w:rPr>
                <w:rFonts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t>王锦</w:t>
            </w:r>
          </w:p>
        </w:tc>
      </w:tr>
      <w:tr w14:paraId="39FE21D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5" w:type="dxa"/>
            <w:bottom w:w="0" w:type="dxa"/>
            <w:right w:w="15" w:type="dxa"/>
          </w:tblCellMar>
        </w:tblPrEx>
        <w:trPr>
          <w:trHeight w:val="985" w:hRule="atLeast"/>
        </w:trPr>
        <w:tc>
          <w:tcPr>
            <w:tcW w:w="1018" w:type="dxa"/>
            <w:noWrap/>
            <w:vAlign w:val="center"/>
          </w:tcPr>
          <w:p w14:paraId="5ABDA518">
            <w:pPr>
              <w:widowControl w:val="0"/>
              <w:kinsoku/>
              <w:autoSpaceDE/>
              <w:adjustRightInd/>
              <w:snapToGrid/>
              <w:spacing w:line="320" w:lineRule="exact"/>
              <w:jc w:val="center"/>
              <w:textAlignment w:val="center"/>
              <w:rPr>
                <w:rFonts w:ascii="仿宋_GB2312" w:hAnsi="仿宋_GB2312" w:eastAsia="仿宋_GB2312" w:cs="仿宋_GB2312"/>
                <w:color w:val="auto"/>
                <w:sz w:val="22"/>
                <w:szCs w:val="22"/>
              </w:rPr>
            </w:pPr>
          </w:p>
        </w:tc>
        <w:tc>
          <w:tcPr>
            <w:tcW w:w="2163" w:type="dxa"/>
            <w:noWrap/>
            <w:vAlign w:val="center"/>
          </w:tcPr>
          <w:p w14:paraId="088D8AB4">
            <w:pPr>
              <w:spacing w:line="400" w:lineRule="exact"/>
              <w:jc w:val="center"/>
              <w:textAlignment w:val="center"/>
              <w:rPr>
                <w:rFonts w:ascii="仿宋_GB2312" w:hAnsi="仿宋_GB2312" w:eastAsia="仿宋_GB2312" w:cs="仿宋_GB2312"/>
                <w:color w:val="auto"/>
                <w:sz w:val="22"/>
                <w:szCs w:val="22"/>
              </w:rPr>
            </w:pPr>
          </w:p>
        </w:tc>
        <w:tc>
          <w:tcPr>
            <w:tcW w:w="3479" w:type="dxa"/>
            <w:noWrap/>
            <w:vAlign w:val="center"/>
          </w:tcPr>
          <w:p w14:paraId="09FF94C4">
            <w:pPr>
              <w:spacing w:line="400" w:lineRule="exact"/>
              <w:jc w:val="center"/>
              <w:textAlignment w:val="center"/>
              <w:rPr>
                <w:rFonts w:ascii="仿宋_GB2312" w:hAnsi="仿宋_GB2312" w:eastAsia="仿宋_GB2312" w:cs="仿宋_GB2312"/>
                <w:color w:val="auto"/>
              </w:rPr>
            </w:pPr>
          </w:p>
        </w:tc>
        <w:tc>
          <w:tcPr>
            <w:tcW w:w="1965" w:type="dxa"/>
            <w:noWrap/>
            <w:vAlign w:val="center"/>
          </w:tcPr>
          <w:p w14:paraId="7ADF43E4">
            <w:pPr>
              <w:spacing w:line="320" w:lineRule="exact"/>
              <w:jc w:val="center"/>
              <w:textAlignment w:val="center"/>
              <w:rPr>
                <w:rFonts w:ascii="仿宋_GB2312" w:hAnsi="仿宋_GB2312" w:eastAsia="仿宋_GB2312" w:cs="仿宋_GB2312"/>
                <w:color w:val="auto"/>
                <w:sz w:val="22"/>
                <w:szCs w:val="22"/>
              </w:rPr>
            </w:pPr>
          </w:p>
        </w:tc>
      </w:tr>
      <w:tr w14:paraId="428E29F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5" w:type="dxa"/>
            <w:bottom w:w="0" w:type="dxa"/>
            <w:right w:w="15" w:type="dxa"/>
          </w:tblCellMar>
        </w:tblPrEx>
        <w:trPr>
          <w:trHeight w:val="1975" w:hRule="atLeast"/>
        </w:trPr>
        <w:tc>
          <w:tcPr>
            <w:tcW w:w="8625" w:type="dxa"/>
            <w:gridSpan w:val="4"/>
            <w:noWrap/>
            <w:vAlign w:val="center"/>
          </w:tcPr>
          <w:p w14:paraId="0542C204">
            <w:pPr>
              <w:spacing w:line="320" w:lineRule="exact"/>
              <w:textAlignment w:val="center"/>
              <w:rPr>
                <w:rFonts w:ascii="仿宋_GB2312" w:hAnsi="仿宋_GB2312" w:eastAsia="仿宋_GB2312" w:cs="仿宋_GB2312"/>
                <w:color w:val="auto"/>
                <w:sz w:val="24"/>
                <w:lang w:eastAsia="zh-CN"/>
              </w:rPr>
            </w:pPr>
            <w:r>
              <w:rPr>
                <w:rFonts w:hint="eastAsia" w:ascii="仿宋_GB2312" w:hAnsi="仿宋_GB2312" w:eastAsia="仿宋_GB2312" w:cs="仿宋_GB2312"/>
                <w:color w:val="auto"/>
                <w:sz w:val="24"/>
                <w:lang w:eastAsia="zh-CN"/>
              </w:rPr>
              <w:t>评价组组长（签字）：廖亚辉</w:t>
            </w:r>
          </w:p>
          <w:p w14:paraId="4973D77E">
            <w:pPr>
              <w:spacing w:line="320" w:lineRule="exact"/>
              <w:textAlignment w:val="center"/>
              <w:rPr>
                <w:rFonts w:ascii="仿宋_GB2312" w:hAnsi="仿宋_GB2312" w:eastAsia="仿宋_GB2312" w:cs="仿宋_GB2312"/>
                <w:color w:val="auto"/>
                <w:sz w:val="24"/>
                <w:lang w:eastAsia="zh-CN"/>
              </w:rPr>
            </w:pPr>
          </w:p>
          <w:p w14:paraId="2F0E57D9">
            <w:pPr>
              <w:spacing w:line="320" w:lineRule="exact"/>
              <w:textAlignment w:val="center"/>
              <w:rPr>
                <w:rFonts w:ascii="仿宋_GB2312" w:hAnsi="仿宋_GB2312" w:eastAsia="仿宋_GB2312" w:cs="仿宋_GB2312"/>
                <w:color w:val="auto"/>
                <w:sz w:val="24"/>
                <w:lang w:eastAsia="zh-CN"/>
              </w:rPr>
            </w:pPr>
          </w:p>
          <w:p w14:paraId="549F00CC">
            <w:pPr>
              <w:spacing w:line="320" w:lineRule="exact"/>
              <w:textAlignment w:val="center"/>
              <w:rPr>
                <w:rFonts w:ascii="仿宋_GB2312" w:hAnsi="仿宋_GB2312" w:eastAsia="仿宋_GB2312" w:cs="仿宋_GB2312"/>
                <w:color w:val="auto"/>
                <w:sz w:val="24"/>
                <w:lang w:eastAsia="zh-CN"/>
              </w:rPr>
            </w:pPr>
          </w:p>
          <w:p w14:paraId="2A66294C">
            <w:pPr>
              <w:spacing w:line="320" w:lineRule="exact"/>
              <w:textAlignment w:val="center"/>
              <w:rPr>
                <w:rFonts w:ascii="仿宋_GB2312" w:hAnsi="仿宋_GB2312" w:eastAsia="仿宋_GB2312" w:cs="仿宋_GB2312"/>
                <w:color w:val="auto"/>
                <w:sz w:val="24"/>
                <w:lang w:eastAsia="zh-CN"/>
              </w:rPr>
            </w:pPr>
          </w:p>
          <w:p w14:paraId="4034D978">
            <w:pPr>
              <w:spacing w:line="320" w:lineRule="exact"/>
              <w:textAlignment w:val="center"/>
              <w:rPr>
                <w:rFonts w:ascii="仿宋_GB2312" w:hAnsi="仿宋_GB2312" w:eastAsia="仿宋_GB2312" w:cs="仿宋_GB2312"/>
                <w:color w:val="auto"/>
                <w:sz w:val="24"/>
                <w:lang w:eastAsia="zh-CN"/>
              </w:rPr>
            </w:pPr>
          </w:p>
          <w:p w14:paraId="556BE9E8">
            <w:pPr>
              <w:spacing w:line="320" w:lineRule="exact"/>
              <w:textAlignment w:val="center"/>
              <w:rPr>
                <w:rFonts w:ascii="仿宋_GB2312" w:hAnsi="仿宋_GB2312" w:eastAsia="仿宋_GB2312" w:cs="仿宋_GB2312"/>
                <w:color w:val="auto"/>
                <w:sz w:val="24"/>
              </w:rPr>
            </w:pPr>
            <w:r>
              <w:rPr>
                <w:rFonts w:hint="eastAsia" w:ascii="仿宋_GB2312" w:hAnsi="仿宋_GB2312" w:eastAsia="仿宋_GB2312" w:cs="仿宋_GB2312"/>
                <w:color w:val="auto"/>
                <w:sz w:val="24"/>
                <w:lang w:eastAsia="zh-CN"/>
              </w:rPr>
              <w:t xml:space="preserve">                                                </w:t>
            </w:r>
            <w:r>
              <w:rPr>
                <w:rFonts w:hint="eastAsia" w:ascii="仿宋_GB2312" w:hAnsi="仿宋_GB2312" w:eastAsia="仿宋_GB2312" w:cs="仿宋_GB2312"/>
                <w:color w:val="auto"/>
                <w:sz w:val="24"/>
              </w:rPr>
              <w:t>202</w:t>
            </w:r>
            <w:r>
              <w:rPr>
                <w:rFonts w:hint="eastAsia" w:ascii="仿宋_GB2312" w:hAnsi="仿宋_GB2312" w:eastAsia="仿宋_GB2312" w:cs="仿宋_GB2312"/>
                <w:color w:val="auto"/>
                <w:sz w:val="24"/>
                <w:lang w:val="en-US" w:eastAsia="zh-CN"/>
              </w:rPr>
              <w:t>5</w:t>
            </w:r>
            <w:r>
              <w:rPr>
                <w:rFonts w:hint="eastAsia" w:ascii="仿宋_GB2312" w:hAnsi="仿宋_GB2312" w:eastAsia="仿宋_GB2312" w:cs="仿宋_GB2312"/>
                <w:color w:val="auto"/>
                <w:sz w:val="24"/>
              </w:rPr>
              <w:t xml:space="preserve">  年 </w:t>
            </w:r>
            <w:r>
              <w:rPr>
                <w:rFonts w:hint="eastAsia" w:ascii="仿宋_GB2312" w:hAnsi="仿宋_GB2312" w:eastAsia="仿宋_GB2312" w:cs="仿宋_GB2312"/>
                <w:color w:val="auto"/>
                <w:sz w:val="24"/>
                <w:lang w:val="en-US" w:eastAsia="zh-CN"/>
              </w:rPr>
              <w:t>3</w:t>
            </w:r>
            <w:r>
              <w:rPr>
                <w:rFonts w:hint="eastAsia" w:ascii="仿宋_GB2312" w:hAnsi="仿宋_GB2312" w:eastAsia="仿宋_GB2312" w:cs="仿宋_GB2312"/>
                <w:color w:val="auto"/>
                <w:sz w:val="24"/>
              </w:rPr>
              <w:t xml:space="preserve">月 </w:t>
            </w:r>
            <w:r>
              <w:rPr>
                <w:rFonts w:hint="eastAsia" w:ascii="仿宋_GB2312" w:hAnsi="仿宋_GB2312" w:eastAsia="仿宋_GB2312" w:cs="仿宋_GB2312"/>
                <w:color w:val="auto"/>
                <w:sz w:val="24"/>
                <w:lang w:val="en-US" w:eastAsia="zh-CN"/>
              </w:rPr>
              <w:t>1</w:t>
            </w:r>
            <w:r>
              <w:rPr>
                <w:rFonts w:hint="eastAsia" w:ascii="仿宋_GB2312" w:hAnsi="仿宋_GB2312" w:eastAsia="仿宋_GB2312" w:cs="仿宋_GB2312"/>
                <w:color w:val="auto"/>
                <w:sz w:val="24"/>
              </w:rPr>
              <w:t>3 日</w:t>
            </w:r>
          </w:p>
        </w:tc>
      </w:tr>
    </w:tbl>
    <w:p w14:paraId="052A0B08">
      <w:pPr>
        <w:rPr>
          <w:rFonts w:ascii="黑体" w:hAnsi="黑体" w:eastAsia="黑体" w:cs="黑体"/>
          <w:b/>
          <w:bCs/>
          <w:color w:val="auto"/>
          <w:spacing w:val="-2"/>
          <w:sz w:val="31"/>
          <w:szCs w:val="31"/>
        </w:rPr>
      </w:pPr>
      <w:r>
        <w:rPr>
          <w:rFonts w:ascii="黑体" w:hAnsi="黑体" w:eastAsia="黑体" w:cs="黑体"/>
          <w:b/>
          <w:bCs/>
          <w:color w:val="auto"/>
          <w:spacing w:val="-2"/>
          <w:sz w:val="31"/>
          <w:szCs w:val="31"/>
        </w:rPr>
        <w:br w:type="page"/>
      </w:r>
    </w:p>
    <w:p w14:paraId="29F95E77">
      <w:pPr>
        <w:spacing w:before="255" w:line="367" w:lineRule="auto"/>
        <w:ind w:right="1044"/>
        <w:rPr>
          <w:rFonts w:ascii="黑体" w:hAnsi="黑体" w:eastAsia="黑体" w:cs="黑体"/>
          <w:b/>
          <w:bCs/>
          <w:color w:val="auto"/>
          <w:spacing w:val="-2"/>
          <w:sz w:val="31"/>
          <w:szCs w:val="31"/>
        </w:rPr>
      </w:pPr>
      <w:r>
        <w:rPr>
          <w:rFonts w:ascii="黑体" w:hAnsi="黑体" w:eastAsia="黑体" w:cs="黑体"/>
          <w:b/>
          <w:bCs/>
          <w:color w:val="auto"/>
          <w:spacing w:val="-2"/>
          <w:sz w:val="31"/>
          <w:szCs w:val="31"/>
        </w:rPr>
        <w:t>其他需要说明的情况</w:t>
      </w:r>
    </w:p>
    <w:p w14:paraId="3BB0091E">
      <w:pPr>
        <w:pStyle w:val="4"/>
        <w:keepNext w:val="0"/>
        <w:keepLines w:val="0"/>
        <w:pageBreakBefore w:val="0"/>
        <w:widowControl w:val="0"/>
        <w:kinsoku/>
        <w:wordWrap/>
        <w:overflowPunct/>
        <w:topLinePunct w:val="0"/>
        <w:autoSpaceDE/>
        <w:autoSpaceDN/>
        <w:bidi w:val="0"/>
        <w:adjustRightInd/>
        <w:snapToGrid/>
        <w:spacing w:line="560" w:lineRule="exact"/>
        <w:textAlignment w:val="auto"/>
        <w:rPr>
          <w:color w:val="auto"/>
          <w:spacing w:val="-5"/>
        </w:rPr>
      </w:pPr>
    </w:p>
    <w:p w14:paraId="1CFD269A">
      <w:pPr>
        <w:pStyle w:val="4"/>
        <w:keepNext w:val="0"/>
        <w:keepLines w:val="0"/>
        <w:pageBreakBefore w:val="0"/>
        <w:widowControl w:val="0"/>
        <w:kinsoku/>
        <w:wordWrap/>
        <w:overflowPunct/>
        <w:topLinePunct w:val="0"/>
        <w:autoSpaceDE/>
        <w:autoSpaceDN/>
        <w:bidi w:val="0"/>
        <w:adjustRightInd/>
        <w:snapToGrid/>
        <w:spacing w:line="560" w:lineRule="exact"/>
        <w:textAlignment w:val="auto"/>
        <w:rPr>
          <w:color w:val="auto"/>
        </w:rPr>
      </w:pPr>
      <w:r>
        <w:rPr>
          <w:color w:val="auto"/>
          <w:spacing w:val="-5"/>
        </w:rPr>
        <w:t>报告需要以下附件：</w:t>
      </w:r>
    </w:p>
    <w:p w14:paraId="54F16AB4">
      <w:pPr>
        <w:pStyle w:val="4"/>
        <w:keepNext w:val="0"/>
        <w:keepLines w:val="0"/>
        <w:pageBreakBefore w:val="0"/>
        <w:widowControl w:val="0"/>
        <w:numPr>
          <w:ilvl w:val="0"/>
          <w:numId w:val="0"/>
        </w:numPr>
        <w:kinsoku/>
        <w:wordWrap/>
        <w:overflowPunct/>
        <w:topLinePunct w:val="0"/>
        <w:autoSpaceDE/>
        <w:autoSpaceDN/>
        <w:bidi w:val="0"/>
        <w:adjustRightInd/>
        <w:snapToGrid/>
        <w:spacing w:line="560" w:lineRule="exact"/>
        <w:ind w:right="12" w:rightChars="0" w:firstLine="632" w:firstLineChars="200"/>
        <w:textAlignment w:val="auto"/>
        <w:rPr>
          <w:color w:val="auto"/>
          <w:spacing w:val="13"/>
          <w:lang w:eastAsia="zh-CN"/>
        </w:rPr>
      </w:pPr>
      <w:r>
        <w:rPr>
          <w:rFonts w:hint="eastAsia"/>
          <w:color w:val="auto"/>
          <w:spacing w:val="3"/>
          <w:lang w:val="en-US" w:eastAsia="zh-CN"/>
        </w:rPr>
        <w:t>1.</w:t>
      </w:r>
      <w:r>
        <w:rPr>
          <w:color w:val="auto"/>
          <w:spacing w:val="3"/>
          <w:lang w:eastAsia="zh-CN"/>
        </w:rPr>
        <w:t>部门整体支出绩效评价基础数据表</w:t>
      </w:r>
      <w:r>
        <w:rPr>
          <w:color w:val="auto"/>
          <w:spacing w:val="13"/>
          <w:lang w:eastAsia="zh-CN"/>
        </w:rPr>
        <w:t xml:space="preserve"> </w:t>
      </w:r>
    </w:p>
    <w:p w14:paraId="52A5D48D">
      <w:pPr>
        <w:pStyle w:val="4"/>
        <w:keepNext w:val="0"/>
        <w:keepLines w:val="0"/>
        <w:pageBreakBefore w:val="0"/>
        <w:widowControl w:val="0"/>
        <w:numPr>
          <w:ilvl w:val="0"/>
          <w:numId w:val="0"/>
        </w:numPr>
        <w:kinsoku/>
        <w:wordWrap/>
        <w:overflowPunct/>
        <w:topLinePunct w:val="0"/>
        <w:autoSpaceDE/>
        <w:autoSpaceDN/>
        <w:bidi w:val="0"/>
        <w:adjustRightInd/>
        <w:snapToGrid/>
        <w:spacing w:line="560" w:lineRule="exact"/>
        <w:ind w:right="12" w:rightChars="0" w:firstLine="636" w:firstLineChars="200"/>
        <w:textAlignment w:val="auto"/>
        <w:rPr>
          <w:color w:val="auto"/>
          <w:lang w:eastAsia="zh-CN"/>
        </w:rPr>
      </w:pPr>
      <w:r>
        <w:rPr>
          <w:rFonts w:ascii="宋体" w:hAnsi="宋体" w:eastAsia="宋体" w:cs="宋体"/>
          <w:color w:val="auto"/>
          <w:spacing w:val="4"/>
          <w:lang w:eastAsia="zh-CN"/>
        </w:rPr>
        <w:t>2.</w:t>
      </w:r>
      <w:r>
        <w:rPr>
          <w:color w:val="auto"/>
          <w:spacing w:val="4"/>
          <w:lang w:eastAsia="zh-CN"/>
        </w:rPr>
        <w:t>部门整体支出绩效自评表</w:t>
      </w:r>
    </w:p>
    <w:p w14:paraId="5D141B4A">
      <w:pPr>
        <w:pStyle w:val="4"/>
        <w:keepNext w:val="0"/>
        <w:keepLines w:val="0"/>
        <w:pageBreakBefore w:val="0"/>
        <w:widowControl w:val="0"/>
        <w:kinsoku/>
        <w:wordWrap/>
        <w:overflowPunct/>
        <w:topLinePunct w:val="0"/>
        <w:autoSpaceDE/>
        <w:autoSpaceDN/>
        <w:bidi w:val="0"/>
        <w:adjustRightInd/>
        <w:snapToGrid/>
        <w:spacing w:line="560" w:lineRule="exact"/>
        <w:ind w:left="639"/>
        <w:textAlignment w:val="auto"/>
        <w:rPr>
          <w:color w:val="auto"/>
          <w:lang w:eastAsia="zh-CN"/>
        </w:rPr>
      </w:pPr>
      <w:r>
        <w:rPr>
          <w:rFonts w:ascii="宋体" w:hAnsi="宋体" w:eastAsia="宋体" w:cs="宋体"/>
          <w:color w:val="auto"/>
          <w:spacing w:val="15"/>
          <w:lang w:eastAsia="zh-CN"/>
        </w:rPr>
        <w:t>3.</w:t>
      </w:r>
      <w:r>
        <w:rPr>
          <w:color w:val="auto"/>
          <w:spacing w:val="15"/>
          <w:lang w:eastAsia="zh-CN"/>
        </w:rPr>
        <w:t>项目支出绩效自评表(一个一级项目支出一张表)</w:t>
      </w:r>
    </w:p>
    <w:p w14:paraId="19CDEF5C">
      <w:pPr>
        <w:pStyle w:val="4"/>
        <w:keepNext w:val="0"/>
        <w:keepLines w:val="0"/>
        <w:pageBreakBefore w:val="0"/>
        <w:widowControl w:val="0"/>
        <w:kinsoku/>
        <w:wordWrap/>
        <w:overflowPunct/>
        <w:topLinePunct w:val="0"/>
        <w:autoSpaceDE/>
        <w:autoSpaceDN/>
        <w:bidi w:val="0"/>
        <w:adjustRightInd/>
        <w:snapToGrid/>
        <w:spacing w:line="560" w:lineRule="exact"/>
        <w:ind w:left="639"/>
        <w:textAlignment w:val="auto"/>
        <w:rPr>
          <w:color w:val="auto"/>
          <w:lang w:eastAsia="zh-CN"/>
        </w:rPr>
      </w:pPr>
      <w:r>
        <w:rPr>
          <w:rFonts w:ascii="宋体" w:hAnsi="宋体" w:eastAsia="宋体" w:cs="宋体"/>
          <w:color w:val="auto"/>
          <w:spacing w:val="3"/>
          <w:lang w:eastAsia="zh-CN"/>
        </w:rPr>
        <w:t>4.</w:t>
      </w:r>
      <w:r>
        <w:rPr>
          <w:color w:val="auto"/>
          <w:spacing w:val="3"/>
          <w:lang w:eastAsia="zh-CN"/>
        </w:rPr>
        <w:t>政府性基金预算支出情况表</w:t>
      </w:r>
    </w:p>
    <w:p w14:paraId="77BD687C">
      <w:pPr>
        <w:pStyle w:val="4"/>
        <w:keepNext w:val="0"/>
        <w:keepLines w:val="0"/>
        <w:pageBreakBefore w:val="0"/>
        <w:widowControl w:val="0"/>
        <w:kinsoku/>
        <w:wordWrap/>
        <w:overflowPunct/>
        <w:topLinePunct w:val="0"/>
        <w:autoSpaceDE/>
        <w:autoSpaceDN/>
        <w:bidi w:val="0"/>
        <w:adjustRightInd/>
        <w:snapToGrid/>
        <w:spacing w:line="560" w:lineRule="exact"/>
        <w:ind w:left="639" w:right="12" w:rightChars="0"/>
        <w:textAlignment w:val="auto"/>
        <w:rPr>
          <w:color w:val="auto"/>
          <w:lang w:eastAsia="zh-CN"/>
        </w:rPr>
      </w:pPr>
      <w:r>
        <w:rPr>
          <w:rFonts w:ascii="宋体" w:hAnsi="宋体" w:eastAsia="宋体" w:cs="宋体"/>
          <w:color w:val="auto"/>
          <w:spacing w:val="3"/>
          <w:lang w:eastAsia="zh-CN"/>
        </w:rPr>
        <w:t>5.</w:t>
      </w:r>
      <w:r>
        <w:rPr>
          <w:color w:val="auto"/>
          <w:spacing w:val="3"/>
          <w:lang w:eastAsia="zh-CN"/>
        </w:rPr>
        <w:t>国有资本经营预算支出情况表</w:t>
      </w:r>
      <w:r>
        <w:rPr>
          <w:color w:val="auto"/>
          <w:lang w:eastAsia="zh-CN"/>
        </w:rPr>
        <w:t xml:space="preserve"> </w:t>
      </w:r>
    </w:p>
    <w:p w14:paraId="1EBE0471">
      <w:pPr>
        <w:pStyle w:val="4"/>
        <w:keepNext w:val="0"/>
        <w:keepLines w:val="0"/>
        <w:pageBreakBefore w:val="0"/>
        <w:widowControl w:val="0"/>
        <w:kinsoku/>
        <w:wordWrap/>
        <w:overflowPunct/>
        <w:topLinePunct w:val="0"/>
        <w:autoSpaceDE/>
        <w:autoSpaceDN/>
        <w:bidi w:val="0"/>
        <w:adjustRightInd/>
        <w:snapToGrid/>
        <w:spacing w:line="560" w:lineRule="exact"/>
        <w:ind w:left="639" w:right="12" w:rightChars="0"/>
        <w:textAlignment w:val="auto"/>
        <w:rPr>
          <w:color w:val="auto"/>
          <w:lang w:eastAsia="zh-CN"/>
        </w:rPr>
      </w:pPr>
      <w:r>
        <w:rPr>
          <w:rFonts w:ascii="宋体" w:hAnsi="宋体" w:eastAsia="宋体" w:cs="宋体"/>
          <w:color w:val="auto"/>
          <w:spacing w:val="5"/>
          <w:lang w:eastAsia="zh-CN"/>
        </w:rPr>
        <w:t>6.</w:t>
      </w:r>
      <w:r>
        <w:rPr>
          <w:color w:val="auto"/>
          <w:spacing w:val="5"/>
          <w:lang w:eastAsia="zh-CN"/>
        </w:rPr>
        <w:t>社会保险基金预算支出情况表</w:t>
      </w:r>
    </w:p>
    <w:p w14:paraId="7049D4B0">
      <w:pPr>
        <w:keepNext w:val="0"/>
        <w:keepLines w:val="0"/>
        <w:pageBreakBefore w:val="0"/>
        <w:widowControl w:val="0"/>
        <w:kinsoku/>
        <w:wordWrap/>
        <w:overflowPunct/>
        <w:topLinePunct w:val="0"/>
        <w:autoSpaceDE/>
        <w:autoSpaceDN/>
        <w:bidi w:val="0"/>
        <w:adjustRightInd/>
        <w:snapToGrid/>
        <w:spacing w:line="560" w:lineRule="exact"/>
        <w:textAlignment w:val="auto"/>
        <w:rPr>
          <w:color w:val="auto"/>
          <w:lang w:eastAsia="zh-CN"/>
        </w:rPr>
        <w:sectPr>
          <w:pgSz w:w="11840" w:h="16700"/>
          <w:pgMar w:top="1419" w:right="1578" w:bottom="1143" w:left="1630" w:header="0" w:footer="884" w:gutter="0"/>
          <w:cols w:space="720" w:num="1"/>
        </w:sectPr>
      </w:pPr>
    </w:p>
    <w:p w14:paraId="58EAC740">
      <w:pPr>
        <w:spacing w:before="233" w:line="224" w:lineRule="auto"/>
        <w:ind w:left="459"/>
        <w:rPr>
          <w:rFonts w:ascii="黑体" w:hAnsi="黑体" w:eastAsia="黑体" w:cs="黑体"/>
          <w:color w:val="auto"/>
          <w:sz w:val="31"/>
          <w:szCs w:val="31"/>
        </w:rPr>
      </w:pPr>
      <w:r>
        <w:rPr>
          <w:rFonts w:ascii="黑体" w:hAnsi="黑体" w:eastAsia="黑体" w:cs="黑体"/>
          <w:b/>
          <w:bCs/>
          <w:color w:val="auto"/>
          <w:spacing w:val="23"/>
          <w:sz w:val="31"/>
          <w:szCs w:val="31"/>
        </w:rPr>
        <w:t>附件1</w:t>
      </w:r>
    </w:p>
    <w:p w14:paraId="6EA42390">
      <w:pPr>
        <w:spacing w:line="339" w:lineRule="auto"/>
        <w:rPr>
          <w:color w:val="auto"/>
        </w:rPr>
      </w:pPr>
    </w:p>
    <w:p w14:paraId="11F3A878">
      <w:pPr>
        <w:spacing w:before="114" w:line="218" w:lineRule="auto"/>
        <w:ind w:firstLine="1405" w:firstLineChars="400"/>
        <w:rPr>
          <w:rFonts w:ascii="宋体" w:hAnsi="宋体" w:eastAsia="宋体" w:cs="宋体"/>
          <w:color w:val="auto"/>
          <w:sz w:val="35"/>
          <w:szCs w:val="35"/>
          <w:lang w:eastAsia="zh-CN"/>
        </w:rPr>
      </w:pPr>
      <w:r>
        <w:rPr>
          <w:rFonts w:ascii="宋体" w:hAnsi="宋体" w:eastAsia="宋体" w:cs="宋体"/>
          <w:b/>
          <w:bCs/>
          <w:color w:val="auto"/>
          <w:sz w:val="35"/>
          <w:szCs w:val="35"/>
          <w:lang w:eastAsia="zh-CN"/>
        </w:rPr>
        <w:t>2024年度部门整体支出绩效评价基础数据表</w:t>
      </w:r>
    </w:p>
    <w:p w14:paraId="08D13DA6">
      <w:pPr>
        <w:spacing w:line="165" w:lineRule="exact"/>
        <w:rPr>
          <w:color w:val="auto"/>
          <w:lang w:eastAsia="zh-CN"/>
        </w:rPr>
      </w:pPr>
    </w:p>
    <w:tbl>
      <w:tblPr>
        <w:tblStyle w:val="9"/>
        <w:tblW w:w="9429"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3271"/>
        <w:gridCol w:w="1158"/>
        <w:gridCol w:w="839"/>
        <w:gridCol w:w="1099"/>
        <w:gridCol w:w="1069"/>
        <w:gridCol w:w="1049"/>
        <w:gridCol w:w="944"/>
      </w:tblGrid>
      <w:tr w14:paraId="484656D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4" w:hRule="atLeast"/>
          <w:jc w:val="center"/>
        </w:trPr>
        <w:tc>
          <w:tcPr>
            <w:tcW w:w="3271" w:type="dxa"/>
            <w:vMerge w:val="restart"/>
            <w:tcBorders>
              <w:bottom w:val="nil"/>
            </w:tcBorders>
            <w:noWrap w:val="0"/>
            <w:vAlign w:val="center"/>
          </w:tcPr>
          <w:p w14:paraId="5ECBC09F">
            <w:pPr>
              <w:pStyle w:val="19"/>
              <w:spacing w:line="255" w:lineRule="auto"/>
              <w:jc w:val="center"/>
              <w:rPr>
                <w:color w:val="auto"/>
                <w:lang w:eastAsia="zh-CN"/>
              </w:rPr>
            </w:pPr>
          </w:p>
          <w:p w14:paraId="2C03AC58">
            <w:pPr>
              <w:spacing w:before="65" w:line="219" w:lineRule="auto"/>
              <w:ind w:left="624"/>
              <w:jc w:val="center"/>
              <w:rPr>
                <w:rFonts w:ascii="宋体" w:hAnsi="宋体" w:eastAsia="宋体" w:cs="宋体"/>
                <w:color w:val="auto"/>
                <w:sz w:val="20"/>
                <w:szCs w:val="20"/>
              </w:rPr>
            </w:pPr>
            <w:r>
              <w:rPr>
                <w:rFonts w:ascii="宋体" w:hAnsi="宋体" w:eastAsia="宋体" w:cs="宋体"/>
                <w:color w:val="auto"/>
                <w:spacing w:val="3"/>
                <w:sz w:val="20"/>
                <w:szCs w:val="20"/>
              </w:rPr>
              <w:t>财政供养人员情况(人)</w:t>
            </w:r>
          </w:p>
        </w:tc>
        <w:tc>
          <w:tcPr>
            <w:tcW w:w="1997" w:type="dxa"/>
            <w:gridSpan w:val="2"/>
            <w:noWrap w:val="0"/>
            <w:vAlign w:val="center"/>
          </w:tcPr>
          <w:p w14:paraId="1FD721AF">
            <w:pPr>
              <w:spacing w:before="123" w:line="204" w:lineRule="auto"/>
              <w:ind w:left="693"/>
              <w:jc w:val="center"/>
              <w:rPr>
                <w:rFonts w:ascii="宋体" w:hAnsi="宋体" w:eastAsia="宋体" w:cs="宋体"/>
                <w:color w:val="auto"/>
                <w:sz w:val="20"/>
                <w:szCs w:val="20"/>
              </w:rPr>
            </w:pPr>
            <w:r>
              <w:rPr>
                <w:rFonts w:ascii="宋体" w:hAnsi="宋体" w:eastAsia="宋体" w:cs="宋体"/>
                <w:color w:val="auto"/>
                <w:spacing w:val="-3"/>
                <w:sz w:val="20"/>
                <w:szCs w:val="20"/>
              </w:rPr>
              <w:t>编制数</w:t>
            </w:r>
          </w:p>
        </w:tc>
        <w:tc>
          <w:tcPr>
            <w:tcW w:w="2168" w:type="dxa"/>
            <w:gridSpan w:val="2"/>
            <w:noWrap w:val="0"/>
            <w:vAlign w:val="center"/>
          </w:tcPr>
          <w:p w14:paraId="71C9FDD7">
            <w:pPr>
              <w:spacing w:before="123" w:line="204" w:lineRule="auto"/>
              <w:ind w:left="177"/>
              <w:jc w:val="center"/>
              <w:rPr>
                <w:rFonts w:ascii="宋体" w:hAnsi="宋体" w:eastAsia="宋体" w:cs="宋体"/>
                <w:color w:val="auto"/>
                <w:sz w:val="20"/>
                <w:szCs w:val="20"/>
              </w:rPr>
            </w:pPr>
            <w:r>
              <w:rPr>
                <w:rFonts w:ascii="宋体" w:hAnsi="宋体" w:eastAsia="宋体" w:cs="宋体"/>
                <w:color w:val="auto"/>
                <w:spacing w:val="-1"/>
                <w:sz w:val="20"/>
                <w:szCs w:val="20"/>
              </w:rPr>
              <w:t>2024年实际在职人数</w:t>
            </w:r>
          </w:p>
        </w:tc>
        <w:tc>
          <w:tcPr>
            <w:tcW w:w="1993" w:type="dxa"/>
            <w:gridSpan w:val="2"/>
            <w:noWrap w:val="0"/>
            <w:vAlign w:val="center"/>
          </w:tcPr>
          <w:p w14:paraId="1FAED497">
            <w:pPr>
              <w:spacing w:before="83" w:line="219" w:lineRule="auto"/>
              <w:ind w:left="688"/>
              <w:jc w:val="center"/>
              <w:rPr>
                <w:rFonts w:ascii="宋体" w:hAnsi="宋体" w:eastAsia="宋体" w:cs="宋体"/>
                <w:color w:val="auto"/>
                <w:sz w:val="20"/>
                <w:szCs w:val="20"/>
              </w:rPr>
            </w:pPr>
            <w:r>
              <w:rPr>
                <w:rFonts w:ascii="宋体" w:hAnsi="宋体" w:eastAsia="宋体" w:cs="宋体"/>
                <w:color w:val="auto"/>
                <w:spacing w:val="-2"/>
                <w:sz w:val="20"/>
                <w:szCs w:val="20"/>
              </w:rPr>
              <w:t>控制率</w:t>
            </w:r>
          </w:p>
        </w:tc>
      </w:tr>
      <w:tr w14:paraId="173709F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9" w:hRule="atLeast"/>
          <w:jc w:val="center"/>
        </w:trPr>
        <w:tc>
          <w:tcPr>
            <w:tcW w:w="3271" w:type="dxa"/>
            <w:vMerge w:val="continue"/>
            <w:tcBorders>
              <w:top w:val="nil"/>
            </w:tcBorders>
            <w:noWrap w:val="0"/>
            <w:vAlign w:val="center"/>
          </w:tcPr>
          <w:p w14:paraId="54DDEA6E">
            <w:pPr>
              <w:pStyle w:val="19"/>
              <w:jc w:val="center"/>
              <w:rPr>
                <w:color w:val="auto"/>
              </w:rPr>
            </w:pPr>
          </w:p>
        </w:tc>
        <w:tc>
          <w:tcPr>
            <w:tcW w:w="1997" w:type="dxa"/>
            <w:gridSpan w:val="2"/>
            <w:noWrap w:val="0"/>
            <w:vAlign w:val="center"/>
          </w:tcPr>
          <w:p w14:paraId="56A6C535">
            <w:pPr>
              <w:pStyle w:val="19"/>
              <w:jc w:val="center"/>
              <w:rPr>
                <w:rFonts w:eastAsia="宋体"/>
                <w:color w:val="auto"/>
                <w:lang w:eastAsia="zh-CN"/>
              </w:rPr>
            </w:pPr>
            <w:r>
              <w:rPr>
                <w:rFonts w:hint="eastAsia" w:eastAsia="宋体"/>
                <w:color w:val="auto"/>
                <w:lang w:eastAsia="zh-CN"/>
              </w:rPr>
              <w:t>110</w:t>
            </w:r>
          </w:p>
        </w:tc>
        <w:tc>
          <w:tcPr>
            <w:tcW w:w="2168" w:type="dxa"/>
            <w:gridSpan w:val="2"/>
            <w:noWrap w:val="0"/>
            <w:vAlign w:val="center"/>
          </w:tcPr>
          <w:p w14:paraId="592921C4">
            <w:pPr>
              <w:pStyle w:val="19"/>
              <w:jc w:val="center"/>
              <w:rPr>
                <w:rFonts w:eastAsia="宋体"/>
                <w:color w:val="auto"/>
                <w:lang w:eastAsia="zh-CN"/>
              </w:rPr>
            </w:pPr>
            <w:r>
              <w:rPr>
                <w:rFonts w:hint="eastAsia" w:eastAsia="宋体"/>
                <w:color w:val="auto"/>
                <w:lang w:eastAsia="zh-CN"/>
              </w:rPr>
              <w:t>105</w:t>
            </w:r>
          </w:p>
        </w:tc>
        <w:tc>
          <w:tcPr>
            <w:tcW w:w="1993" w:type="dxa"/>
            <w:gridSpan w:val="2"/>
            <w:noWrap w:val="0"/>
            <w:vAlign w:val="center"/>
          </w:tcPr>
          <w:p w14:paraId="5CEE71C5">
            <w:pPr>
              <w:pStyle w:val="19"/>
              <w:jc w:val="center"/>
              <w:rPr>
                <w:rFonts w:eastAsia="宋体"/>
                <w:color w:val="auto"/>
                <w:lang w:eastAsia="zh-CN"/>
              </w:rPr>
            </w:pPr>
            <w:r>
              <w:rPr>
                <w:rFonts w:hint="eastAsia" w:eastAsia="宋体"/>
                <w:color w:val="auto"/>
                <w:lang w:eastAsia="zh-CN"/>
              </w:rPr>
              <w:t>95.45%</w:t>
            </w:r>
          </w:p>
        </w:tc>
      </w:tr>
      <w:tr w14:paraId="0E65498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0" w:hRule="atLeast"/>
          <w:jc w:val="center"/>
        </w:trPr>
        <w:tc>
          <w:tcPr>
            <w:tcW w:w="3271" w:type="dxa"/>
            <w:noWrap w:val="0"/>
            <w:vAlign w:val="center"/>
          </w:tcPr>
          <w:p w14:paraId="214C77A3">
            <w:pPr>
              <w:spacing w:before="131" w:line="202" w:lineRule="auto"/>
              <w:ind w:left="724"/>
              <w:jc w:val="center"/>
              <w:rPr>
                <w:rFonts w:ascii="宋体" w:hAnsi="宋体" w:eastAsia="宋体" w:cs="宋体"/>
                <w:color w:val="auto"/>
                <w:sz w:val="20"/>
                <w:szCs w:val="20"/>
              </w:rPr>
            </w:pPr>
            <w:r>
              <w:rPr>
                <w:rFonts w:ascii="宋体" w:hAnsi="宋体" w:eastAsia="宋体" w:cs="宋体"/>
                <w:color w:val="auto"/>
                <w:spacing w:val="4"/>
                <w:sz w:val="20"/>
                <w:szCs w:val="20"/>
              </w:rPr>
              <w:t>经费控制情况(万元)</w:t>
            </w:r>
          </w:p>
        </w:tc>
        <w:tc>
          <w:tcPr>
            <w:tcW w:w="1997" w:type="dxa"/>
            <w:gridSpan w:val="2"/>
            <w:noWrap w:val="0"/>
            <w:vAlign w:val="center"/>
          </w:tcPr>
          <w:p w14:paraId="1480468D">
            <w:pPr>
              <w:spacing w:before="130" w:line="203" w:lineRule="auto"/>
              <w:ind w:left="394"/>
              <w:jc w:val="center"/>
              <w:rPr>
                <w:rFonts w:ascii="宋体" w:hAnsi="宋体" w:eastAsia="宋体" w:cs="宋体"/>
                <w:color w:val="auto"/>
                <w:sz w:val="20"/>
                <w:szCs w:val="20"/>
              </w:rPr>
            </w:pPr>
            <w:r>
              <w:rPr>
                <w:rFonts w:ascii="宋体" w:hAnsi="宋体" w:eastAsia="宋体" w:cs="宋体"/>
                <w:color w:val="auto"/>
                <w:spacing w:val="-2"/>
                <w:sz w:val="20"/>
                <w:szCs w:val="20"/>
              </w:rPr>
              <w:t>2023年决算数</w:t>
            </w:r>
          </w:p>
        </w:tc>
        <w:tc>
          <w:tcPr>
            <w:tcW w:w="2168" w:type="dxa"/>
            <w:gridSpan w:val="2"/>
            <w:noWrap w:val="0"/>
            <w:vAlign w:val="center"/>
          </w:tcPr>
          <w:p w14:paraId="444980C9">
            <w:pPr>
              <w:spacing w:before="130" w:line="203" w:lineRule="auto"/>
              <w:ind w:left="477"/>
              <w:jc w:val="center"/>
              <w:rPr>
                <w:rFonts w:ascii="宋体" w:hAnsi="宋体" w:eastAsia="宋体" w:cs="宋体"/>
                <w:color w:val="auto"/>
                <w:sz w:val="20"/>
                <w:szCs w:val="20"/>
              </w:rPr>
            </w:pPr>
            <w:r>
              <w:rPr>
                <w:rFonts w:ascii="宋体" w:hAnsi="宋体" w:eastAsia="宋体" w:cs="宋体"/>
                <w:color w:val="auto"/>
                <w:spacing w:val="-2"/>
                <w:sz w:val="20"/>
                <w:szCs w:val="20"/>
              </w:rPr>
              <w:t>2024年预算数</w:t>
            </w:r>
          </w:p>
        </w:tc>
        <w:tc>
          <w:tcPr>
            <w:tcW w:w="1993" w:type="dxa"/>
            <w:gridSpan w:val="2"/>
            <w:noWrap w:val="0"/>
            <w:vAlign w:val="center"/>
          </w:tcPr>
          <w:p w14:paraId="45C2F99C">
            <w:pPr>
              <w:spacing w:before="130" w:line="203" w:lineRule="auto"/>
              <w:ind w:left="388"/>
              <w:jc w:val="center"/>
              <w:rPr>
                <w:rFonts w:ascii="宋体" w:hAnsi="宋体" w:eastAsia="宋体" w:cs="宋体"/>
                <w:color w:val="auto"/>
                <w:sz w:val="20"/>
                <w:szCs w:val="20"/>
              </w:rPr>
            </w:pPr>
            <w:r>
              <w:rPr>
                <w:rFonts w:ascii="宋体" w:hAnsi="宋体" w:eastAsia="宋体" w:cs="宋体"/>
                <w:color w:val="auto"/>
                <w:spacing w:val="-2"/>
                <w:sz w:val="20"/>
                <w:szCs w:val="20"/>
              </w:rPr>
              <w:t>2024年决算数</w:t>
            </w:r>
          </w:p>
        </w:tc>
      </w:tr>
      <w:tr w14:paraId="3501434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0" w:hRule="atLeast"/>
          <w:jc w:val="center"/>
        </w:trPr>
        <w:tc>
          <w:tcPr>
            <w:tcW w:w="3271" w:type="dxa"/>
            <w:noWrap w:val="0"/>
            <w:vAlign w:val="center"/>
          </w:tcPr>
          <w:p w14:paraId="6AB79D05">
            <w:pPr>
              <w:spacing w:before="141" w:line="202" w:lineRule="auto"/>
              <w:ind w:left="115"/>
              <w:jc w:val="center"/>
              <w:rPr>
                <w:rFonts w:ascii="宋体" w:hAnsi="宋体" w:eastAsia="宋体" w:cs="宋体"/>
                <w:color w:val="auto"/>
                <w:sz w:val="20"/>
                <w:szCs w:val="20"/>
              </w:rPr>
            </w:pPr>
            <w:r>
              <w:rPr>
                <w:rFonts w:ascii="宋体" w:hAnsi="宋体" w:eastAsia="宋体" w:cs="宋体"/>
                <w:color w:val="auto"/>
                <w:spacing w:val="3"/>
                <w:sz w:val="20"/>
                <w:szCs w:val="20"/>
              </w:rPr>
              <w:t>三公经费</w:t>
            </w:r>
          </w:p>
        </w:tc>
        <w:tc>
          <w:tcPr>
            <w:tcW w:w="1997" w:type="dxa"/>
            <w:gridSpan w:val="2"/>
            <w:noWrap w:val="0"/>
            <w:vAlign w:val="center"/>
          </w:tcPr>
          <w:p w14:paraId="38B0DB4A">
            <w:pPr>
              <w:pStyle w:val="19"/>
              <w:jc w:val="center"/>
              <w:rPr>
                <w:rFonts w:hint="eastAsia" w:eastAsia="宋体"/>
                <w:color w:val="auto"/>
                <w:lang w:eastAsia="zh-CN"/>
              </w:rPr>
            </w:pPr>
            <w:r>
              <w:rPr>
                <w:rFonts w:hint="eastAsia" w:eastAsia="宋体"/>
                <w:color w:val="auto"/>
                <w:lang w:eastAsia="zh-CN"/>
              </w:rPr>
              <w:t>0</w:t>
            </w:r>
          </w:p>
        </w:tc>
        <w:tc>
          <w:tcPr>
            <w:tcW w:w="2168" w:type="dxa"/>
            <w:gridSpan w:val="2"/>
            <w:noWrap w:val="0"/>
            <w:vAlign w:val="center"/>
          </w:tcPr>
          <w:p w14:paraId="60FFEE0D">
            <w:pPr>
              <w:pStyle w:val="19"/>
              <w:jc w:val="center"/>
              <w:rPr>
                <w:rFonts w:hint="eastAsia" w:eastAsia="宋体"/>
                <w:color w:val="auto"/>
                <w:lang w:eastAsia="zh-CN"/>
              </w:rPr>
            </w:pPr>
            <w:r>
              <w:rPr>
                <w:rFonts w:hint="eastAsia" w:eastAsia="宋体"/>
                <w:color w:val="auto"/>
                <w:lang w:eastAsia="zh-CN"/>
              </w:rPr>
              <w:t>0</w:t>
            </w:r>
          </w:p>
        </w:tc>
        <w:tc>
          <w:tcPr>
            <w:tcW w:w="1993" w:type="dxa"/>
            <w:gridSpan w:val="2"/>
            <w:noWrap w:val="0"/>
            <w:vAlign w:val="center"/>
          </w:tcPr>
          <w:p w14:paraId="3F409E8F">
            <w:pPr>
              <w:pStyle w:val="19"/>
              <w:jc w:val="center"/>
              <w:rPr>
                <w:rFonts w:hint="eastAsia" w:eastAsia="宋体"/>
                <w:color w:val="auto"/>
                <w:lang w:eastAsia="zh-CN"/>
              </w:rPr>
            </w:pPr>
            <w:r>
              <w:rPr>
                <w:rFonts w:hint="eastAsia" w:eastAsia="宋体"/>
                <w:color w:val="auto"/>
                <w:lang w:eastAsia="zh-CN"/>
              </w:rPr>
              <w:t>0</w:t>
            </w:r>
          </w:p>
        </w:tc>
      </w:tr>
      <w:tr w14:paraId="19C0CE0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0" w:hRule="atLeast"/>
          <w:jc w:val="center"/>
        </w:trPr>
        <w:tc>
          <w:tcPr>
            <w:tcW w:w="3271" w:type="dxa"/>
            <w:noWrap w:val="0"/>
            <w:vAlign w:val="center"/>
          </w:tcPr>
          <w:p w14:paraId="51E07AAD">
            <w:pPr>
              <w:spacing w:before="139" w:line="194" w:lineRule="auto"/>
              <w:ind w:left="375"/>
              <w:jc w:val="center"/>
              <w:rPr>
                <w:rFonts w:ascii="宋体" w:hAnsi="宋体" w:eastAsia="宋体" w:cs="宋体"/>
                <w:color w:val="auto"/>
                <w:sz w:val="20"/>
                <w:szCs w:val="20"/>
                <w:lang w:eastAsia="zh-CN"/>
              </w:rPr>
            </w:pPr>
            <w:r>
              <w:rPr>
                <w:rFonts w:ascii="宋体" w:hAnsi="宋体" w:eastAsia="宋体" w:cs="宋体"/>
                <w:color w:val="auto"/>
                <w:sz w:val="20"/>
                <w:szCs w:val="20"/>
                <w:lang w:eastAsia="zh-CN"/>
              </w:rPr>
              <w:t>1、公务用车购置和维护经费</w:t>
            </w:r>
          </w:p>
        </w:tc>
        <w:tc>
          <w:tcPr>
            <w:tcW w:w="1997" w:type="dxa"/>
            <w:gridSpan w:val="2"/>
            <w:noWrap w:val="0"/>
            <w:vAlign w:val="center"/>
          </w:tcPr>
          <w:p w14:paraId="17948F1D">
            <w:pPr>
              <w:pStyle w:val="19"/>
              <w:jc w:val="center"/>
              <w:rPr>
                <w:rFonts w:hint="eastAsia" w:eastAsia="宋体"/>
                <w:color w:val="auto"/>
                <w:lang w:eastAsia="zh-CN"/>
              </w:rPr>
            </w:pPr>
            <w:r>
              <w:rPr>
                <w:rFonts w:hint="eastAsia" w:eastAsia="宋体"/>
                <w:color w:val="auto"/>
                <w:lang w:eastAsia="zh-CN"/>
              </w:rPr>
              <w:t>0</w:t>
            </w:r>
          </w:p>
        </w:tc>
        <w:tc>
          <w:tcPr>
            <w:tcW w:w="2168" w:type="dxa"/>
            <w:gridSpan w:val="2"/>
            <w:noWrap w:val="0"/>
            <w:vAlign w:val="center"/>
          </w:tcPr>
          <w:p w14:paraId="67DC5787">
            <w:pPr>
              <w:pStyle w:val="19"/>
              <w:jc w:val="center"/>
              <w:rPr>
                <w:rFonts w:hint="eastAsia" w:eastAsia="宋体"/>
                <w:color w:val="auto"/>
                <w:lang w:eastAsia="zh-CN"/>
              </w:rPr>
            </w:pPr>
            <w:r>
              <w:rPr>
                <w:rFonts w:hint="eastAsia" w:eastAsia="宋体"/>
                <w:color w:val="auto"/>
                <w:lang w:eastAsia="zh-CN"/>
              </w:rPr>
              <w:t>0</w:t>
            </w:r>
          </w:p>
        </w:tc>
        <w:tc>
          <w:tcPr>
            <w:tcW w:w="1993" w:type="dxa"/>
            <w:gridSpan w:val="2"/>
            <w:noWrap w:val="0"/>
            <w:vAlign w:val="center"/>
          </w:tcPr>
          <w:p w14:paraId="513CC500">
            <w:pPr>
              <w:pStyle w:val="19"/>
              <w:jc w:val="center"/>
              <w:rPr>
                <w:rFonts w:hint="eastAsia" w:eastAsia="宋体"/>
                <w:color w:val="auto"/>
                <w:lang w:eastAsia="zh-CN"/>
              </w:rPr>
            </w:pPr>
            <w:r>
              <w:rPr>
                <w:rFonts w:hint="eastAsia" w:eastAsia="宋体"/>
                <w:color w:val="auto"/>
                <w:lang w:eastAsia="zh-CN"/>
              </w:rPr>
              <w:t>0</w:t>
            </w:r>
          </w:p>
        </w:tc>
      </w:tr>
      <w:tr w14:paraId="73B925A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0" w:hRule="atLeast"/>
          <w:jc w:val="center"/>
        </w:trPr>
        <w:tc>
          <w:tcPr>
            <w:tcW w:w="3271" w:type="dxa"/>
            <w:noWrap w:val="0"/>
            <w:vAlign w:val="center"/>
          </w:tcPr>
          <w:p w14:paraId="6BF10C64">
            <w:pPr>
              <w:spacing w:before="130" w:line="203" w:lineRule="auto"/>
              <w:ind w:left="924"/>
              <w:jc w:val="center"/>
              <w:rPr>
                <w:rFonts w:ascii="宋体" w:hAnsi="宋体" w:eastAsia="宋体" w:cs="宋体"/>
                <w:color w:val="auto"/>
                <w:sz w:val="20"/>
                <w:szCs w:val="20"/>
              </w:rPr>
            </w:pPr>
            <w:r>
              <w:rPr>
                <w:rFonts w:ascii="宋体" w:hAnsi="宋体" w:eastAsia="宋体" w:cs="宋体"/>
                <w:color w:val="auto"/>
                <w:spacing w:val="-2"/>
                <w:sz w:val="20"/>
                <w:szCs w:val="20"/>
              </w:rPr>
              <w:t>其中：公车购置</w:t>
            </w:r>
          </w:p>
        </w:tc>
        <w:tc>
          <w:tcPr>
            <w:tcW w:w="1997" w:type="dxa"/>
            <w:gridSpan w:val="2"/>
            <w:noWrap w:val="0"/>
            <w:vAlign w:val="center"/>
          </w:tcPr>
          <w:p w14:paraId="032C269D">
            <w:pPr>
              <w:pStyle w:val="19"/>
              <w:jc w:val="center"/>
              <w:rPr>
                <w:rFonts w:hint="eastAsia" w:eastAsia="宋体"/>
                <w:color w:val="auto"/>
                <w:lang w:eastAsia="zh-CN"/>
              </w:rPr>
            </w:pPr>
            <w:r>
              <w:rPr>
                <w:rFonts w:hint="eastAsia" w:eastAsia="宋体"/>
                <w:color w:val="auto"/>
                <w:lang w:eastAsia="zh-CN"/>
              </w:rPr>
              <w:t>0</w:t>
            </w:r>
          </w:p>
        </w:tc>
        <w:tc>
          <w:tcPr>
            <w:tcW w:w="2168" w:type="dxa"/>
            <w:gridSpan w:val="2"/>
            <w:noWrap w:val="0"/>
            <w:vAlign w:val="center"/>
          </w:tcPr>
          <w:p w14:paraId="539C4DD0">
            <w:pPr>
              <w:pStyle w:val="19"/>
              <w:jc w:val="center"/>
              <w:rPr>
                <w:rFonts w:hint="eastAsia" w:eastAsia="宋体"/>
                <w:color w:val="auto"/>
                <w:lang w:eastAsia="zh-CN"/>
              </w:rPr>
            </w:pPr>
            <w:r>
              <w:rPr>
                <w:rFonts w:hint="eastAsia" w:eastAsia="宋体"/>
                <w:color w:val="auto"/>
                <w:lang w:eastAsia="zh-CN"/>
              </w:rPr>
              <w:t>0</w:t>
            </w:r>
          </w:p>
        </w:tc>
        <w:tc>
          <w:tcPr>
            <w:tcW w:w="1993" w:type="dxa"/>
            <w:gridSpan w:val="2"/>
            <w:noWrap w:val="0"/>
            <w:vAlign w:val="center"/>
          </w:tcPr>
          <w:p w14:paraId="03AC366C">
            <w:pPr>
              <w:pStyle w:val="19"/>
              <w:jc w:val="center"/>
              <w:rPr>
                <w:rFonts w:hint="eastAsia" w:eastAsia="宋体"/>
                <w:color w:val="auto"/>
                <w:lang w:eastAsia="zh-CN"/>
              </w:rPr>
            </w:pPr>
            <w:r>
              <w:rPr>
                <w:rFonts w:hint="eastAsia" w:eastAsia="宋体"/>
                <w:color w:val="auto"/>
                <w:lang w:eastAsia="zh-CN"/>
              </w:rPr>
              <w:t>0</w:t>
            </w:r>
          </w:p>
        </w:tc>
      </w:tr>
      <w:tr w14:paraId="123406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9" w:hRule="atLeast"/>
          <w:jc w:val="center"/>
        </w:trPr>
        <w:tc>
          <w:tcPr>
            <w:tcW w:w="3271" w:type="dxa"/>
            <w:noWrap w:val="0"/>
            <w:vAlign w:val="center"/>
          </w:tcPr>
          <w:p w14:paraId="69451BE1">
            <w:pPr>
              <w:spacing w:before="110" w:line="202" w:lineRule="auto"/>
              <w:ind w:left="1024"/>
              <w:jc w:val="center"/>
              <w:rPr>
                <w:rFonts w:ascii="宋体" w:hAnsi="宋体" w:eastAsia="宋体" w:cs="宋体"/>
                <w:color w:val="auto"/>
                <w:sz w:val="20"/>
                <w:szCs w:val="20"/>
              </w:rPr>
            </w:pPr>
            <w:r>
              <w:rPr>
                <w:rFonts w:ascii="宋体" w:hAnsi="宋体" w:eastAsia="宋体" w:cs="宋体"/>
                <w:color w:val="auto"/>
                <w:spacing w:val="2"/>
                <w:sz w:val="20"/>
                <w:szCs w:val="20"/>
              </w:rPr>
              <w:t>公车运行维护</w:t>
            </w:r>
          </w:p>
        </w:tc>
        <w:tc>
          <w:tcPr>
            <w:tcW w:w="1997" w:type="dxa"/>
            <w:gridSpan w:val="2"/>
            <w:noWrap w:val="0"/>
            <w:vAlign w:val="center"/>
          </w:tcPr>
          <w:p w14:paraId="70A7C640">
            <w:pPr>
              <w:pStyle w:val="19"/>
              <w:jc w:val="center"/>
              <w:rPr>
                <w:rFonts w:hint="eastAsia" w:eastAsia="宋体"/>
                <w:color w:val="auto"/>
                <w:lang w:eastAsia="zh-CN"/>
              </w:rPr>
            </w:pPr>
            <w:r>
              <w:rPr>
                <w:rFonts w:hint="eastAsia" w:eastAsia="宋体"/>
                <w:color w:val="auto"/>
                <w:lang w:eastAsia="zh-CN"/>
              </w:rPr>
              <w:t>0</w:t>
            </w:r>
          </w:p>
        </w:tc>
        <w:tc>
          <w:tcPr>
            <w:tcW w:w="2168" w:type="dxa"/>
            <w:gridSpan w:val="2"/>
            <w:noWrap w:val="0"/>
            <w:vAlign w:val="center"/>
          </w:tcPr>
          <w:p w14:paraId="76DB7C98">
            <w:pPr>
              <w:pStyle w:val="19"/>
              <w:jc w:val="center"/>
              <w:rPr>
                <w:rFonts w:hint="eastAsia" w:eastAsia="宋体"/>
                <w:color w:val="auto"/>
                <w:lang w:eastAsia="zh-CN"/>
              </w:rPr>
            </w:pPr>
            <w:r>
              <w:rPr>
                <w:rFonts w:hint="eastAsia" w:eastAsia="宋体"/>
                <w:color w:val="auto"/>
                <w:lang w:eastAsia="zh-CN"/>
              </w:rPr>
              <w:t>0</w:t>
            </w:r>
          </w:p>
        </w:tc>
        <w:tc>
          <w:tcPr>
            <w:tcW w:w="1993" w:type="dxa"/>
            <w:gridSpan w:val="2"/>
            <w:noWrap w:val="0"/>
            <w:vAlign w:val="center"/>
          </w:tcPr>
          <w:p w14:paraId="693E3025">
            <w:pPr>
              <w:pStyle w:val="19"/>
              <w:jc w:val="center"/>
              <w:rPr>
                <w:rFonts w:hint="eastAsia" w:eastAsia="宋体"/>
                <w:color w:val="auto"/>
                <w:lang w:eastAsia="zh-CN"/>
              </w:rPr>
            </w:pPr>
            <w:r>
              <w:rPr>
                <w:rFonts w:hint="eastAsia" w:eastAsia="宋体"/>
                <w:color w:val="auto"/>
                <w:lang w:eastAsia="zh-CN"/>
              </w:rPr>
              <w:t>0</w:t>
            </w:r>
          </w:p>
        </w:tc>
      </w:tr>
      <w:tr w14:paraId="722E36D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0" w:hRule="atLeast"/>
          <w:jc w:val="center"/>
        </w:trPr>
        <w:tc>
          <w:tcPr>
            <w:tcW w:w="3271" w:type="dxa"/>
            <w:noWrap w:val="0"/>
            <w:vAlign w:val="center"/>
          </w:tcPr>
          <w:p w14:paraId="21FDF31C">
            <w:pPr>
              <w:spacing w:before="141" w:line="192" w:lineRule="auto"/>
              <w:ind w:left="394"/>
              <w:jc w:val="center"/>
              <w:rPr>
                <w:rFonts w:ascii="宋体" w:hAnsi="宋体" w:eastAsia="宋体" w:cs="宋体"/>
                <w:color w:val="auto"/>
                <w:sz w:val="20"/>
                <w:szCs w:val="20"/>
              </w:rPr>
            </w:pPr>
            <w:r>
              <w:rPr>
                <w:rFonts w:ascii="宋体" w:hAnsi="宋体" w:eastAsia="宋体" w:cs="宋体"/>
                <w:color w:val="auto"/>
                <w:spacing w:val="2"/>
                <w:sz w:val="20"/>
                <w:szCs w:val="20"/>
              </w:rPr>
              <w:t>2、出国经费</w:t>
            </w:r>
          </w:p>
        </w:tc>
        <w:tc>
          <w:tcPr>
            <w:tcW w:w="1997" w:type="dxa"/>
            <w:gridSpan w:val="2"/>
            <w:noWrap w:val="0"/>
            <w:vAlign w:val="center"/>
          </w:tcPr>
          <w:p w14:paraId="69158F0C">
            <w:pPr>
              <w:pStyle w:val="19"/>
              <w:jc w:val="center"/>
              <w:rPr>
                <w:rFonts w:hint="eastAsia" w:eastAsia="宋体"/>
                <w:color w:val="auto"/>
                <w:lang w:eastAsia="zh-CN"/>
              </w:rPr>
            </w:pPr>
            <w:r>
              <w:rPr>
                <w:rFonts w:hint="eastAsia" w:eastAsia="宋体"/>
                <w:color w:val="auto"/>
                <w:lang w:eastAsia="zh-CN"/>
              </w:rPr>
              <w:t>0</w:t>
            </w:r>
          </w:p>
        </w:tc>
        <w:tc>
          <w:tcPr>
            <w:tcW w:w="2168" w:type="dxa"/>
            <w:gridSpan w:val="2"/>
            <w:noWrap w:val="0"/>
            <w:vAlign w:val="center"/>
          </w:tcPr>
          <w:p w14:paraId="45B8B06F">
            <w:pPr>
              <w:pStyle w:val="19"/>
              <w:jc w:val="center"/>
              <w:rPr>
                <w:rFonts w:hint="eastAsia" w:eastAsia="宋体"/>
                <w:color w:val="auto"/>
                <w:lang w:eastAsia="zh-CN"/>
              </w:rPr>
            </w:pPr>
            <w:r>
              <w:rPr>
                <w:rFonts w:hint="eastAsia" w:eastAsia="宋体"/>
                <w:color w:val="auto"/>
                <w:lang w:eastAsia="zh-CN"/>
              </w:rPr>
              <w:t>0</w:t>
            </w:r>
          </w:p>
        </w:tc>
        <w:tc>
          <w:tcPr>
            <w:tcW w:w="1993" w:type="dxa"/>
            <w:gridSpan w:val="2"/>
            <w:noWrap w:val="0"/>
            <w:vAlign w:val="center"/>
          </w:tcPr>
          <w:p w14:paraId="2F2365BF">
            <w:pPr>
              <w:pStyle w:val="19"/>
              <w:jc w:val="center"/>
              <w:rPr>
                <w:rFonts w:hint="eastAsia" w:eastAsia="宋体"/>
                <w:color w:val="auto"/>
                <w:lang w:eastAsia="zh-CN"/>
              </w:rPr>
            </w:pPr>
            <w:r>
              <w:rPr>
                <w:rFonts w:hint="eastAsia" w:eastAsia="宋体"/>
                <w:color w:val="auto"/>
                <w:lang w:eastAsia="zh-CN"/>
              </w:rPr>
              <w:t>0</w:t>
            </w:r>
          </w:p>
        </w:tc>
      </w:tr>
      <w:tr w14:paraId="65996A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0" w:hRule="atLeast"/>
          <w:jc w:val="center"/>
        </w:trPr>
        <w:tc>
          <w:tcPr>
            <w:tcW w:w="3271" w:type="dxa"/>
            <w:noWrap w:val="0"/>
            <w:vAlign w:val="center"/>
          </w:tcPr>
          <w:p w14:paraId="42F199C1">
            <w:pPr>
              <w:spacing w:before="140" w:line="193" w:lineRule="auto"/>
              <w:ind w:left="394"/>
              <w:jc w:val="center"/>
              <w:rPr>
                <w:rFonts w:ascii="宋体" w:hAnsi="宋体" w:eastAsia="宋体" w:cs="宋体"/>
                <w:color w:val="auto"/>
                <w:sz w:val="20"/>
                <w:szCs w:val="20"/>
              </w:rPr>
            </w:pPr>
            <w:r>
              <w:rPr>
                <w:rFonts w:ascii="宋体" w:hAnsi="宋体" w:eastAsia="宋体" w:cs="宋体"/>
                <w:color w:val="auto"/>
                <w:spacing w:val="1"/>
                <w:sz w:val="20"/>
                <w:szCs w:val="20"/>
              </w:rPr>
              <w:t>3、公务接待</w:t>
            </w:r>
          </w:p>
        </w:tc>
        <w:tc>
          <w:tcPr>
            <w:tcW w:w="1997" w:type="dxa"/>
            <w:gridSpan w:val="2"/>
            <w:noWrap w:val="0"/>
            <w:vAlign w:val="center"/>
          </w:tcPr>
          <w:p w14:paraId="0515F61C">
            <w:pPr>
              <w:pStyle w:val="19"/>
              <w:jc w:val="center"/>
              <w:rPr>
                <w:rFonts w:hint="eastAsia" w:eastAsia="宋体"/>
                <w:color w:val="auto"/>
                <w:lang w:eastAsia="zh-CN"/>
              </w:rPr>
            </w:pPr>
            <w:r>
              <w:rPr>
                <w:rFonts w:hint="eastAsia" w:eastAsia="宋体"/>
                <w:color w:val="auto"/>
                <w:lang w:eastAsia="zh-CN"/>
              </w:rPr>
              <w:t>0</w:t>
            </w:r>
          </w:p>
        </w:tc>
        <w:tc>
          <w:tcPr>
            <w:tcW w:w="2168" w:type="dxa"/>
            <w:gridSpan w:val="2"/>
            <w:noWrap w:val="0"/>
            <w:vAlign w:val="center"/>
          </w:tcPr>
          <w:p w14:paraId="03D0EE6B">
            <w:pPr>
              <w:pStyle w:val="19"/>
              <w:jc w:val="center"/>
              <w:rPr>
                <w:rFonts w:hint="eastAsia" w:eastAsia="宋体"/>
                <w:color w:val="auto"/>
                <w:lang w:eastAsia="zh-CN"/>
              </w:rPr>
            </w:pPr>
            <w:r>
              <w:rPr>
                <w:rFonts w:hint="eastAsia" w:eastAsia="宋体"/>
                <w:color w:val="auto"/>
                <w:lang w:eastAsia="zh-CN"/>
              </w:rPr>
              <w:t>0</w:t>
            </w:r>
          </w:p>
        </w:tc>
        <w:tc>
          <w:tcPr>
            <w:tcW w:w="1993" w:type="dxa"/>
            <w:gridSpan w:val="2"/>
            <w:noWrap w:val="0"/>
            <w:vAlign w:val="center"/>
          </w:tcPr>
          <w:p w14:paraId="7110BB0D">
            <w:pPr>
              <w:pStyle w:val="19"/>
              <w:jc w:val="center"/>
              <w:rPr>
                <w:rFonts w:hint="eastAsia" w:eastAsia="宋体"/>
                <w:color w:val="auto"/>
                <w:lang w:eastAsia="zh-CN"/>
              </w:rPr>
            </w:pPr>
            <w:r>
              <w:rPr>
                <w:rFonts w:hint="eastAsia" w:eastAsia="宋体"/>
                <w:color w:val="auto"/>
                <w:lang w:eastAsia="zh-CN"/>
              </w:rPr>
              <w:t>0</w:t>
            </w:r>
          </w:p>
        </w:tc>
      </w:tr>
      <w:tr w14:paraId="0EEACD6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0" w:hRule="atLeast"/>
          <w:jc w:val="center"/>
        </w:trPr>
        <w:tc>
          <w:tcPr>
            <w:tcW w:w="3271" w:type="dxa"/>
            <w:noWrap w:val="0"/>
            <w:vAlign w:val="center"/>
          </w:tcPr>
          <w:p w14:paraId="1E9A8E45">
            <w:pPr>
              <w:spacing w:before="141" w:line="192" w:lineRule="auto"/>
              <w:ind w:left="104"/>
              <w:jc w:val="center"/>
              <w:rPr>
                <w:rFonts w:ascii="宋体" w:hAnsi="宋体" w:eastAsia="宋体" w:cs="宋体"/>
                <w:color w:val="auto"/>
                <w:sz w:val="20"/>
                <w:szCs w:val="20"/>
              </w:rPr>
            </w:pPr>
            <w:r>
              <w:rPr>
                <w:rFonts w:ascii="宋体" w:hAnsi="宋体" w:eastAsia="宋体" w:cs="宋体"/>
                <w:color w:val="auto"/>
                <w:sz w:val="20"/>
                <w:szCs w:val="20"/>
              </w:rPr>
              <w:t>项目支出：</w:t>
            </w:r>
          </w:p>
        </w:tc>
        <w:tc>
          <w:tcPr>
            <w:tcW w:w="1997" w:type="dxa"/>
            <w:gridSpan w:val="2"/>
            <w:noWrap w:val="0"/>
            <w:vAlign w:val="center"/>
          </w:tcPr>
          <w:p w14:paraId="27549B05">
            <w:pPr>
              <w:pStyle w:val="19"/>
              <w:jc w:val="center"/>
              <w:rPr>
                <w:color w:val="auto"/>
              </w:rPr>
            </w:pPr>
          </w:p>
        </w:tc>
        <w:tc>
          <w:tcPr>
            <w:tcW w:w="2168" w:type="dxa"/>
            <w:gridSpan w:val="2"/>
            <w:noWrap w:val="0"/>
            <w:vAlign w:val="center"/>
          </w:tcPr>
          <w:p w14:paraId="0F011EE3">
            <w:pPr>
              <w:pStyle w:val="19"/>
              <w:jc w:val="center"/>
              <w:rPr>
                <w:color w:val="auto"/>
              </w:rPr>
            </w:pPr>
          </w:p>
        </w:tc>
        <w:tc>
          <w:tcPr>
            <w:tcW w:w="1993" w:type="dxa"/>
            <w:gridSpan w:val="2"/>
            <w:noWrap w:val="0"/>
            <w:vAlign w:val="center"/>
          </w:tcPr>
          <w:p w14:paraId="74045944">
            <w:pPr>
              <w:pStyle w:val="19"/>
              <w:jc w:val="center"/>
              <w:rPr>
                <w:color w:val="auto"/>
              </w:rPr>
            </w:pPr>
          </w:p>
        </w:tc>
      </w:tr>
      <w:tr w14:paraId="2CA570B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9" w:hRule="atLeast"/>
          <w:jc w:val="center"/>
        </w:trPr>
        <w:tc>
          <w:tcPr>
            <w:tcW w:w="3271" w:type="dxa"/>
            <w:noWrap w:val="0"/>
            <w:vAlign w:val="center"/>
          </w:tcPr>
          <w:p w14:paraId="3A89605A">
            <w:pPr>
              <w:spacing w:before="141" w:line="192" w:lineRule="auto"/>
              <w:ind w:left="394"/>
              <w:jc w:val="center"/>
              <w:rPr>
                <w:rFonts w:ascii="宋体" w:hAnsi="宋体" w:eastAsia="宋体" w:cs="宋体"/>
                <w:color w:val="auto"/>
                <w:sz w:val="20"/>
                <w:szCs w:val="20"/>
              </w:rPr>
            </w:pPr>
            <w:r>
              <w:rPr>
                <w:rFonts w:ascii="宋体" w:hAnsi="宋体" w:eastAsia="宋体" w:cs="宋体"/>
                <w:color w:val="auto"/>
                <w:spacing w:val="1"/>
                <w:sz w:val="20"/>
                <w:szCs w:val="20"/>
              </w:rPr>
              <w:t>1、业务工作经费</w:t>
            </w:r>
          </w:p>
        </w:tc>
        <w:tc>
          <w:tcPr>
            <w:tcW w:w="1997" w:type="dxa"/>
            <w:gridSpan w:val="2"/>
            <w:noWrap w:val="0"/>
            <w:vAlign w:val="center"/>
          </w:tcPr>
          <w:p w14:paraId="180ECB3E">
            <w:pPr>
              <w:pStyle w:val="19"/>
              <w:jc w:val="center"/>
              <w:rPr>
                <w:rFonts w:eastAsia="宋体"/>
                <w:color w:val="auto"/>
                <w:lang w:eastAsia="zh-CN"/>
              </w:rPr>
            </w:pPr>
            <w:r>
              <w:rPr>
                <w:rFonts w:hint="eastAsia" w:eastAsia="宋体"/>
                <w:color w:val="auto"/>
                <w:lang w:eastAsia="zh-CN"/>
              </w:rPr>
              <w:t>41.64</w:t>
            </w:r>
          </w:p>
        </w:tc>
        <w:tc>
          <w:tcPr>
            <w:tcW w:w="2168" w:type="dxa"/>
            <w:gridSpan w:val="2"/>
            <w:noWrap w:val="0"/>
            <w:vAlign w:val="center"/>
          </w:tcPr>
          <w:p w14:paraId="2EAADCFC">
            <w:pPr>
              <w:pStyle w:val="19"/>
              <w:jc w:val="center"/>
              <w:rPr>
                <w:rFonts w:eastAsia="宋体"/>
                <w:color w:val="auto"/>
                <w:lang w:eastAsia="zh-CN"/>
              </w:rPr>
            </w:pPr>
            <w:r>
              <w:rPr>
                <w:rFonts w:hint="eastAsia" w:eastAsia="宋体"/>
                <w:color w:val="auto"/>
                <w:lang w:eastAsia="zh-CN"/>
              </w:rPr>
              <w:t>38</w:t>
            </w:r>
          </w:p>
        </w:tc>
        <w:tc>
          <w:tcPr>
            <w:tcW w:w="1993" w:type="dxa"/>
            <w:gridSpan w:val="2"/>
            <w:noWrap w:val="0"/>
            <w:vAlign w:val="center"/>
          </w:tcPr>
          <w:p w14:paraId="4C6CA3F2">
            <w:pPr>
              <w:pStyle w:val="19"/>
              <w:jc w:val="center"/>
              <w:rPr>
                <w:rFonts w:eastAsia="宋体"/>
                <w:color w:val="auto"/>
                <w:lang w:eastAsia="zh-CN"/>
              </w:rPr>
            </w:pPr>
            <w:r>
              <w:rPr>
                <w:rFonts w:hint="eastAsia" w:eastAsia="宋体"/>
                <w:color w:val="auto"/>
                <w:lang w:eastAsia="zh-CN"/>
              </w:rPr>
              <w:t>36.92</w:t>
            </w:r>
          </w:p>
        </w:tc>
      </w:tr>
      <w:tr w14:paraId="0E27410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9" w:hRule="atLeast"/>
          <w:jc w:val="center"/>
        </w:trPr>
        <w:tc>
          <w:tcPr>
            <w:tcW w:w="3271" w:type="dxa"/>
            <w:noWrap w:val="0"/>
            <w:vAlign w:val="center"/>
          </w:tcPr>
          <w:p w14:paraId="0C82113C">
            <w:pPr>
              <w:spacing w:before="142" w:line="181" w:lineRule="auto"/>
              <w:ind w:left="394"/>
              <w:jc w:val="center"/>
              <w:rPr>
                <w:rFonts w:ascii="宋体" w:hAnsi="宋体" w:eastAsia="宋体" w:cs="宋体"/>
                <w:color w:val="auto"/>
                <w:sz w:val="20"/>
                <w:szCs w:val="20"/>
              </w:rPr>
            </w:pPr>
            <w:r>
              <w:rPr>
                <w:rFonts w:ascii="宋体" w:hAnsi="宋体" w:eastAsia="宋体" w:cs="宋体"/>
                <w:color w:val="auto"/>
                <w:spacing w:val="1"/>
                <w:sz w:val="20"/>
                <w:szCs w:val="20"/>
              </w:rPr>
              <w:t>2、运行维护经费</w:t>
            </w:r>
          </w:p>
        </w:tc>
        <w:tc>
          <w:tcPr>
            <w:tcW w:w="1997" w:type="dxa"/>
            <w:gridSpan w:val="2"/>
            <w:noWrap w:val="0"/>
            <w:vAlign w:val="center"/>
          </w:tcPr>
          <w:p w14:paraId="56823C52">
            <w:pPr>
              <w:pStyle w:val="19"/>
              <w:jc w:val="center"/>
              <w:rPr>
                <w:color w:val="auto"/>
              </w:rPr>
            </w:pPr>
          </w:p>
        </w:tc>
        <w:tc>
          <w:tcPr>
            <w:tcW w:w="2168" w:type="dxa"/>
            <w:gridSpan w:val="2"/>
            <w:noWrap w:val="0"/>
            <w:vAlign w:val="center"/>
          </w:tcPr>
          <w:p w14:paraId="1A035997">
            <w:pPr>
              <w:pStyle w:val="19"/>
              <w:jc w:val="center"/>
              <w:rPr>
                <w:color w:val="auto"/>
              </w:rPr>
            </w:pPr>
          </w:p>
        </w:tc>
        <w:tc>
          <w:tcPr>
            <w:tcW w:w="1993" w:type="dxa"/>
            <w:gridSpan w:val="2"/>
            <w:noWrap w:val="0"/>
            <w:vAlign w:val="center"/>
          </w:tcPr>
          <w:p w14:paraId="42888B6A">
            <w:pPr>
              <w:pStyle w:val="19"/>
              <w:jc w:val="center"/>
              <w:rPr>
                <w:color w:val="auto"/>
              </w:rPr>
            </w:pPr>
          </w:p>
        </w:tc>
      </w:tr>
      <w:tr w14:paraId="5668F1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0" w:hRule="atLeast"/>
          <w:jc w:val="center"/>
        </w:trPr>
        <w:tc>
          <w:tcPr>
            <w:tcW w:w="3271" w:type="dxa"/>
            <w:noWrap w:val="0"/>
            <w:vAlign w:val="center"/>
          </w:tcPr>
          <w:p w14:paraId="047D2324">
            <w:pPr>
              <w:spacing w:before="152" w:line="182" w:lineRule="auto"/>
              <w:ind w:left="1425"/>
              <w:jc w:val="center"/>
              <w:rPr>
                <w:rFonts w:ascii="宋体" w:hAnsi="宋体" w:eastAsia="宋体" w:cs="宋体"/>
                <w:color w:val="auto"/>
                <w:sz w:val="20"/>
                <w:szCs w:val="20"/>
              </w:rPr>
            </w:pPr>
            <w:r>
              <w:rPr>
                <w:rFonts w:ascii="宋体" w:hAnsi="宋体" w:eastAsia="宋体" w:cs="宋体"/>
                <w:color w:val="auto"/>
                <w:spacing w:val="-6"/>
                <w:sz w:val="20"/>
                <w:szCs w:val="20"/>
              </w:rPr>
              <w:t>……</w:t>
            </w:r>
          </w:p>
        </w:tc>
        <w:tc>
          <w:tcPr>
            <w:tcW w:w="1997" w:type="dxa"/>
            <w:gridSpan w:val="2"/>
            <w:noWrap w:val="0"/>
            <w:vAlign w:val="center"/>
          </w:tcPr>
          <w:p w14:paraId="5C580D89">
            <w:pPr>
              <w:pStyle w:val="19"/>
              <w:jc w:val="center"/>
              <w:rPr>
                <w:color w:val="auto"/>
              </w:rPr>
            </w:pPr>
          </w:p>
        </w:tc>
        <w:tc>
          <w:tcPr>
            <w:tcW w:w="2168" w:type="dxa"/>
            <w:gridSpan w:val="2"/>
            <w:noWrap w:val="0"/>
            <w:vAlign w:val="center"/>
          </w:tcPr>
          <w:p w14:paraId="422E4975">
            <w:pPr>
              <w:pStyle w:val="19"/>
              <w:jc w:val="center"/>
              <w:rPr>
                <w:color w:val="auto"/>
              </w:rPr>
            </w:pPr>
          </w:p>
        </w:tc>
        <w:tc>
          <w:tcPr>
            <w:tcW w:w="1993" w:type="dxa"/>
            <w:gridSpan w:val="2"/>
            <w:noWrap w:val="0"/>
            <w:vAlign w:val="center"/>
          </w:tcPr>
          <w:p w14:paraId="4E495806">
            <w:pPr>
              <w:pStyle w:val="19"/>
              <w:jc w:val="center"/>
              <w:rPr>
                <w:color w:val="auto"/>
              </w:rPr>
            </w:pPr>
          </w:p>
        </w:tc>
      </w:tr>
      <w:tr w14:paraId="23AE204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0" w:hRule="atLeast"/>
          <w:jc w:val="center"/>
        </w:trPr>
        <w:tc>
          <w:tcPr>
            <w:tcW w:w="3271" w:type="dxa"/>
            <w:noWrap w:val="0"/>
            <w:vAlign w:val="center"/>
          </w:tcPr>
          <w:p w14:paraId="53CA864D">
            <w:pPr>
              <w:spacing w:before="143" w:line="191" w:lineRule="auto"/>
              <w:ind w:left="175"/>
              <w:jc w:val="center"/>
              <w:rPr>
                <w:rFonts w:ascii="宋体" w:hAnsi="宋体" w:eastAsia="宋体" w:cs="宋体"/>
                <w:color w:val="auto"/>
                <w:sz w:val="20"/>
                <w:szCs w:val="20"/>
                <w:lang w:eastAsia="zh-CN"/>
              </w:rPr>
            </w:pPr>
            <w:r>
              <w:rPr>
                <w:rFonts w:ascii="宋体" w:hAnsi="宋体" w:eastAsia="宋体" w:cs="宋体"/>
                <w:color w:val="auto"/>
                <w:spacing w:val="2"/>
                <w:sz w:val="20"/>
                <w:szCs w:val="20"/>
                <w:lang w:eastAsia="zh-CN"/>
              </w:rPr>
              <w:t>3、市级专项资金(一个专项一行)</w:t>
            </w:r>
          </w:p>
        </w:tc>
        <w:tc>
          <w:tcPr>
            <w:tcW w:w="1997" w:type="dxa"/>
            <w:gridSpan w:val="2"/>
            <w:noWrap w:val="0"/>
            <w:vAlign w:val="center"/>
          </w:tcPr>
          <w:p w14:paraId="0CBC755D">
            <w:pPr>
              <w:pStyle w:val="19"/>
              <w:jc w:val="center"/>
              <w:rPr>
                <w:color w:val="auto"/>
                <w:lang w:eastAsia="zh-CN"/>
              </w:rPr>
            </w:pPr>
          </w:p>
        </w:tc>
        <w:tc>
          <w:tcPr>
            <w:tcW w:w="2168" w:type="dxa"/>
            <w:gridSpan w:val="2"/>
            <w:noWrap w:val="0"/>
            <w:vAlign w:val="center"/>
          </w:tcPr>
          <w:p w14:paraId="5D8D08C5">
            <w:pPr>
              <w:pStyle w:val="19"/>
              <w:jc w:val="center"/>
              <w:rPr>
                <w:color w:val="auto"/>
                <w:lang w:eastAsia="zh-CN"/>
              </w:rPr>
            </w:pPr>
          </w:p>
        </w:tc>
        <w:tc>
          <w:tcPr>
            <w:tcW w:w="1993" w:type="dxa"/>
            <w:gridSpan w:val="2"/>
            <w:noWrap w:val="0"/>
            <w:vAlign w:val="center"/>
          </w:tcPr>
          <w:p w14:paraId="38A89E34">
            <w:pPr>
              <w:pStyle w:val="19"/>
              <w:jc w:val="center"/>
              <w:rPr>
                <w:color w:val="auto"/>
                <w:lang w:eastAsia="zh-CN"/>
              </w:rPr>
            </w:pPr>
          </w:p>
        </w:tc>
      </w:tr>
      <w:tr w14:paraId="42DE1E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9" w:hRule="atLeast"/>
          <w:jc w:val="center"/>
        </w:trPr>
        <w:tc>
          <w:tcPr>
            <w:tcW w:w="3271" w:type="dxa"/>
            <w:noWrap w:val="0"/>
            <w:vAlign w:val="center"/>
          </w:tcPr>
          <w:p w14:paraId="2AB89BBB">
            <w:pPr>
              <w:spacing w:before="142" w:line="181" w:lineRule="auto"/>
              <w:ind w:left="1425"/>
              <w:jc w:val="center"/>
              <w:rPr>
                <w:rFonts w:ascii="宋体" w:hAnsi="宋体" w:eastAsia="宋体" w:cs="宋体"/>
                <w:color w:val="auto"/>
                <w:sz w:val="20"/>
                <w:szCs w:val="20"/>
              </w:rPr>
            </w:pPr>
            <w:r>
              <w:rPr>
                <w:rFonts w:ascii="宋体" w:hAnsi="宋体" w:eastAsia="宋体" w:cs="宋体"/>
                <w:color w:val="auto"/>
                <w:spacing w:val="-6"/>
                <w:sz w:val="20"/>
                <w:szCs w:val="20"/>
              </w:rPr>
              <w:t>……</w:t>
            </w:r>
          </w:p>
        </w:tc>
        <w:tc>
          <w:tcPr>
            <w:tcW w:w="1997" w:type="dxa"/>
            <w:gridSpan w:val="2"/>
            <w:noWrap w:val="0"/>
            <w:vAlign w:val="center"/>
          </w:tcPr>
          <w:p w14:paraId="5E3950A6">
            <w:pPr>
              <w:pStyle w:val="19"/>
              <w:jc w:val="center"/>
              <w:rPr>
                <w:color w:val="auto"/>
              </w:rPr>
            </w:pPr>
          </w:p>
        </w:tc>
        <w:tc>
          <w:tcPr>
            <w:tcW w:w="2168" w:type="dxa"/>
            <w:gridSpan w:val="2"/>
            <w:noWrap w:val="0"/>
            <w:vAlign w:val="center"/>
          </w:tcPr>
          <w:p w14:paraId="73211C13">
            <w:pPr>
              <w:pStyle w:val="19"/>
              <w:jc w:val="center"/>
              <w:rPr>
                <w:color w:val="auto"/>
              </w:rPr>
            </w:pPr>
          </w:p>
        </w:tc>
        <w:tc>
          <w:tcPr>
            <w:tcW w:w="1993" w:type="dxa"/>
            <w:gridSpan w:val="2"/>
            <w:noWrap w:val="0"/>
            <w:vAlign w:val="center"/>
          </w:tcPr>
          <w:p w14:paraId="4EA90860">
            <w:pPr>
              <w:pStyle w:val="19"/>
              <w:jc w:val="center"/>
              <w:rPr>
                <w:color w:val="auto"/>
              </w:rPr>
            </w:pPr>
          </w:p>
        </w:tc>
      </w:tr>
      <w:tr w14:paraId="7C723CB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jc w:val="center"/>
        </w:trPr>
        <w:tc>
          <w:tcPr>
            <w:tcW w:w="3271" w:type="dxa"/>
            <w:noWrap w:val="0"/>
            <w:vAlign w:val="center"/>
          </w:tcPr>
          <w:p w14:paraId="244709A2">
            <w:pPr>
              <w:spacing w:before="124" w:line="198" w:lineRule="auto"/>
              <w:ind w:left="104"/>
              <w:jc w:val="center"/>
              <w:rPr>
                <w:rFonts w:ascii="宋体" w:hAnsi="宋体" w:eastAsia="宋体" w:cs="宋体"/>
                <w:color w:val="auto"/>
                <w:sz w:val="20"/>
                <w:szCs w:val="20"/>
              </w:rPr>
            </w:pPr>
            <w:r>
              <w:rPr>
                <w:rFonts w:ascii="宋体" w:hAnsi="宋体" w:eastAsia="宋体" w:cs="宋体"/>
                <w:color w:val="auto"/>
                <w:spacing w:val="3"/>
                <w:sz w:val="20"/>
                <w:szCs w:val="20"/>
              </w:rPr>
              <w:t>公用经费</w:t>
            </w:r>
          </w:p>
        </w:tc>
        <w:tc>
          <w:tcPr>
            <w:tcW w:w="1997" w:type="dxa"/>
            <w:gridSpan w:val="2"/>
            <w:noWrap w:val="0"/>
            <w:vAlign w:val="center"/>
          </w:tcPr>
          <w:p w14:paraId="32116031">
            <w:pPr>
              <w:pStyle w:val="19"/>
              <w:jc w:val="center"/>
              <w:rPr>
                <w:color w:val="auto"/>
              </w:rPr>
            </w:pPr>
            <w:r>
              <w:rPr>
                <w:rFonts w:hint="eastAsia" w:ascii="宋体" w:hAnsi="宋体" w:eastAsia="宋体"/>
                <w:color w:val="auto"/>
                <w:lang w:eastAsia="zh-CN"/>
              </w:rPr>
              <w:t>230.11</w:t>
            </w:r>
          </w:p>
        </w:tc>
        <w:tc>
          <w:tcPr>
            <w:tcW w:w="2168" w:type="dxa"/>
            <w:gridSpan w:val="2"/>
            <w:noWrap w:val="0"/>
            <w:vAlign w:val="center"/>
          </w:tcPr>
          <w:p w14:paraId="28B3A9C9">
            <w:pPr>
              <w:pStyle w:val="19"/>
              <w:jc w:val="center"/>
              <w:rPr>
                <w:color w:val="auto"/>
              </w:rPr>
            </w:pPr>
            <w:r>
              <w:rPr>
                <w:rFonts w:hint="eastAsia" w:ascii="宋体" w:hAnsi="宋体" w:eastAsia="宋体"/>
                <w:color w:val="auto"/>
                <w:lang w:eastAsia="zh-CN"/>
              </w:rPr>
              <w:t>216.52</w:t>
            </w:r>
          </w:p>
        </w:tc>
        <w:tc>
          <w:tcPr>
            <w:tcW w:w="1993" w:type="dxa"/>
            <w:gridSpan w:val="2"/>
            <w:noWrap w:val="0"/>
            <w:vAlign w:val="center"/>
          </w:tcPr>
          <w:p w14:paraId="4B1CA38D">
            <w:pPr>
              <w:pStyle w:val="19"/>
              <w:jc w:val="center"/>
              <w:rPr>
                <w:color w:val="auto"/>
              </w:rPr>
            </w:pPr>
            <w:r>
              <w:rPr>
                <w:rFonts w:hint="eastAsia" w:ascii="宋体" w:hAnsi="宋体" w:eastAsia="宋体"/>
                <w:color w:val="auto"/>
                <w:lang w:eastAsia="zh-CN"/>
              </w:rPr>
              <w:t>155.52</w:t>
            </w:r>
          </w:p>
        </w:tc>
      </w:tr>
      <w:tr w14:paraId="0688154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9" w:hRule="atLeast"/>
          <w:jc w:val="center"/>
        </w:trPr>
        <w:tc>
          <w:tcPr>
            <w:tcW w:w="3271" w:type="dxa"/>
            <w:noWrap w:val="0"/>
            <w:vAlign w:val="center"/>
          </w:tcPr>
          <w:p w14:paraId="622DFAE3">
            <w:pPr>
              <w:spacing w:before="135" w:line="188" w:lineRule="auto"/>
              <w:ind w:left="515"/>
              <w:jc w:val="center"/>
              <w:rPr>
                <w:rFonts w:ascii="宋体" w:hAnsi="宋体" w:eastAsia="宋体" w:cs="宋体"/>
                <w:color w:val="auto"/>
                <w:sz w:val="20"/>
                <w:szCs w:val="20"/>
              </w:rPr>
            </w:pPr>
            <w:r>
              <w:rPr>
                <w:rFonts w:ascii="宋体" w:hAnsi="宋体" w:eastAsia="宋体" w:cs="宋体"/>
                <w:color w:val="auto"/>
                <w:spacing w:val="1"/>
                <w:sz w:val="20"/>
                <w:szCs w:val="20"/>
              </w:rPr>
              <w:t>其中：办公经费</w:t>
            </w:r>
          </w:p>
        </w:tc>
        <w:tc>
          <w:tcPr>
            <w:tcW w:w="1997" w:type="dxa"/>
            <w:gridSpan w:val="2"/>
            <w:noWrap w:val="0"/>
            <w:vAlign w:val="center"/>
          </w:tcPr>
          <w:p w14:paraId="6F923F61">
            <w:pPr>
              <w:pStyle w:val="19"/>
              <w:jc w:val="center"/>
              <w:rPr>
                <w:rFonts w:eastAsia="宋体"/>
                <w:color w:val="auto"/>
                <w:lang w:eastAsia="zh-CN"/>
              </w:rPr>
            </w:pPr>
            <w:r>
              <w:rPr>
                <w:rFonts w:hint="eastAsia" w:eastAsia="宋体"/>
                <w:color w:val="auto"/>
                <w:lang w:eastAsia="zh-CN"/>
              </w:rPr>
              <w:t>31.86</w:t>
            </w:r>
          </w:p>
        </w:tc>
        <w:tc>
          <w:tcPr>
            <w:tcW w:w="2168" w:type="dxa"/>
            <w:gridSpan w:val="2"/>
            <w:noWrap w:val="0"/>
            <w:vAlign w:val="center"/>
          </w:tcPr>
          <w:p w14:paraId="03092BDA">
            <w:pPr>
              <w:pStyle w:val="19"/>
              <w:jc w:val="center"/>
              <w:rPr>
                <w:rFonts w:eastAsia="宋体"/>
                <w:color w:val="auto"/>
                <w:lang w:eastAsia="zh-CN"/>
              </w:rPr>
            </w:pPr>
            <w:r>
              <w:rPr>
                <w:rFonts w:hint="eastAsia" w:eastAsia="宋体"/>
                <w:color w:val="auto"/>
                <w:lang w:eastAsia="zh-CN"/>
              </w:rPr>
              <w:t>36.08</w:t>
            </w:r>
          </w:p>
        </w:tc>
        <w:tc>
          <w:tcPr>
            <w:tcW w:w="1993" w:type="dxa"/>
            <w:gridSpan w:val="2"/>
            <w:noWrap w:val="0"/>
            <w:vAlign w:val="center"/>
          </w:tcPr>
          <w:p w14:paraId="083B6104">
            <w:pPr>
              <w:pStyle w:val="19"/>
              <w:jc w:val="center"/>
              <w:rPr>
                <w:rFonts w:eastAsia="宋体"/>
                <w:color w:val="auto"/>
                <w:lang w:eastAsia="zh-CN"/>
              </w:rPr>
            </w:pPr>
            <w:r>
              <w:rPr>
                <w:rFonts w:hint="eastAsia" w:eastAsia="宋体"/>
                <w:color w:val="auto"/>
                <w:lang w:eastAsia="zh-CN"/>
              </w:rPr>
              <w:t>27.75</w:t>
            </w:r>
          </w:p>
        </w:tc>
      </w:tr>
      <w:tr w14:paraId="225C627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0" w:hRule="atLeast"/>
          <w:jc w:val="center"/>
        </w:trPr>
        <w:tc>
          <w:tcPr>
            <w:tcW w:w="3271" w:type="dxa"/>
            <w:noWrap w:val="0"/>
            <w:vAlign w:val="center"/>
          </w:tcPr>
          <w:p w14:paraId="33879582">
            <w:pPr>
              <w:spacing w:before="156" w:line="188" w:lineRule="auto"/>
              <w:ind w:left="1095"/>
              <w:jc w:val="center"/>
              <w:rPr>
                <w:rFonts w:ascii="宋体" w:hAnsi="宋体" w:eastAsia="宋体" w:cs="宋体"/>
                <w:color w:val="auto"/>
                <w:sz w:val="20"/>
                <w:szCs w:val="20"/>
              </w:rPr>
            </w:pPr>
            <w:r>
              <w:rPr>
                <w:rFonts w:ascii="宋体" w:hAnsi="宋体" w:eastAsia="宋体" w:cs="宋体"/>
                <w:color w:val="auto"/>
                <w:spacing w:val="1"/>
                <w:sz w:val="20"/>
                <w:szCs w:val="20"/>
              </w:rPr>
              <w:t>水费、电费、差旅费</w:t>
            </w:r>
          </w:p>
        </w:tc>
        <w:tc>
          <w:tcPr>
            <w:tcW w:w="1997" w:type="dxa"/>
            <w:gridSpan w:val="2"/>
            <w:noWrap w:val="0"/>
            <w:vAlign w:val="center"/>
          </w:tcPr>
          <w:p w14:paraId="3E3136A2">
            <w:pPr>
              <w:pStyle w:val="19"/>
              <w:jc w:val="center"/>
              <w:rPr>
                <w:rFonts w:eastAsia="宋体"/>
                <w:color w:val="auto"/>
                <w:lang w:eastAsia="zh-CN"/>
              </w:rPr>
            </w:pPr>
            <w:r>
              <w:rPr>
                <w:rFonts w:hint="eastAsia" w:eastAsia="宋体"/>
                <w:color w:val="auto"/>
                <w:lang w:eastAsia="zh-CN"/>
              </w:rPr>
              <w:t>17.79</w:t>
            </w:r>
          </w:p>
        </w:tc>
        <w:tc>
          <w:tcPr>
            <w:tcW w:w="2168" w:type="dxa"/>
            <w:gridSpan w:val="2"/>
            <w:noWrap w:val="0"/>
            <w:vAlign w:val="center"/>
          </w:tcPr>
          <w:p w14:paraId="615F077F">
            <w:pPr>
              <w:pStyle w:val="19"/>
              <w:jc w:val="center"/>
              <w:rPr>
                <w:rFonts w:eastAsia="宋体"/>
                <w:color w:val="auto"/>
                <w:lang w:eastAsia="zh-CN"/>
              </w:rPr>
            </w:pPr>
            <w:r>
              <w:rPr>
                <w:rFonts w:hint="eastAsia" w:eastAsia="宋体"/>
                <w:color w:val="auto"/>
                <w:lang w:eastAsia="zh-CN"/>
              </w:rPr>
              <w:t>24</w:t>
            </w:r>
          </w:p>
        </w:tc>
        <w:tc>
          <w:tcPr>
            <w:tcW w:w="1993" w:type="dxa"/>
            <w:gridSpan w:val="2"/>
            <w:noWrap w:val="0"/>
            <w:vAlign w:val="center"/>
          </w:tcPr>
          <w:p w14:paraId="51C63BB9">
            <w:pPr>
              <w:pStyle w:val="19"/>
              <w:jc w:val="center"/>
              <w:rPr>
                <w:rFonts w:eastAsia="宋体"/>
                <w:color w:val="auto"/>
                <w:lang w:eastAsia="zh-CN"/>
              </w:rPr>
            </w:pPr>
            <w:r>
              <w:rPr>
                <w:rFonts w:hint="eastAsia" w:eastAsia="宋体"/>
                <w:color w:val="auto"/>
                <w:lang w:eastAsia="zh-CN"/>
              </w:rPr>
              <w:t>21.89</w:t>
            </w:r>
          </w:p>
        </w:tc>
      </w:tr>
      <w:tr w14:paraId="18E504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0" w:hRule="atLeast"/>
          <w:jc w:val="center"/>
        </w:trPr>
        <w:tc>
          <w:tcPr>
            <w:tcW w:w="3271" w:type="dxa"/>
            <w:noWrap w:val="0"/>
            <w:vAlign w:val="center"/>
          </w:tcPr>
          <w:p w14:paraId="268F597C">
            <w:pPr>
              <w:spacing w:before="145" w:line="189" w:lineRule="auto"/>
              <w:ind w:left="924"/>
              <w:jc w:val="center"/>
              <w:rPr>
                <w:rFonts w:ascii="宋体" w:hAnsi="宋体" w:eastAsia="宋体" w:cs="宋体"/>
                <w:color w:val="auto"/>
                <w:sz w:val="20"/>
                <w:szCs w:val="20"/>
              </w:rPr>
            </w:pPr>
            <w:r>
              <w:rPr>
                <w:rFonts w:ascii="宋体" w:hAnsi="宋体" w:eastAsia="宋体" w:cs="宋体"/>
                <w:color w:val="auto"/>
                <w:spacing w:val="-1"/>
                <w:sz w:val="20"/>
                <w:szCs w:val="20"/>
              </w:rPr>
              <w:t>会议费、培训费</w:t>
            </w:r>
          </w:p>
        </w:tc>
        <w:tc>
          <w:tcPr>
            <w:tcW w:w="1997" w:type="dxa"/>
            <w:gridSpan w:val="2"/>
            <w:noWrap w:val="0"/>
            <w:vAlign w:val="center"/>
          </w:tcPr>
          <w:p w14:paraId="5DDD4D05">
            <w:pPr>
              <w:pStyle w:val="19"/>
              <w:jc w:val="center"/>
              <w:rPr>
                <w:rFonts w:eastAsia="宋体"/>
                <w:color w:val="auto"/>
                <w:lang w:eastAsia="zh-CN"/>
              </w:rPr>
            </w:pPr>
            <w:r>
              <w:rPr>
                <w:rFonts w:hint="eastAsia" w:eastAsia="宋体"/>
                <w:color w:val="auto"/>
                <w:lang w:eastAsia="zh-CN"/>
              </w:rPr>
              <w:t>2.92</w:t>
            </w:r>
          </w:p>
        </w:tc>
        <w:tc>
          <w:tcPr>
            <w:tcW w:w="2168" w:type="dxa"/>
            <w:gridSpan w:val="2"/>
            <w:noWrap w:val="0"/>
            <w:vAlign w:val="center"/>
          </w:tcPr>
          <w:p w14:paraId="7CBB1557">
            <w:pPr>
              <w:pStyle w:val="19"/>
              <w:jc w:val="center"/>
              <w:rPr>
                <w:rFonts w:hint="eastAsia" w:eastAsia="宋体"/>
                <w:color w:val="auto"/>
                <w:lang w:eastAsia="zh-CN"/>
              </w:rPr>
            </w:pPr>
            <w:r>
              <w:rPr>
                <w:rFonts w:hint="eastAsia" w:eastAsia="宋体"/>
                <w:color w:val="auto"/>
                <w:lang w:eastAsia="zh-CN"/>
              </w:rPr>
              <w:t>4</w:t>
            </w:r>
          </w:p>
        </w:tc>
        <w:tc>
          <w:tcPr>
            <w:tcW w:w="1993" w:type="dxa"/>
            <w:gridSpan w:val="2"/>
            <w:noWrap w:val="0"/>
            <w:vAlign w:val="center"/>
          </w:tcPr>
          <w:p w14:paraId="6B894ACC">
            <w:pPr>
              <w:pStyle w:val="19"/>
              <w:jc w:val="center"/>
              <w:rPr>
                <w:rFonts w:eastAsia="宋体"/>
                <w:color w:val="auto"/>
                <w:lang w:eastAsia="zh-CN"/>
              </w:rPr>
            </w:pPr>
            <w:r>
              <w:rPr>
                <w:rFonts w:hint="eastAsia" w:eastAsia="宋体"/>
                <w:color w:val="auto"/>
                <w:lang w:eastAsia="zh-CN"/>
              </w:rPr>
              <w:t>0.29</w:t>
            </w:r>
          </w:p>
        </w:tc>
      </w:tr>
      <w:tr w14:paraId="787EED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0" w:hRule="atLeast"/>
          <w:jc w:val="center"/>
        </w:trPr>
        <w:tc>
          <w:tcPr>
            <w:tcW w:w="3271" w:type="dxa"/>
            <w:noWrap w:val="0"/>
            <w:vAlign w:val="center"/>
          </w:tcPr>
          <w:p w14:paraId="27B59454">
            <w:pPr>
              <w:spacing w:before="145" w:line="189" w:lineRule="auto"/>
              <w:ind w:left="115"/>
              <w:jc w:val="center"/>
              <w:rPr>
                <w:rFonts w:ascii="宋体" w:hAnsi="宋体" w:eastAsia="宋体" w:cs="宋体"/>
                <w:color w:val="auto"/>
                <w:sz w:val="20"/>
                <w:szCs w:val="20"/>
              </w:rPr>
            </w:pPr>
            <w:r>
              <w:rPr>
                <w:rFonts w:ascii="宋体" w:hAnsi="宋体" w:eastAsia="宋体" w:cs="宋体"/>
                <w:color w:val="auto"/>
                <w:spacing w:val="-1"/>
                <w:sz w:val="20"/>
                <w:szCs w:val="20"/>
              </w:rPr>
              <w:t>政府采购金额</w:t>
            </w:r>
          </w:p>
        </w:tc>
        <w:tc>
          <w:tcPr>
            <w:tcW w:w="1997" w:type="dxa"/>
            <w:gridSpan w:val="2"/>
            <w:noWrap w:val="0"/>
            <w:vAlign w:val="center"/>
          </w:tcPr>
          <w:p w14:paraId="64114D97">
            <w:pPr>
              <w:tabs>
                <w:tab w:val="left" w:pos="875"/>
              </w:tabs>
              <w:spacing w:before="215" w:line="143" w:lineRule="auto"/>
              <w:ind w:left="814"/>
              <w:jc w:val="center"/>
              <w:rPr>
                <w:rFonts w:ascii="宋体" w:hAnsi="宋体" w:eastAsia="宋体" w:cs="宋体"/>
                <w:color w:val="auto"/>
                <w:sz w:val="13"/>
                <w:szCs w:val="13"/>
              </w:rPr>
            </w:pPr>
            <w:r>
              <w:rPr>
                <w:rFonts w:ascii="宋体" w:hAnsi="宋体" w:eastAsia="宋体" w:cs="宋体"/>
                <w:color w:val="auto"/>
                <w:sz w:val="13"/>
                <w:szCs w:val="13"/>
              </w:rPr>
              <w:t>一</w:t>
            </w:r>
          </w:p>
        </w:tc>
        <w:tc>
          <w:tcPr>
            <w:tcW w:w="2168" w:type="dxa"/>
            <w:gridSpan w:val="2"/>
            <w:noWrap w:val="0"/>
            <w:vAlign w:val="center"/>
          </w:tcPr>
          <w:p w14:paraId="154D2813">
            <w:pPr>
              <w:pStyle w:val="19"/>
              <w:jc w:val="center"/>
              <w:rPr>
                <w:rFonts w:eastAsia="宋体"/>
                <w:color w:val="auto"/>
                <w:lang w:eastAsia="zh-CN"/>
              </w:rPr>
            </w:pPr>
            <w:r>
              <w:rPr>
                <w:rFonts w:hint="eastAsia" w:eastAsia="宋体"/>
                <w:color w:val="auto"/>
                <w:lang w:eastAsia="zh-CN"/>
              </w:rPr>
              <w:t>184</w:t>
            </w:r>
          </w:p>
        </w:tc>
        <w:tc>
          <w:tcPr>
            <w:tcW w:w="1993" w:type="dxa"/>
            <w:gridSpan w:val="2"/>
            <w:noWrap w:val="0"/>
            <w:vAlign w:val="center"/>
          </w:tcPr>
          <w:p w14:paraId="1B02699B">
            <w:pPr>
              <w:pStyle w:val="19"/>
              <w:jc w:val="center"/>
              <w:rPr>
                <w:rFonts w:eastAsia="宋体"/>
                <w:color w:val="auto"/>
                <w:lang w:eastAsia="zh-CN"/>
              </w:rPr>
            </w:pPr>
            <w:r>
              <w:rPr>
                <w:rFonts w:hint="eastAsia" w:eastAsia="宋体"/>
                <w:color w:val="auto"/>
                <w:lang w:eastAsia="zh-CN"/>
              </w:rPr>
              <w:t>178.59</w:t>
            </w:r>
          </w:p>
        </w:tc>
      </w:tr>
      <w:tr w14:paraId="22EC67D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0" w:hRule="atLeast"/>
          <w:jc w:val="center"/>
        </w:trPr>
        <w:tc>
          <w:tcPr>
            <w:tcW w:w="3271" w:type="dxa"/>
            <w:noWrap w:val="0"/>
            <w:vAlign w:val="center"/>
          </w:tcPr>
          <w:p w14:paraId="09A47E4A">
            <w:pPr>
              <w:spacing w:before="145" w:line="189" w:lineRule="auto"/>
              <w:ind w:left="104"/>
              <w:jc w:val="center"/>
              <w:rPr>
                <w:rFonts w:ascii="宋体" w:hAnsi="宋体" w:eastAsia="宋体" w:cs="宋体"/>
                <w:color w:val="auto"/>
                <w:sz w:val="20"/>
                <w:szCs w:val="20"/>
                <w:lang w:eastAsia="zh-CN"/>
              </w:rPr>
            </w:pPr>
            <w:r>
              <w:rPr>
                <w:rFonts w:ascii="宋体" w:hAnsi="宋体" w:eastAsia="宋体" w:cs="宋体"/>
                <w:color w:val="auto"/>
                <w:spacing w:val="1"/>
                <w:sz w:val="20"/>
                <w:szCs w:val="20"/>
                <w:lang w:eastAsia="zh-CN"/>
              </w:rPr>
              <w:t>部门基本支出预算调整</w:t>
            </w:r>
          </w:p>
        </w:tc>
        <w:tc>
          <w:tcPr>
            <w:tcW w:w="1997" w:type="dxa"/>
            <w:gridSpan w:val="2"/>
            <w:noWrap w:val="0"/>
            <w:vAlign w:val="center"/>
          </w:tcPr>
          <w:p w14:paraId="3072926C">
            <w:pPr>
              <w:spacing w:before="227" w:line="88" w:lineRule="exact"/>
              <w:ind w:left="864"/>
              <w:jc w:val="center"/>
              <w:rPr>
                <w:rFonts w:ascii="宋体" w:hAnsi="宋体" w:eastAsia="宋体" w:cs="宋体"/>
                <w:color w:val="auto"/>
                <w:sz w:val="13"/>
                <w:szCs w:val="13"/>
              </w:rPr>
            </w:pPr>
            <w:r>
              <w:rPr>
                <w:rFonts w:ascii="宋体" w:hAnsi="宋体" w:eastAsia="宋体" w:cs="宋体"/>
                <w:color w:val="auto"/>
                <w:spacing w:val="-2"/>
                <w:position w:val="-2"/>
                <w:sz w:val="13"/>
                <w:szCs w:val="13"/>
              </w:rPr>
              <w:t>——</w:t>
            </w:r>
          </w:p>
        </w:tc>
        <w:tc>
          <w:tcPr>
            <w:tcW w:w="2168" w:type="dxa"/>
            <w:gridSpan w:val="2"/>
            <w:noWrap w:val="0"/>
            <w:vAlign w:val="center"/>
          </w:tcPr>
          <w:p w14:paraId="27359B94">
            <w:pPr>
              <w:pStyle w:val="19"/>
              <w:jc w:val="center"/>
              <w:rPr>
                <w:color w:val="auto"/>
              </w:rPr>
            </w:pPr>
            <w:r>
              <w:rPr>
                <w:rFonts w:hint="eastAsia" w:ascii="宋体" w:hAnsi="宋体" w:eastAsia="宋体"/>
                <w:color w:val="auto"/>
                <w:lang w:eastAsia="zh-CN"/>
              </w:rPr>
              <w:t>2263.34</w:t>
            </w:r>
          </w:p>
        </w:tc>
        <w:tc>
          <w:tcPr>
            <w:tcW w:w="1993" w:type="dxa"/>
            <w:gridSpan w:val="2"/>
            <w:noWrap w:val="0"/>
            <w:vAlign w:val="center"/>
          </w:tcPr>
          <w:p w14:paraId="06645485">
            <w:pPr>
              <w:pStyle w:val="19"/>
              <w:jc w:val="center"/>
              <w:rPr>
                <w:color w:val="auto"/>
              </w:rPr>
            </w:pPr>
            <w:r>
              <w:rPr>
                <w:rFonts w:hint="eastAsia" w:ascii="宋体" w:hAnsi="宋体" w:eastAsia="宋体"/>
                <w:color w:val="auto"/>
                <w:lang w:eastAsia="zh-CN"/>
              </w:rPr>
              <w:t>2096.96</w:t>
            </w:r>
          </w:p>
        </w:tc>
      </w:tr>
      <w:tr w14:paraId="47779BB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59" w:hRule="atLeast"/>
          <w:jc w:val="center"/>
        </w:trPr>
        <w:tc>
          <w:tcPr>
            <w:tcW w:w="3271" w:type="dxa"/>
            <w:vMerge w:val="restart"/>
            <w:tcBorders>
              <w:bottom w:val="nil"/>
            </w:tcBorders>
            <w:noWrap w:val="0"/>
            <w:vAlign w:val="center"/>
          </w:tcPr>
          <w:p w14:paraId="399E2797">
            <w:pPr>
              <w:pStyle w:val="19"/>
              <w:spacing w:line="428" w:lineRule="auto"/>
              <w:jc w:val="center"/>
              <w:rPr>
                <w:color w:val="auto"/>
                <w:lang w:eastAsia="zh-CN"/>
              </w:rPr>
            </w:pPr>
          </w:p>
          <w:p w14:paraId="344AAC91">
            <w:pPr>
              <w:spacing w:before="65" w:line="319" w:lineRule="auto"/>
              <w:ind w:left="824" w:right="792"/>
              <w:jc w:val="center"/>
              <w:rPr>
                <w:rFonts w:ascii="宋体" w:hAnsi="宋体" w:eastAsia="宋体" w:cs="宋体"/>
                <w:color w:val="auto"/>
                <w:sz w:val="20"/>
                <w:szCs w:val="20"/>
                <w:lang w:eastAsia="zh-CN"/>
              </w:rPr>
            </w:pPr>
            <w:r>
              <w:rPr>
                <w:rFonts w:ascii="宋体" w:hAnsi="宋体" w:eastAsia="宋体" w:cs="宋体"/>
                <w:color w:val="auto"/>
                <w:spacing w:val="-1"/>
                <w:sz w:val="20"/>
                <w:szCs w:val="20"/>
                <w:lang w:eastAsia="zh-CN"/>
              </w:rPr>
              <w:t>楼堂馆所控制情况</w:t>
            </w:r>
            <w:r>
              <w:rPr>
                <w:rFonts w:ascii="宋体" w:hAnsi="宋体" w:eastAsia="宋体" w:cs="宋体"/>
                <w:color w:val="auto"/>
                <w:sz w:val="20"/>
                <w:szCs w:val="20"/>
                <w:lang w:eastAsia="zh-CN"/>
              </w:rPr>
              <w:t xml:space="preserve"> </w:t>
            </w:r>
            <w:r>
              <w:rPr>
                <w:rFonts w:ascii="宋体" w:hAnsi="宋体" w:eastAsia="宋体" w:cs="宋体"/>
                <w:color w:val="auto"/>
                <w:spacing w:val="3"/>
                <w:sz w:val="20"/>
                <w:szCs w:val="20"/>
                <w:lang w:eastAsia="zh-CN"/>
              </w:rPr>
              <w:t>(2024年完工项目)</w:t>
            </w:r>
          </w:p>
        </w:tc>
        <w:tc>
          <w:tcPr>
            <w:tcW w:w="1158" w:type="dxa"/>
            <w:noWrap w:val="0"/>
            <w:vAlign w:val="center"/>
          </w:tcPr>
          <w:p w14:paraId="260A4AE0">
            <w:pPr>
              <w:pStyle w:val="19"/>
              <w:jc w:val="center"/>
              <w:rPr>
                <w:color w:val="auto"/>
                <w:lang w:eastAsia="zh-CN"/>
              </w:rPr>
            </w:pPr>
          </w:p>
          <w:p w14:paraId="6614B2C4">
            <w:pPr>
              <w:spacing w:before="65" w:line="314" w:lineRule="auto"/>
              <w:ind w:left="323" w:right="180" w:hanging="149"/>
              <w:jc w:val="center"/>
              <w:rPr>
                <w:rFonts w:ascii="宋体" w:hAnsi="宋体" w:eastAsia="宋体" w:cs="宋体"/>
                <w:color w:val="auto"/>
                <w:sz w:val="20"/>
                <w:szCs w:val="20"/>
              </w:rPr>
            </w:pPr>
            <w:r>
              <w:rPr>
                <w:rFonts w:ascii="宋体" w:hAnsi="宋体" w:eastAsia="宋体" w:cs="宋体"/>
                <w:color w:val="auto"/>
                <w:spacing w:val="-2"/>
                <w:sz w:val="20"/>
                <w:szCs w:val="20"/>
              </w:rPr>
              <w:t>批复规模</w:t>
            </w:r>
            <w:r>
              <w:rPr>
                <w:rFonts w:ascii="宋体" w:hAnsi="宋体" w:eastAsia="宋体" w:cs="宋体"/>
                <w:color w:val="auto"/>
                <w:sz w:val="20"/>
                <w:szCs w:val="20"/>
              </w:rPr>
              <w:t xml:space="preserve"> </w:t>
            </w:r>
            <w:r>
              <w:rPr>
                <w:rFonts w:ascii="宋体" w:hAnsi="宋体" w:eastAsia="宋体" w:cs="宋体"/>
                <w:color w:val="auto"/>
                <w:spacing w:val="-9"/>
                <w:sz w:val="20"/>
                <w:szCs w:val="20"/>
              </w:rPr>
              <w:t>(m²)</w:t>
            </w:r>
          </w:p>
        </w:tc>
        <w:tc>
          <w:tcPr>
            <w:tcW w:w="839" w:type="dxa"/>
            <w:noWrap w:val="0"/>
            <w:vAlign w:val="center"/>
          </w:tcPr>
          <w:p w14:paraId="4BA64182">
            <w:pPr>
              <w:pStyle w:val="19"/>
              <w:jc w:val="center"/>
              <w:rPr>
                <w:color w:val="auto"/>
              </w:rPr>
            </w:pPr>
          </w:p>
          <w:p w14:paraId="7419E9B8">
            <w:pPr>
              <w:spacing w:before="65" w:line="300" w:lineRule="auto"/>
              <w:ind w:left="65" w:right="19" w:firstLine="49"/>
              <w:jc w:val="center"/>
              <w:rPr>
                <w:rFonts w:ascii="宋体" w:hAnsi="宋体" w:eastAsia="宋体" w:cs="宋体"/>
                <w:color w:val="auto"/>
                <w:sz w:val="20"/>
                <w:szCs w:val="20"/>
              </w:rPr>
            </w:pPr>
            <w:r>
              <w:rPr>
                <w:rFonts w:ascii="宋体" w:hAnsi="宋体" w:eastAsia="宋体" w:cs="宋体"/>
                <w:color w:val="auto"/>
                <w:spacing w:val="2"/>
                <w:sz w:val="20"/>
                <w:szCs w:val="20"/>
              </w:rPr>
              <w:t>实际规</w:t>
            </w:r>
            <w:r>
              <w:rPr>
                <w:rFonts w:ascii="宋体" w:hAnsi="宋体" w:eastAsia="宋体" w:cs="宋体"/>
                <w:color w:val="auto"/>
                <w:sz w:val="20"/>
                <w:szCs w:val="20"/>
              </w:rPr>
              <w:t xml:space="preserve">  </w:t>
            </w:r>
            <w:r>
              <w:rPr>
                <w:rFonts w:ascii="宋体" w:hAnsi="宋体" w:eastAsia="宋体" w:cs="宋体"/>
                <w:color w:val="auto"/>
                <w:spacing w:val="28"/>
                <w:sz w:val="20"/>
                <w:szCs w:val="20"/>
              </w:rPr>
              <w:t>模(m²)</w:t>
            </w:r>
          </w:p>
        </w:tc>
        <w:tc>
          <w:tcPr>
            <w:tcW w:w="1099" w:type="dxa"/>
            <w:noWrap w:val="0"/>
            <w:vAlign w:val="center"/>
          </w:tcPr>
          <w:p w14:paraId="6C60FBD5">
            <w:pPr>
              <w:spacing w:before="305" w:line="301" w:lineRule="auto"/>
              <w:ind w:left="446" w:right="124" w:hanging="300"/>
              <w:jc w:val="center"/>
              <w:rPr>
                <w:rFonts w:ascii="宋体" w:hAnsi="宋体" w:eastAsia="宋体" w:cs="宋体"/>
                <w:color w:val="auto"/>
                <w:sz w:val="20"/>
                <w:szCs w:val="20"/>
              </w:rPr>
            </w:pPr>
            <w:r>
              <w:rPr>
                <w:rFonts w:ascii="宋体" w:hAnsi="宋体" w:eastAsia="宋体" w:cs="宋体"/>
                <w:color w:val="auto"/>
                <w:spacing w:val="4"/>
                <w:sz w:val="20"/>
                <w:szCs w:val="20"/>
              </w:rPr>
              <w:t>规模控制</w:t>
            </w:r>
            <w:r>
              <w:rPr>
                <w:rFonts w:ascii="宋体" w:hAnsi="宋体" w:eastAsia="宋体" w:cs="宋体"/>
                <w:color w:val="auto"/>
                <w:sz w:val="20"/>
                <w:szCs w:val="20"/>
              </w:rPr>
              <w:t xml:space="preserve"> 率</w:t>
            </w:r>
          </w:p>
        </w:tc>
        <w:tc>
          <w:tcPr>
            <w:tcW w:w="1069" w:type="dxa"/>
            <w:noWrap w:val="0"/>
            <w:vAlign w:val="center"/>
          </w:tcPr>
          <w:p w14:paraId="1262219F">
            <w:pPr>
              <w:spacing w:before="306" w:line="219" w:lineRule="auto"/>
              <w:ind w:left="128"/>
              <w:jc w:val="center"/>
              <w:rPr>
                <w:rFonts w:ascii="宋体" w:hAnsi="宋体" w:eastAsia="宋体" w:cs="宋体"/>
                <w:color w:val="auto"/>
                <w:sz w:val="20"/>
                <w:szCs w:val="20"/>
              </w:rPr>
            </w:pPr>
            <w:r>
              <w:rPr>
                <w:rFonts w:ascii="宋体" w:hAnsi="宋体" w:eastAsia="宋体" w:cs="宋体"/>
                <w:color w:val="auto"/>
                <w:spacing w:val="3"/>
                <w:sz w:val="20"/>
                <w:szCs w:val="20"/>
              </w:rPr>
              <w:t>预算投资</w:t>
            </w:r>
          </w:p>
          <w:p w14:paraId="1E8010B7">
            <w:pPr>
              <w:spacing w:before="103" w:line="220" w:lineRule="auto"/>
              <w:ind w:left="228"/>
              <w:jc w:val="center"/>
              <w:rPr>
                <w:rFonts w:ascii="宋体" w:hAnsi="宋体" w:eastAsia="宋体" w:cs="宋体"/>
                <w:color w:val="auto"/>
                <w:sz w:val="20"/>
                <w:szCs w:val="20"/>
              </w:rPr>
            </w:pPr>
            <w:r>
              <w:rPr>
                <w:rFonts w:ascii="宋体" w:hAnsi="宋体" w:eastAsia="宋体" w:cs="宋体"/>
                <w:color w:val="auto"/>
                <w:spacing w:val="10"/>
                <w:sz w:val="20"/>
                <w:szCs w:val="20"/>
              </w:rPr>
              <w:t>(万元)</w:t>
            </w:r>
          </w:p>
        </w:tc>
        <w:tc>
          <w:tcPr>
            <w:tcW w:w="1049" w:type="dxa"/>
            <w:noWrap w:val="0"/>
            <w:vAlign w:val="center"/>
          </w:tcPr>
          <w:p w14:paraId="3EBA7C97">
            <w:pPr>
              <w:pStyle w:val="19"/>
              <w:jc w:val="center"/>
              <w:rPr>
                <w:color w:val="auto"/>
              </w:rPr>
            </w:pPr>
          </w:p>
          <w:p w14:paraId="5BEF99B8">
            <w:pPr>
              <w:spacing w:before="65" w:line="220" w:lineRule="auto"/>
              <w:ind w:left="119"/>
              <w:jc w:val="center"/>
              <w:rPr>
                <w:rFonts w:ascii="宋体" w:hAnsi="宋体" w:eastAsia="宋体" w:cs="宋体"/>
                <w:color w:val="auto"/>
                <w:sz w:val="20"/>
                <w:szCs w:val="20"/>
              </w:rPr>
            </w:pPr>
            <w:r>
              <w:rPr>
                <w:rFonts w:ascii="宋体" w:hAnsi="宋体" w:eastAsia="宋体" w:cs="宋体"/>
                <w:color w:val="auto"/>
                <w:spacing w:val="3"/>
                <w:sz w:val="20"/>
                <w:szCs w:val="20"/>
              </w:rPr>
              <w:t>实际投资</w:t>
            </w:r>
          </w:p>
          <w:p w14:paraId="47BF5698">
            <w:pPr>
              <w:spacing w:before="101" w:line="220" w:lineRule="auto"/>
              <w:ind w:left="219"/>
              <w:jc w:val="center"/>
              <w:rPr>
                <w:rFonts w:ascii="宋体" w:hAnsi="宋体" w:eastAsia="宋体" w:cs="宋体"/>
                <w:color w:val="auto"/>
                <w:sz w:val="20"/>
                <w:szCs w:val="20"/>
              </w:rPr>
            </w:pPr>
            <w:r>
              <w:rPr>
                <w:rFonts w:ascii="宋体" w:hAnsi="宋体" w:eastAsia="宋体" w:cs="宋体"/>
                <w:color w:val="auto"/>
                <w:spacing w:val="10"/>
                <w:sz w:val="20"/>
                <w:szCs w:val="20"/>
              </w:rPr>
              <w:t>(万元)</w:t>
            </w:r>
          </w:p>
        </w:tc>
        <w:tc>
          <w:tcPr>
            <w:tcW w:w="944" w:type="dxa"/>
            <w:noWrap w:val="0"/>
            <w:vAlign w:val="center"/>
          </w:tcPr>
          <w:p w14:paraId="3B623523">
            <w:pPr>
              <w:spacing w:before="136" w:line="219" w:lineRule="auto"/>
              <w:ind w:left="169"/>
              <w:jc w:val="center"/>
              <w:rPr>
                <w:rFonts w:ascii="宋体" w:hAnsi="宋体" w:eastAsia="宋体" w:cs="宋体"/>
                <w:color w:val="auto"/>
                <w:sz w:val="20"/>
                <w:szCs w:val="20"/>
              </w:rPr>
            </w:pPr>
            <w:r>
              <w:rPr>
                <w:rFonts w:ascii="宋体" w:hAnsi="宋体" w:eastAsia="宋体" w:cs="宋体"/>
                <w:color w:val="auto"/>
                <w:spacing w:val="-3"/>
                <w:sz w:val="20"/>
                <w:szCs w:val="20"/>
              </w:rPr>
              <w:t>投资概</w:t>
            </w:r>
          </w:p>
          <w:p w14:paraId="61D20543">
            <w:pPr>
              <w:spacing w:before="132" w:line="219" w:lineRule="auto"/>
              <w:ind w:left="169"/>
              <w:jc w:val="center"/>
              <w:rPr>
                <w:rFonts w:ascii="宋体" w:hAnsi="宋体" w:eastAsia="宋体" w:cs="宋体"/>
                <w:color w:val="auto"/>
                <w:sz w:val="20"/>
                <w:szCs w:val="20"/>
              </w:rPr>
            </w:pPr>
            <w:r>
              <w:rPr>
                <w:rFonts w:ascii="宋体" w:hAnsi="宋体" w:eastAsia="宋体" w:cs="宋体"/>
                <w:color w:val="auto"/>
                <w:spacing w:val="5"/>
                <w:sz w:val="20"/>
                <w:szCs w:val="20"/>
              </w:rPr>
              <w:t>算控制</w:t>
            </w:r>
          </w:p>
          <w:p w14:paraId="0B89AAEF">
            <w:pPr>
              <w:spacing w:before="72" w:line="215" w:lineRule="auto"/>
              <w:ind w:left="369"/>
              <w:jc w:val="center"/>
              <w:rPr>
                <w:rFonts w:ascii="宋体" w:hAnsi="宋体" w:eastAsia="宋体" w:cs="宋体"/>
                <w:color w:val="auto"/>
                <w:sz w:val="20"/>
                <w:szCs w:val="20"/>
              </w:rPr>
            </w:pPr>
            <w:r>
              <w:rPr>
                <w:rFonts w:ascii="宋体" w:hAnsi="宋体" w:eastAsia="宋体" w:cs="宋体"/>
                <w:color w:val="auto"/>
                <w:sz w:val="20"/>
                <w:szCs w:val="20"/>
              </w:rPr>
              <w:t>率</w:t>
            </w:r>
          </w:p>
        </w:tc>
      </w:tr>
      <w:tr w14:paraId="2F6CB90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0" w:hRule="atLeast"/>
          <w:jc w:val="center"/>
        </w:trPr>
        <w:tc>
          <w:tcPr>
            <w:tcW w:w="3271" w:type="dxa"/>
            <w:vMerge w:val="continue"/>
            <w:tcBorders>
              <w:top w:val="nil"/>
            </w:tcBorders>
            <w:noWrap w:val="0"/>
            <w:vAlign w:val="center"/>
          </w:tcPr>
          <w:p w14:paraId="70B312BB">
            <w:pPr>
              <w:pStyle w:val="19"/>
              <w:jc w:val="center"/>
              <w:rPr>
                <w:color w:val="auto"/>
              </w:rPr>
            </w:pPr>
          </w:p>
        </w:tc>
        <w:tc>
          <w:tcPr>
            <w:tcW w:w="1158" w:type="dxa"/>
            <w:noWrap w:val="0"/>
            <w:vAlign w:val="center"/>
          </w:tcPr>
          <w:p w14:paraId="203E6430">
            <w:pPr>
              <w:pStyle w:val="19"/>
              <w:jc w:val="center"/>
              <w:rPr>
                <w:color w:val="auto"/>
              </w:rPr>
            </w:pPr>
          </w:p>
        </w:tc>
        <w:tc>
          <w:tcPr>
            <w:tcW w:w="839" w:type="dxa"/>
            <w:noWrap w:val="0"/>
            <w:vAlign w:val="center"/>
          </w:tcPr>
          <w:p w14:paraId="5B18A8BE">
            <w:pPr>
              <w:pStyle w:val="19"/>
              <w:jc w:val="center"/>
              <w:rPr>
                <w:color w:val="auto"/>
              </w:rPr>
            </w:pPr>
          </w:p>
        </w:tc>
        <w:tc>
          <w:tcPr>
            <w:tcW w:w="1099" w:type="dxa"/>
            <w:noWrap w:val="0"/>
            <w:vAlign w:val="center"/>
          </w:tcPr>
          <w:p w14:paraId="3FF952E3">
            <w:pPr>
              <w:pStyle w:val="19"/>
              <w:jc w:val="center"/>
              <w:rPr>
                <w:color w:val="auto"/>
              </w:rPr>
            </w:pPr>
          </w:p>
        </w:tc>
        <w:tc>
          <w:tcPr>
            <w:tcW w:w="1069" w:type="dxa"/>
            <w:noWrap w:val="0"/>
            <w:vAlign w:val="center"/>
          </w:tcPr>
          <w:p w14:paraId="4B0D3ADE">
            <w:pPr>
              <w:pStyle w:val="19"/>
              <w:jc w:val="center"/>
              <w:rPr>
                <w:color w:val="auto"/>
              </w:rPr>
            </w:pPr>
          </w:p>
        </w:tc>
        <w:tc>
          <w:tcPr>
            <w:tcW w:w="1049" w:type="dxa"/>
            <w:noWrap w:val="0"/>
            <w:vAlign w:val="center"/>
          </w:tcPr>
          <w:p w14:paraId="7548D988">
            <w:pPr>
              <w:pStyle w:val="19"/>
              <w:jc w:val="center"/>
              <w:rPr>
                <w:color w:val="auto"/>
              </w:rPr>
            </w:pPr>
          </w:p>
        </w:tc>
        <w:tc>
          <w:tcPr>
            <w:tcW w:w="944" w:type="dxa"/>
            <w:noWrap w:val="0"/>
            <w:vAlign w:val="center"/>
          </w:tcPr>
          <w:p w14:paraId="4CB5233D">
            <w:pPr>
              <w:pStyle w:val="19"/>
              <w:jc w:val="center"/>
              <w:rPr>
                <w:color w:val="auto"/>
              </w:rPr>
            </w:pPr>
          </w:p>
        </w:tc>
      </w:tr>
      <w:tr w14:paraId="32AEA30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4" w:hRule="atLeast"/>
          <w:jc w:val="center"/>
        </w:trPr>
        <w:tc>
          <w:tcPr>
            <w:tcW w:w="3271" w:type="dxa"/>
            <w:noWrap w:val="0"/>
            <w:vAlign w:val="center"/>
          </w:tcPr>
          <w:p w14:paraId="46FA1258">
            <w:pPr>
              <w:spacing w:before="146" w:line="182" w:lineRule="auto"/>
              <w:ind w:left="824"/>
              <w:jc w:val="center"/>
              <w:rPr>
                <w:rFonts w:ascii="宋体" w:hAnsi="宋体" w:eastAsia="宋体" w:cs="宋体"/>
                <w:color w:val="auto"/>
                <w:sz w:val="20"/>
                <w:szCs w:val="20"/>
              </w:rPr>
            </w:pPr>
            <w:r>
              <w:rPr>
                <w:rFonts w:ascii="宋体" w:hAnsi="宋体" w:eastAsia="宋体" w:cs="宋体"/>
                <w:color w:val="auto"/>
                <w:spacing w:val="1"/>
                <w:sz w:val="20"/>
                <w:szCs w:val="20"/>
              </w:rPr>
              <w:t>厉行节约保障措施</w:t>
            </w:r>
          </w:p>
        </w:tc>
        <w:tc>
          <w:tcPr>
            <w:tcW w:w="6158" w:type="dxa"/>
            <w:gridSpan w:val="6"/>
            <w:noWrap w:val="0"/>
            <w:vAlign w:val="center"/>
          </w:tcPr>
          <w:p w14:paraId="4EC3627D">
            <w:pPr>
              <w:pStyle w:val="19"/>
              <w:jc w:val="center"/>
              <w:rPr>
                <w:color w:val="auto"/>
              </w:rPr>
            </w:pPr>
          </w:p>
        </w:tc>
      </w:tr>
    </w:tbl>
    <w:p w14:paraId="54FF944E">
      <w:pPr>
        <w:pStyle w:val="4"/>
        <w:keepNext w:val="0"/>
        <w:keepLines w:val="0"/>
        <w:pageBreakBefore w:val="0"/>
        <w:widowControl w:val="0"/>
        <w:kinsoku/>
        <w:wordWrap/>
        <w:overflowPunct/>
        <w:topLinePunct w:val="0"/>
        <w:autoSpaceDE/>
        <w:autoSpaceDN/>
        <w:bidi w:val="0"/>
        <w:adjustRightInd/>
        <w:snapToGrid/>
        <w:spacing w:line="360" w:lineRule="auto"/>
        <w:ind w:left="1134" w:right="488" w:hanging="680"/>
        <w:textAlignment w:val="auto"/>
        <w:rPr>
          <w:color w:val="auto"/>
          <w:sz w:val="21"/>
          <w:szCs w:val="21"/>
          <w:lang w:eastAsia="zh-CN"/>
        </w:rPr>
      </w:pPr>
      <w:r>
        <w:rPr>
          <w:color w:val="auto"/>
          <w:spacing w:val="22"/>
          <w:sz w:val="21"/>
          <w:szCs w:val="21"/>
          <w:lang w:eastAsia="zh-CN"/>
        </w:rPr>
        <w:t>说明：“项目支出”需要填报基本支出以外的所有项目支出情况，“公用经费”填报基本支出中</w:t>
      </w:r>
      <w:r>
        <w:rPr>
          <w:color w:val="auto"/>
          <w:spacing w:val="13"/>
          <w:sz w:val="21"/>
          <w:szCs w:val="21"/>
          <w:lang w:eastAsia="zh-CN"/>
        </w:rPr>
        <w:t xml:space="preserve"> </w:t>
      </w:r>
      <w:r>
        <w:rPr>
          <w:color w:val="auto"/>
          <w:spacing w:val="18"/>
          <w:sz w:val="21"/>
          <w:szCs w:val="21"/>
          <w:lang w:eastAsia="zh-CN"/>
        </w:rPr>
        <w:t>的</w:t>
      </w:r>
      <w:r>
        <w:rPr>
          <w:color w:val="auto"/>
          <w:spacing w:val="-37"/>
          <w:sz w:val="21"/>
          <w:szCs w:val="21"/>
          <w:lang w:eastAsia="zh-CN"/>
        </w:rPr>
        <w:t xml:space="preserve"> </w:t>
      </w:r>
      <w:r>
        <w:rPr>
          <w:color w:val="auto"/>
          <w:spacing w:val="18"/>
          <w:sz w:val="21"/>
          <w:szCs w:val="21"/>
          <w:lang w:eastAsia="zh-CN"/>
        </w:rPr>
        <w:t>一</w:t>
      </w:r>
      <w:r>
        <w:rPr>
          <w:color w:val="auto"/>
          <w:spacing w:val="-43"/>
          <w:sz w:val="21"/>
          <w:szCs w:val="21"/>
          <w:lang w:eastAsia="zh-CN"/>
        </w:rPr>
        <w:t xml:space="preserve"> </w:t>
      </w:r>
      <w:r>
        <w:rPr>
          <w:color w:val="auto"/>
          <w:spacing w:val="18"/>
          <w:sz w:val="21"/>
          <w:szCs w:val="21"/>
          <w:lang w:eastAsia="zh-CN"/>
        </w:rPr>
        <w:t>般商品和服务支出。</w:t>
      </w:r>
    </w:p>
    <w:p w14:paraId="7EBAE3CA">
      <w:pPr>
        <w:spacing w:line="309" w:lineRule="auto"/>
        <w:rPr>
          <w:color w:val="auto"/>
          <w:lang w:eastAsia="zh-CN"/>
        </w:rPr>
      </w:pPr>
    </w:p>
    <w:p w14:paraId="2B668B25">
      <w:pPr>
        <w:pStyle w:val="4"/>
        <w:spacing w:before="59" w:line="229" w:lineRule="auto"/>
        <w:rPr>
          <w:rFonts w:ascii="黑体" w:hAnsi="黑体" w:eastAsia="黑体" w:cs="黑体"/>
          <w:b/>
          <w:bCs/>
          <w:color w:val="auto"/>
          <w:spacing w:val="24"/>
          <w:sz w:val="31"/>
          <w:szCs w:val="31"/>
          <w:lang w:eastAsia="zh-CN"/>
        </w:rPr>
      </w:pPr>
      <w:r>
        <w:rPr>
          <w:rFonts w:hint="eastAsia" w:ascii="宋体" w:hAnsi="宋体" w:eastAsia="宋体" w:cs="宋体"/>
          <w:color w:val="auto"/>
          <w:spacing w:val="8"/>
          <w:position w:val="1"/>
          <w:sz w:val="21"/>
          <w:szCs w:val="21"/>
          <w:lang w:eastAsia="zh-CN"/>
        </w:rPr>
        <w:t>填表人：周利华</w:t>
      </w:r>
      <w:r>
        <w:rPr>
          <w:rFonts w:hint="eastAsia" w:ascii="宋体" w:hAnsi="宋体" w:eastAsia="宋体" w:cs="宋体"/>
          <w:color w:val="auto"/>
          <w:spacing w:val="1"/>
          <w:position w:val="1"/>
          <w:sz w:val="21"/>
          <w:szCs w:val="21"/>
          <w:lang w:eastAsia="zh-CN"/>
        </w:rPr>
        <w:t xml:space="preserve">    </w:t>
      </w:r>
      <w:r>
        <w:rPr>
          <w:rFonts w:hint="eastAsia" w:ascii="宋体" w:hAnsi="宋体" w:eastAsia="宋体" w:cs="宋体"/>
          <w:color w:val="auto"/>
          <w:spacing w:val="8"/>
          <w:sz w:val="21"/>
          <w:szCs w:val="21"/>
          <w:lang w:eastAsia="zh-CN"/>
        </w:rPr>
        <w:t>填报日期：2025.3.1</w:t>
      </w:r>
      <w:r>
        <w:rPr>
          <w:rFonts w:hint="eastAsia" w:ascii="宋体" w:hAnsi="宋体" w:eastAsia="宋体" w:cs="宋体"/>
          <w:color w:val="auto"/>
          <w:spacing w:val="8"/>
          <w:sz w:val="21"/>
          <w:szCs w:val="21"/>
          <w:lang w:val="en-US" w:eastAsia="zh-CN"/>
        </w:rPr>
        <w:t>7</w:t>
      </w:r>
      <w:r>
        <w:rPr>
          <w:rFonts w:hint="eastAsia" w:ascii="宋体" w:hAnsi="宋体" w:eastAsia="宋体" w:cs="宋体"/>
          <w:color w:val="auto"/>
          <w:spacing w:val="8"/>
          <w:sz w:val="21"/>
          <w:szCs w:val="21"/>
          <w:lang w:eastAsia="zh-CN"/>
        </w:rPr>
        <w:t xml:space="preserve">   联系电话：13873013810</w:t>
      </w:r>
      <w:r>
        <w:rPr>
          <w:rFonts w:hint="eastAsia" w:ascii="宋体" w:hAnsi="宋体" w:eastAsia="宋体" w:cs="宋体"/>
          <w:color w:val="auto"/>
          <w:spacing w:val="7"/>
          <w:sz w:val="21"/>
          <w:szCs w:val="21"/>
          <w:lang w:eastAsia="zh-CN"/>
        </w:rPr>
        <w:t xml:space="preserve">     </w:t>
      </w:r>
      <w:r>
        <w:rPr>
          <w:rFonts w:hint="eastAsia" w:ascii="宋体" w:hAnsi="宋体" w:eastAsia="宋体" w:cs="宋体"/>
          <w:color w:val="auto"/>
          <w:spacing w:val="7"/>
          <w:position w:val="-1"/>
          <w:sz w:val="21"/>
          <w:szCs w:val="21"/>
          <w:lang w:eastAsia="zh-CN"/>
        </w:rPr>
        <w:t>单位负责人签字：</w:t>
      </w:r>
      <w:r>
        <w:rPr>
          <w:rFonts w:hint="eastAsia" w:ascii="宋体" w:hAnsi="宋体" w:eastAsia="宋体" w:cs="宋体"/>
          <w:color w:val="auto"/>
          <w:sz w:val="21"/>
          <w:szCs w:val="21"/>
          <w:lang w:eastAsia="zh-CN"/>
        </w:rPr>
        <w:t>廖亚辉</w:t>
      </w:r>
      <w:r>
        <w:rPr>
          <w:rFonts w:ascii="黑体" w:hAnsi="黑体" w:eastAsia="黑体" w:cs="黑体"/>
          <w:b/>
          <w:bCs/>
          <w:color w:val="auto"/>
          <w:spacing w:val="24"/>
          <w:sz w:val="31"/>
          <w:szCs w:val="31"/>
          <w:lang w:eastAsia="zh-CN"/>
        </w:rPr>
        <w:br w:type="page"/>
      </w:r>
    </w:p>
    <w:p w14:paraId="05904A27">
      <w:pPr>
        <w:spacing w:before="216" w:line="224" w:lineRule="auto"/>
        <w:rPr>
          <w:color w:val="auto"/>
          <w:lang w:eastAsia="zh-CN"/>
        </w:rPr>
      </w:pPr>
      <w:r>
        <w:rPr>
          <w:rFonts w:ascii="黑体" w:hAnsi="黑体" w:eastAsia="黑体" w:cs="黑体"/>
          <w:b/>
          <w:bCs/>
          <w:color w:val="auto"/>
          <w:spacing w:val="24"/>
          <w:sz w:val="31"/>
          <w:szCs w:val="31"/>
          <w:lang w:eastAsia="zh-CN"/>
        </w:rPr>
        <w:t>附件2</w:t>
      </w:r>
    </w:p>
    <w:p w14:paraId="1BF13CF0">
      <w:pPr>
        <w:spacing w:before="117" w:line="219" w:lineRule="auto"/>
        <w:ind w:left="2290"/>
        <w:rPr>
          <w:rFonts w:ascii="宋体" w:hAnsi="宋体" w:eastAsia="宋体" w:cs="宋体"/>
          <w:color w:val="auto"/>
          <w:sz w:val="36"/>
          <w:szCs w:val="36"/>
          <w:lang w:eastAsia="zh-CN"/>
        </w:rPr>
      </w:pPr>
      <w:r>
        <w:rPr>
          <w:rFonts w:ascii="宋体" w:hAnsi="宋体" w:eastAsia="宋体" w:cs="宋体"/>
          <w:b/>
          <w:bCs/>
          <w:color w:val="auto"/>
          <w:spacing w:val="-3"/>
          <w:sz w:val="36"/>
          <w:szCs w:val="36"/>
          <w:lang w:eastAsia="zh-CN"/>
        </w:rPr>
        <w:t>2024年度部门整体支出绩效自评表</w:t>
      </w:r>
    </w:p>
    <w:p w14:paraId="0D73AC41">
      <w:pPr>
        <w:spacing w:line="238" w:lineRule="exact"/>
        <w:rPr>
          <w:color w:val="auto"/>
          <w:lang w:eastAsia="zh-CN"/>
        </w:rPr>
      </w:pPr>
    </w:p>
    <w:tbl>
      <w:tblPr>
        <w:tblStyle w:val="9"/>
        <w:tblW w:w="10272"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42"/>
        <w:gridCol w:w="1084"/>
        <w:gridCol w:w="555"/>
        <w:gridCol w:w="724"/>
        <w:gridCol w:w="809"/>
        <w:gridCol w:w="210"/>
        <w:gridCol w:w="1433"/>
        <w:gridCol w:w="210"/>
        <w:gridCol w:w="715"/>
        <w:gridCol w:w="210"/>
        <w:gridCol w:w="1039"/>
        <w:gridCol w:w="210"/>
        <w:gridCol w:w="509"/>
        <w:gridCol w:w="210"/>
        <w:gridCol w:w="649"/>
        <w:gridCol w:w="180"/>
        <w:gridCol w:w="1273"/>
        <w:gridCol w:w="210"/>
      </w:tblGrid>
      <w:tr w14:paraId="7779088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Before w:val="1"/>
          <w:gridAfter w:val="1"/>
          <w:wBefore w:w="42" w:type="dxa"/>
          <w:wAfter w:w="210" w:type="dxa"/>
          <w:trHeight w:val="464" w:hRule="atLeast"/>
          <w:jc w:val="center"/>
        </w:trPr>
        <w:tc>
          <w:tcPr>
            <w:tcW w:w="1084" w:type="dxa"/>
            <w:noWrap w:val="0"/>
            <w:vAlign w:val="center"/>
          </w:tcPr>
          <w:p w14:paraId="483F91A3">
            <w:pPr>
              <w:spacing w:before="13" w:line="214" w:lineRule="auto"/>
              <w:ind w:left="155" w:right="149"/>
              <w:jc w:val="center"/>
              <w:rPr>
                <w:rFonts w:ascii="宋体" w:hAnsi="宋体" w:eastAsia="宋体" w:cs="宋体"/>
                <w:color w:val="auto"/>
                <w:sz w:val="19"/>
                <w:szCs w:val="19"/>
              </w:rPr>
            </w:pPr>
            <w:r>
              <w:rPr>
                <w:rFonts w:ascii="宋体" w:hAnsi="宋体" w:eastAsia="宋体" w:cs="宋体"/>
                <w:color w:val="auto"/>
                <w:spacing w:val="2"/>
                <w:sz w:val="19"/>
                <w:szCs w:val="19"/>
              </w:rPr>
              <w:t>市级预算</w:t>
            </w:r>
            <w:r>
              <w:rPr>
                <w:rFonts w:ascii="宋体" w:hAnsi="宋体" w:eastAsia="宋体" w:cs="宋体"/>
                <w:color w:val="auto"/>
                <w:sz w:val="19"/>
                <w:szCs w:val="19"/>
              </w:rPr>
              <w:t xml:space="preserve"> </w:t>
            </w:r>
            <w:r>
              <w:rPr>
                <w:rFonts w:ascii="宋体" w:hAnsi="宋体" w:eastAsia="宋体" w:cs="宋体"/>
                <w:color w:val="auto"/>
                <w:spacing w:val="-2"/>
                <w:sz w:val="19"/>
                <w:szCs w:val="19"/>
              </w:rPr>
              <w:t>部门名称</w:t>
            </w:r>
          </w:p>
        </w:tc>
        <w:tc>
          <w:tcPr>
            <w:tcW w:w="8936" w:type="dxa"/>
            <w:gridSpan w:val="15"/>
            <w:noWrap w:val="0"/>
            <w:vAlign w:val="center"/>
          </w:tcPr>
          <w:p w14:paraId="1040306E">
            <w:pPr>
              <w:pStyle w:val="19"/>
              <w:jc w:val="center"/>
              <w:rPr>
                <w:rFonts w:hint="eastAsia" w:eastAsia="宋体"/>
                <w:color w:val="auto"/>
                <w:lang w:eastAsia="zh-CN"/>
              </w:rPr>
            </w:pPr>
            <w:r>
              <w:rPr>
                <w:rFonts w:hint="eastAsia" w:eastAsia="宋体"/>
                <w:color w:val="auto"/>
                <w:lang w:eastAsia="zh-CN"/>
              </w:rPr>
              <w:t>岳阳市建设工程质量安全监督站</w:t>
            </w:r>
          </w:p>
        </w:tc>
      </w:tr>
      <w:tr w14:paraId="585203C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Before w:val="1"/>
          <w:gridAfter w:val="1"/>
          <w:wBefore w:w="42" w:type="dxa"/>
          <w:wAfter w:w="210" w:type="dxa"/>
          <w:trHeight w:val="249" w:hRule="atLeast"/>
          <w:jc w:val="center"/>
        </w:trPr>
        <w:tc>
          <w:tcPr>
            <w:tcW w:w="1084" w:type="dxa"/>
            <w:vMerge w:val="restart"/>
            <w:tcBorders>
              <w:bottom w:val="nil"/>
            </w:tcBorders>
            <w:noWrap w:val="0"/>
            <w:vAlign w:val="center"/>
          </w:tcPr>
          <w:p w14:paraId="15803E2B">
            <w:pPr>
              <w:pStyle w:val="19"/>
              <w:spacing w:line="241" w:lineRule="auto"/>
              <w:jc w:val="center"/>
              <w:rPr>
                <w:color w:val="auto"/>
                <w:lang w:eastAsia="zh-CN"/>
              </w:rPr>
            </w:pPr>
          </w:p>
          <w:p w14:paraId="11D59B1D">
            <w:pPr>
              <w:pStyle w:val="19"/>
              <w:spacing w:line="242" w:lineRule="auto"/>
              <w:jc w:val="center"/>
              <w:rPr>
                <w:color w:val="auto"/>
                <w:lang w:eastAsia="zh-CN"/>
              </w:rPr>
            </w:pPr>
          </w:p>
          <w:p w14:paraId="2C144358">
            <w:pPr>
              <w:spacing w:before="62" w:line="229" w:lineRule="auto"/>
              <w:ind w:left="244" w:right="217"/>
              <w:jc w:val="center"/>
              <w:rPr>
                <w:rFonts w:ascii="宋体" w:hAnsi="宋体" w:eastAsia="宋体" w:cs="宋体"/>
                <w:color w:val="auto"/>
                <w:sz w:val="19"/>
                <w:szCs w:val="19"/>
              </w:rPr>
            </w:pPr>
            <w:r>
              <w:rPr>
                <w:rFonts w:ascii="宋体" w:hAnsi="宋体" w:eastAsia="宋体" w:cs="宋体"/>
                <w:color w:val="auto"/>
                <w:spacing w:val="-3"/>
                <w:sz w:val="19"/>
                <w:szCs w:val="19"/>
              </w:rPr>
              <w:t>年度预</w:t>
            </w:r>
            <w:r>
              <w:rPr>
                <w:rFonts w:ascii="宋体" w:hAnsi="宋体" w:eastAsia="宋体" w:cs="宋体"/>
                <w:color w:val="auto"/>
                <w:sz w:val="19"/>
                <w:szCs w:val="19"/>
              </w:rPr>
              <w:t xml:space="preserve"> </w:t>
            </w:r>
            <w:r>
              <w:rPr>
                <w:rFonts w:ascii="宋体" w:hAnsi="宋体" w:eastAsia="宋体" w:cs="宋体"/>
                <w:color w:val="auto"/>
                <w:spacing w:val="-3"/>
                <w:sz w:val="19"/>
                <w:szCs w:val="19"/>
              </w:rPr>
              <w:t>算申请</w:t>
            </w:r>
            <w:r>
              <w:rPr>
                <w:rFonts w:ascii="宋体" w:hAnsi="宋体" w:eastAsia="宋体" w:cs="宋体"/>
                <w:color w:val="auto"/>
                <w:sz w:val="19"/>
                <w:szCs w:val="19"/>
              </w:rPr>
              <w:t xml:space="preserve"> </w:t>
            </w:r>
            <w:r>
              <w:rPr>
                <w:rFonts w:ascii="宋体" w:hAnsi="宋体" w:eastAsia="宋体" w:cs="宋体"/>
                <w:color w:val="auto"/>
                <w:spacing w:val="10"/>
                <w:sz w:val="19"/>
                <w:szCs w:val="19"/>
              </w:rPr>
              <w:t>(万元)</w:t>
            </w:r>
          </w:p>
        </w:tc>
        <w:tc>
          <w:tcPr>
            <w:tcW w:w="2088" w:type="dxa"/>
            <w:gridSpan w:val="3"/>
            <w:noWrap w:val="0"/>
            <w:vAlign w:val="center"/>
          </w:tcPr>
          <w:p w14:paraId="2B074E45">
            <w:pPr>
              <w:pStyle w:val="19"/>
              <w:spacing w:line="239" w:lineRule="exact"/>
              <w:jc w:val="center"/>
              <w:rPr>
                <w:color w:val="auto"/>
                <w:sz w:val="20"/>
              </w:rPr>
            </w:pPr>
          </w:p>
        </w:tc>
        <w:tc>
          <w:tcPr>
            <w:tcW w:w="1643" w:type="dxa"/>
            <w:gridSpan w:val="2"/>
            <w:noWrap w:val="0"/>
            <w:vAlign w:val="center"/>
          </w:tcPr>
          <w:p w14:paraId="168D2475">
            <w:pPr>
              <w:spacing w:before="29" w:line="204" w:lineRule="auto"/>
              <w:ind w:left="153"/>
              <w:jc w:val="center"/>
              <w:rPr>
                <w:rFonts w:ascii="宋体" w:hAnsi="宋体" w:eastAsia="宋体" w:cs="宋体"/>
                <w:color w:val="auto"/>
                <w:sz w:val="19"/>
                <w:szCs w:val="19"/>
              </w:rPr>
            </w:pPr>
            <w:r>
              <w:rPr>
                <w:rFonts w:ascii="宋体" w:hAnsi="宋体" w:eastAsia="宋体" w:cs="宋体"/>
                <w:color w:val="auto"/>
                <w:spacing w:val="-2"/>
                <w:sz w:val="19"/>
                <w:szCs w:val="19"/>
              </w:rPr>
              <w:t>年初预算数</w:t>
            </w:r>
          </w:p>
        </w:tc>
        <w:tc>
          <w:tcPr>
            <w:tcW w:w="925" w:type="dxa"/>
            <w:gridSpan w:val="2"/>
            <w:noWrap w:val="0"/>
            <w:vAlign w:val="center"/>
          </w:tcPr>
          <w:p w14:paraId="16824C27">
            <w:pPr>
              <w:spacing w:before="29" w:line="204" w:lineRule="auto"/>
              <w:ind w:left="164"/>
              <w:jc w:val="center"/>
              <w:rPr>
                <w:rFonts w:ascii="宋体" w:hAnsi="宋体" w:eastAsia="宋体" w:cs="宋体"/>
                <w:color w:val="auto"/>
                <w:sz w:val="19"/>
                <w:szCs w:val="19"/>
              </w:rPr>
            </w:pPr>
            <w:r>
              <w:rPr>
                <w:rFonts w:ascii="宋体" w:hAnsi="宋体" w:eastAsia="宋体" w:cs="宋体"/>
                <w:color w:val="auto"/>
                <w:spacing w:val="-2"/>
                <w:sz w:val="19"/>
                <w:szCs w:val="19"/>
              </w:rPr>
              <w:t>全年预算数</w:t>
            </w:r>
          </w:p>
        </w:tc>
        <w:tc>
          <w:tcPr>
            <w:tcW w:w="1249" w:type="dxa"/>
            <w:gridSpan w:val="2"/>
            <w:noWrap w:val="0"/>
            <w:vAlign w:val="center"/>
          </w:tcPr>
          <w:p w14:paraId="5F6B8A8D">
            <w:pPr>
              <w:spacing w:before="29" w:line="204" w:lineRule="auto"/>
              <w:ind w:left="145"/>
              <w:jc w:val="center"/>
              <w:rPr>
                <w:rFonts w:ascii="宋体" w:hAnsi="宋体" w:eastAsia="宋体" w:cs="宋体"/>
                <w:color w:val="auto"/>
                <w:sz w:val="19"/>
                <w:szCs w:val="19"/>
              </w:rPr>
            </w:pPr>
            <w:r>
              <w:rPr>
                <w:rFonts w:ascii="宋体" w:hAnsi="宋体" w:eastAsia="宋体" w:cs="宋体"/>
                <w:color w:val="auto"/>
                <w:spacing w:val="-2"/>
                <w:sz w:val="19"/>
                <w:szCs w:val="19"/>
              </w:rPr>
              <w:t>全年执行数</w:t>
            </w:r>
          </w:p>
        </w:tc>
        <w:tc>
          <w:tcPr>
            <w:tcW w:w="719" w:type="dxa"/>
            <w:gridSpan w:val="2"/>
            <w:noWrap w:val="0"/>
            <w:vAlign w:val="center"/>
          </w:tcPr>
          <w:p w14:paraId="63DCA8A5">
            <w:pPr>
              <w:spacing w:before="29" w:line="204" w:lineRule="auto"/>
              <w:ind w:left="166"/>
              <w:jc w:val="center"/>
              <w:rPr>
                <w:rFonts w:ascii="宋体" w:hAnsi="宋体" w:eastAsia="宋体" w:cs="宋体"/>
                <w:color w:val="auto"/>
                <w:sz w:val="19"/>
                <w:szCs w:val="19"/>
              </w:rPr>
            </w:pPr>
            <w:r>
              <w:rPr>
                <w:rFonts w:ascii="宋体" w:hAnsi="宋体" w:eastAsia="宋体" w:cs="宋体"/>
                <w:color w:val="auto"/>
                <w:spacing w:val="-3"/>
                <w:sz w:val="19"/>
                <w:szCs w:val="19"/>
              </w:rPr>
              <w:t>分值</w:t>
            </w:r>
          </w:p>
        </w:tc>
        <w:tc>
          <w:tcPr>
            <w:tcW w:w="859" w:type="dxa"/>
            <w:gridSpan w:val="2"/>
            <w:noWrap w:val="0"/>
            <w:vAlign w:val="center"/>
          </w:tcPr>
          <w:p w14:paraId="2E7A5BB1">
            <w:pPr>
              <w:spacing w:before="29" w:line="204" w:lineRule="auto"/>
              <w:ind w:left="137"/>
              <w:jc w:val="center"/>
              <w:rPr>
                <w:rFonts w:ascii="宋体" w:hAnsi="宋体" w:eastAsia="宋体" w:cs="宋体"/>
                <w:color w:val="auto"/>
                <w:sz w:val="19"/>
                <w:szCs w:val="19"/>
              </w:rPr>
            </w:pPr>
            <w:r>
              <w:rPr>
                <w:rFonts w:ascii="宋体" w:hAnsi="宋体" w:eastAsia="宋体" w:cs="宋体"/>
                <w:color w:val="auto"/>
                <w:spacing w:val="-2"/>
                <w:sz w:val="19"/>
                <w:szCs w:val="19"/>
              </w:rPr>
              <w:t>执行率</w:t>
            </w:r>
          </w:p>
        </w:tc>
        <w:tc>
          <w:tcPr>
            <w:tcW w:w="1453" w:type="dxa"/>
            <w:gridSpan w:val="2"/>
            <w:noWrap w:val="0"/>
            <w:vAlign w:val="center"/>
          </w:tcPr>
          <w:p w14:paraId="32244096">
            <w:pPr>
              <w:spacing w:before="29" w:line="204" w:lineRule="auto"/>
              <w:ind w:left="528"/>
              <w:jc w:val="center"/>
              <w:rPr>
                <w:rFonts w:ascii="宋体" w:hAnsi="宋体" w:eastAsia="宋体" w:cs="宋体"/>
                <w:color w:val="auto"/>
                <w:sz w:val="19"/>
                <w:szCs w:val="19"/>
              </w:rPr>
            </w:pPr>
            <w:r>
              <w:rPr>
                <w:rFonts w:ascii="宋体" w:hAnsi="宋体" w:eastAsia="宋体" w:cs="宋体"/>
                <w:color w:val="auto"/>
                <w:spacing w:val="-3"/>
                <w:sz w:val="19"/>
                <w:szCs w:val="19"/>
              </w:rPr>
              <w:t>得分</w:t>
            </w:r>
          </w:p>
        </w:tc>
      </w:tr>
      <w:tr w14:paraId="591B6FB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Before w:val="1"/>
          <w:gridAfter w:val="1"/>
          <w:wBefore w:w="42" w:type="dxa"/>
          <w:wAfter w:w="210" w:type="dxa"/>
          <w:trHeight w:val="90" w:hRule="atLeast"/>
          <w:jc w:val="center"/>
        </w:trPr>
        <w:tc>
          <w:tcPr>
            <w:tcW w:w="1084" w:type="dxa"/>
            <w:vMerge w:val="continue"/>
            <w:tcBorders>
              <w:top w:val="nil"/>
              <w:bottom w:val="nil"/>
            </w:tcBorders>
            <w:noWrap w:val="0"/>
            <w:vAlign w:val="center"/>
          </w:tcPr>
          <w:p w14:paraId="3DA1E5AB">
            <w:pPr>
              <w:pStyle w:val="19"/>
              <w:jc w:val="center"/>
              <w:rPr>
                <w:color w:val="auto"/>
              </w:rPr>
            </w:pPr>
          </w:p>
        </w:tc>
        <w:tc>
          <w:tcPr>
            <w:tcW w:w="2088" w:type="dxa"/>
            <w:gridSpan w:val="3"/>
            <w:noWrap w:val="0"/>
            <w:vAlign w:val="center"/>
          </w:tcPr>
          <w:p w14:paraId="6673A475">
            <w:pPr>
              <w:spacing w:before="19" w:line="195" w:lineRule="auto"/>
              <w:ind w:left="450"/>
              <w:jc w:val="center"/>
              <w:rPr>
                <w:rFonts w:ascii="宋体" w:hAnsi="宋体" w:eastAsia="宋体" w:cs="宋体"/>
                <w:color w:val="auto"/>
                <w:sz w:val="19"/>
                <w:szCs w:val="19"/>
              </w:rPr>
            </w:pPr>
            <w:r>
              <w:rPr>
                <w:rFonts w:ascii="宋体" w:hAnsi="宋体" w:eastAsia="宋体" w:cs="宋体"/>
                <w:color w:val="auto"/>
                <w:spacing w:val="-2"/>
                <w:sz w:val="19"/>
                <w:szCs w:val="19"/>
              </w:rPr>
              <w:t>年度资金总额</w:t>
            </w:r>
          </w:p>
        </w:tc>
        <w:tc>
          <w:tcPr>
            <w:tcW w:w="1643" w:type="dxa"/>
            <w:gridSpan w:val="2"/>
            <w:noWrap w:val="0"/>
            <w:vAlign w:val="center"/>
          </w:tcPr>
          <w:p w14:paraId="49E88D99">
            <w:pPr>
              <w:pStyle w:val="19"/>
              <w:spacing w:line="220" w:lineRule="exact"/>
              <w:jc w:val="center"/>
              <w:rPr>
                <w:rFonts w:eastAsia="宋体"/>
                <w:color w:val="auto"/>
                <w:sz w:val="19"/>
                <w:lang w:eastAsia="zh-CN"/>
              </w:rPr>
            </w:pPr>
            <w:r>
              <w:rPr>
                <w:rFonts w:hint="eastAsia" w:eastAsia="宋体"/>
                <w:color w:val="auto"/>
                <w:sz w:val="19"/>
                <w:lang w:eastAsia="zh-CN"/>
              </w:rPr>
              <w:t>1924.24</w:t>
            </w:r>
          </w:p>
        </w:tc>
        <w:tc>
          <w:tcPr>
            <w:tcW w:w="925" w:type="dxa"/>
            <w:gridSpan w:val="2"/>
            <w:noWrap w:val="0"/>
            <w:vAlign w:val="center"/>
          </w:tcPr>
          <w:p w14:paraId="637F808E">
            <w:pPr>
              <w:pStyle w:val="19"/>
              <w:spacing w:line="220" w:lineRule="exact"/>
              <w:jc w:val="center"/>
              <w:rPr>
                <w:rFonts w:eastAsia="宋体"/>
                <w:color w:val="auto"/>
                <w:sz w:val="19"/>
                <w:lang w:eastAsia="zh-CN"/>
              </w:rPr>
            </w:pPr>
            <w:r>
              <w:rPr>
                <w:rFonts w:hint="eastAsia" w:eastAsia="宋体"/>
                <w:color w:val="auto"/>
                <w:sz w:val="19"/>
                <w:lang w:eastAsia="zh-CN"/>
              </w:rPr>
              <w:t>2263.34</w:t>
            </w:r>
          </w:p>
        </w:tc>
        <w:tc>
          <w:tcPr>
            <w:tcW w:w="1249" w:type="dxa"/>
            <w:gridSpan w:val="2"/>
            <w:noWrap w:val="0"/>
            <w:vAlign w:val="center"/>
          </w:tcPr>
          <w:p w14:paraId="2FA7B84D">
            <w:pPr>
              <w:pStyle w:val="19"/>
              <w:spacing w:line="220" w:lineRule="exact"/>
              <w:jc w:val="center"/>
              <w:rPr>
                <w:rFonts w:eastAsia="宋体"/>
                <w:color w:val="auto"/>
                <w:sz w:val="19"/>
                <w:lang w:eastAsia="zh-CN"/>
              </w:rPr>
            </w:pPr>
            <w:r>
              <w:rPr>
                <w:rFonts w:hint="eastAsia" w:eastAsia="宋体"/>
                <w:color w:val="auto"/>
                <w:sz w:val="19"/>
                <w:lang w:eastAsia="zh-CN"/>
              </w:rPr>
              <w:t>2096.96</w:t>
            </w:r>
          </w:p>
        </w:tc>
        <w:tc>
          <w:tcPr>
            <w:tcW w:w="719" w:type="dxa"/>
            <w:gridSpan w:val="2"/>
            <w:noWrap w:val="0"/>
            <w:vAlign w:val="center"/>
          </w:tcPr>
          <w:p w14:paraId="02096209">
            <w:pPr>
              <w:spacing w:before="68" w:line="151" w:lineRule="exact"/>
              <w:ind w:left="256"/>
              <w:jc w:val="center"/>
              <w:rPr>
                <w:rFonts w:ascii="宋体" w:hAnsi="宋体" w:eastAsia="宋体" w:cs="宋体"/>
                <w:color w:val="auto"/>
                <w:sz w:val="19"/>
                <w:szCs w:val="19"/>
              </w:rPr>
            </w:pPr>
            <w:r>
              <w:rPr>
                <w:rFonts w:ascii="宋体" w:hAnsi="宋体" w:eastAsia="宋体" w:cs="宋体"/>
                <w:color w:val="auto"/>
                <w:spacing w:val="-6"/>
                <w:position w:val="-2"/>
                <w:sz w:val="19"/>
                <w:szCs w:val="19"/>
              </w:rPr>
              <w:t>10</w:t>
            </w:r>
          </w:p>
        </w:tc>
        <w:tc>
          <w:tcPr>
            <w:tcW w:w="859" w:type="dxa"/>
            <w:gridSpan w:val="2"/>
            <w:noWrap w:val="0"/>
            <w:vAlign w:val="center"/>
          </w:tcPr>
          <w:p w14:paraId="67B5FF3D">
            <w:pPr>
              <w:pStyle w:val="19"/>
              <w:spacing w:line="220" w:lineRule="exact"/>
              <w:jc w:val="center"/>
              <w:rPr>
                <w:rFonts w:eastAsia="宋体"/>
                <w:color w:val="auto"/>
                <w:sz w:val="19"/>
                <w:lang w:eastAsia="zh-CN"/>
              </w:rPr>
            </w:pPr>
            <w:r>
              <w:rPr>
                <w:rFonts w:hint="eastAsia" w:eastAsia="宋体"/>
                <w:color w:val="auto"/>
                <w:sz w:val="19"/>
                <w:lang w:eastAsia="zh-CN"/>
              </w:rPr>
              <w:t>92.65%</w:t>
            </w:r>
          </w:p>
        </w:tc>
        <w:tc>
          <w:tcPr>
            <w:tcW w:w="1453" w:type="dxa"/>
            <w:gridSpan w:val="2"/>
            <w:noWrap w:val="0"/>
            <w:vAlign w:val="center"/>
          </w:tcPr>
          <w:p w14:paraId="2B3D526E">
            <w:pPr>
              <w:pStyle w:val="19"/>
              <w:spacing w:line="220" w:lineRule="exact"/>
              <w:jc w:val="center"/>
              <w:rPr>
                <w:rFonts w:hint="default" w:eastAsia="宋体"/>
                <w:color w:val="auto"/>
                <w:sz w:val="19"/>
                <w:lang w:val="en-US" w:eastAsia="zh-CN"/>
              </w:rPr>
            </w:pPr>
            <w:r>
              <w:rPr>
                <w:rFonts w:hint="eastAsia" w:eastAsia="宋体"/>
                <w:color w:val="auto"/>
                <w:sz w:val="19"/>
                <w:lang w:eastAsia="zh-CN"/>
              </w:rPr>
              <w:t>9.2</w:t>
            </w:r>
            <w:r>
              <w:rPr>
                <w:rFonts w:hint="eastAsia" w:eastAsia="宋体"/>
                <w:color w:val="auto"/>
                <w:sz w:val="19"/>
                <w:lang w:val="en-US" w:eastAsia="zh-CN"/>
              </w:rPr>
              <w:t>7</w:t>
            </w:r>
          </w:p>
        </w:tc>
      </w:tr>
      <w:tr w14:paraId="403DEE1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Before w:val="1"/>
          <w:gridAfter w:val="1"/>
          <w:wBefore w:w="42" w:type="dxa"/>
          <w:wAfter w:w="210" w:type="dxa"/>
          <w:trHeight w:val="230" w:hRule="atLeast"/>
          <w:jc w:val="center"/>
        </w:trPr>
        <w:tc>
          <w:tcPr>
            <w:tcW w:w="1084" w:type="dxa"/>
            <w:vMerge w:val="continue"/>
            <w:tcBorders>
              <w:top w:val="nil"/>
              <w:bottom w:val="nil"/>
            </w:tcBorders>
            <w:noWrap w:val="0"/>
            <w:vAlign w:val="center"/>
          </w:tcPr>
          <w:p w14:paraId="17C096B7">
            <w:pPr>
              <w:pStyle w:val="19"/>
              <w:jc w:val="center"/>
              <w:rPr>
                <w:color w:val="auto"/>
              </w:rPr>
            </w:pPr>
          </w:p>
        </w:tc>
        <w:tc>
          <w:tcPr>
            <w:tcW w:w="4656" w:type="dxa"/>
            <w:gridSpan w:val="7"/>
            <w:noWrap w:val="0"/>
            <w:vAlign w:val="center"/>
          </w:tcPr>
          <w:p w14:paraId="14FA8B16">
            <w:pPr>
              <w:spacing w:before="19" w:line="195" w:lineRule="auto"/>
              <w:ind w:left="71"/>
              <w:rPr>
                <w:rFonts w:ascii="宋体" w:hAnsi="宋体" w:eastAsia="宋体" w:cs="宋体"/>
                <w:color w:val="auto"/>
                <w:sz w:val="19"/>
                <w:szCs w:val="19"/>
              </w:rPr>
            </w:pPr>
            <w:r>
              <w:rPr>
                <w:rFonts w:ascii="宋体" w:hAnsi="宋体" w:eastAsia="宋体" w:cs="宋体"/>
                <w:color w:val="auto"/>
                <w:sz w:val="19"/>
                <w:szCs w:val="19"/>
              </w:rPr>
              <w:t>按收入性质分：</w:t>
            </w:r>
          </w:p>
        </w:tc>
        <w:tc>
          <w:tcPr>
            <w:tcW w:w="4280" w:type="dxa"/>
            <w:gridSpan w:val="8"/>
            <w:noWrap w:val="0"/>
            <w:vAlign w:val="center"/>
          </w:tcPr>
          <w:p w14:paraId="7C2D2CC4">
            <w:pPr>
              <w:spacing w:before="19" w:line="195" w:lineRule="auto"/>
              <w:ind w:left="105"/>
              <w:rPr>
                <w:rFonts w:ascii="宋体" w:hAnsi="宋体" w:eastAsia="宋体" w:cs="宋体"/>
                <w:color w:val="auto"/>
                <w:sz w:val="19"/>
                <w:szCs w:val="19"/>
              </w:rPr>
            </w:pPr>
            <w:r>
              <w:rPr>
                <w:rFonts w:ascii="宋体" w:hAnsi="宋体" w:eastAsia="宋体" w:cs="宋体"/>
                <w:color w:val="auto"/>
                <w:sz w:val="19"/>
                <w:szCs w:val="19"/>
              </w:rPr>
              <w:t>按支出性质分：</w:t>
            </w:r>
          </w:p>
        </w:tc>
      </w:tr>
      <w:tr w14:paraId="575D0B9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Before w:val="1"/>
          <w:gridAfter w:val="1"/>
          <w:wBefore w:w="42" w:type="dxa"/>
          <w:wAfter w:w="210" w:type="dxa"/>
          <w:trHeight w:val="249" w:hRule="atLeast"/>
          <w:jc w:val="center"/>
        </w:trPr>
        <w:tc>
          <w:tcPr>
            <w:tcW w:w="1084" w:type="dxa"/>
            <w:vMerge w:val="continue"/>
            <w:tcBorders>
              <w:top w:val="nil"/>
              <w:bottom w:val="nil"/>
            </w:tcBorders>
            <w:noWrap w:val="0"/>
            <w:vAlign w:val="center"/>
          </w:tcPr>
          <w:p w14:paraId="68EB7BA9">
            <w:pPr>
              <w:pStyle w:val="19"/>
              <w:jc w:val="center"/>
              <w:rPr>
                <w:color w:val="auto"/>
              </w:rPr>
            </w:pPr>
          </w:p>
        </w:tc>
        <w:tc>
          <w:tcPr>
            <w:tcW w:w="4656" w:type="dxa"/>
            <w:gridSpan w:val="7"/>
            <w:noWrap w:val="0"/>
            <w:vAlign w:val="center"/>
          </w:tcPr>
          <w:p w14:paraId="677D7E57">
            <w:pPr>
              <w:spacing w:before="30" w:line="203" w:lineRule="auto"/>
              <w:ind w:left="71"/>
              <w:rPr>
                <w:rFonts w:ascii="宋体" w:hAnsi="宋体" w:eastAsia="宋体" w:cs="宋体"/>
                <w:color w:val="auto"/>
                <w:sz w:val="19"/>
                <w:szCs w:val="19"/>
                <w:lang w:eastAsia="zh-CN"/>
              </w:rPr>
            </w:pPr>
            <w:r>
              <w:rPr>
                <w:rFonts w:ascii="宋体" w:hAnsi="宋体" w:eastAsia="宋体" w:cs="宋体"/>
                <w:color w:val="auto"/>
                <w:spacing w:val="-3"/>
                <w:sz w:val="19"/>
                <w:szCs w:val="19"/>
                <w:lang w:eastAsia="zh-CN"/>
              </w:rPr>
              <w:t>其中：</w:t>
            </w:r>
            <w:r>
              <w:rPr>
                <w:rFonts w:ascii="宋体" w:hAnsi="宋体" w:eastAsia="宋体" w:cs="宋体"/>
                <w:color w:val="auto"/>
                <w:spacing w:val="18"/>
                <w:sz w:val="19"/>
                <w:szCs w:val="19"/>
                <w:lang w:eastAsia="zh-CN"/>
              </w:rPr>
              <w:t xml:space="preserve">  </w:t>
            </w:r>
            <w:r>
              <w:rPr>
                <w:rFonts w:ascii="宋体" w:hAnsi="宋体" w:eastAsia="宋体" w:cs="宋体"/>
                <w:color w:val="auto"/>
                <w:spacing w:val="-3"/>
                <w:sz w:val="19"/>
                <w:szCs w:val="19"/>
                <w:lang w:eastAsia="zh-CN"/>
              </w:rPr>
              <w:t>一般公共预算：</w:t>
            </w:r>
            <w:r>
              <w:rPr>
                <w:rFonts w:hint="eastAsia" w:ascii="宋体" w:hAnsi="宋体" w:eastAsia="宋体" w:cs="宋体"/>
                <w:color w:val="auto"/>
                <w:spacing w:val="-3"/>
                <w:sz w:val="19"/>
                <w:szCs w:val="19"/>
                <w:lang w:eastAsia="zh-CN"/>
              </w:rPr>
              <w:t>2128.84</w:t>
            </w:r>
          </w:p>
        </w:tc>
        <w:tc>
          <w:tcPr>
            <w:tcW w:w="4280" w:type="dxa"/>
            <w:gridSpan w:val="8"/>
            <w:noWrap w:val="0"/>
            <w:vAlign w:val="center"/>
          </w:tcPr>
          <w:p w14:paraId="7C0687C8">
            <w:pPr>
              <w:spacing w:before="29" w:line="204" w:lineRule="auto"/>
              <w:ind w:left="105"/>
              <w:rPr>
                <w:rFonts w:ascii="宋体" w:hAnsi="宋体" w:eastAsia="宋体" w:cs="宋体"/>
                <w:color w:val="auto"/>
                <w:sz w:val="19"/>
                <w:szCs w:val="19"/>
                <w:lang w:eastAsia="zh-CN"/>
              </w:rPr>
            </w:pPr>
            <w:r>
              <w:rPr>
                <w:rFonts w:ascii="宋体" w:hAnsi="宋体" w:eastAsia="宋体" w:cs="宋体"/>
                <w:color w:val="auto"/>
                <w:sz w:val="19"/>
                <w:szCs w:val="19"/>
              </w:rPr>
              <w:t>其中：基本支出：</w:t>
            </w:r>
            <w:r>
              <w:rPr>
                <w:rFonts w:hint="eastAsia" w:ascii="宋体" w:hAnsi="宋体" w:eastAsia="宋体" w:cs="宋体"/>
                <w:color w:val="auto"/>
                <w:sz w:val="19"/>
                <w:szCs w:val="19"/>
                <w:lang w:eastAsia="zh-CN"/>
              </w:rPr>
              <w:t>2060.04</w:t>
            </w:r>
          </w:p>
        </w:tc>
      </w:tr>
      <w:tr w14:paraId="10251EE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Before w:val="1"/>
          <w:gridAfter w:val="1"/>
          <w:wBefore w:w="42" w:type="dxa"/>
          <w:wAfter w:w="210" w:type="dxa"/>
          <w:trHeight w:val="240" w:hRule="atLeast"/>
          <w:jc w:val="center"/>
        </w:trPr>
        <w:tc>
          <w:tcPr>
            <w:tcW w:w="1084" w:type="dxa"/>
            <w:vMerge w:val="continue"/>
            <w:tcBorders>
              <w:top w:val="nil"/>
              <w:bottom w:val="nil"/>
            </w:tcBorders>
            <w:noWrap w:val="0"/>
            <w:vAlign w:val="center"/>
          </w:tcPr>
          <w:p w14:paraId="1BD331C6">
            <w:pPr>
              <w:pStyle w:val="19"/>
              <w:jc w:val="center"/>
              <w:rPr>
                <w:color w:val="auto"/>
              </w:rPr>
            </w:pPr>
          </w:p>
        </w:tc>
        <w:tc>
          <w:tcPr>
            <w:tcW w:w="4656" w:type="dxa"/>
            <w:gridSpan w:val="7"/>
            <w:noWrap w:val="0"/>
            <w:vAlign w:val="center"/>
          </w:tcPr>
          <w:p w14:paraId="0A9D14D1">
            <w:pPr>
              <w:spacing w:before="30" w:line="194" w:lineRule="auto"/>
              <w:ind w:left="911"/>
              <w:rPr>
                <w:rFonts w:ascii="宋体" w:hAnsi="宋体" w:eastAsia="宋体" w:cs="宋体"/>
                <w:color w:val="auto"/>
                <w:sz w:val="19"/>
                <w:szCs w:val="19"/>
              </w:rPr>
            </w:pPr>
            <w:r>
              <w:rPr>
                <w:rFonts w:ascii="宋体" w:hAnsi="宋体" w:eastAsia="宋体" w:cs="宋体"/>
                <w:color w:val="auto"/>
                <w:spacing w:val="-1"/>
                <w:sz w:val="19"/>
                <w:szCs w:val="19"/>
              </w:rPr>
              <w:t>政府性基金拨款：</w:t>
            </w:r>
          </w:p>
        </w:tc>
        <w:tc>
          <w:tcPr>
            <w:tcW w:w="4280" w:type="dxa"/>
            <w:gridSpan w:val="8"/>
            <w:noWrap w:val="0"/>
            <w:vAlign w:val="center"/>
          </w:tcPr>
          <w:p w14:paraId="1A54AB50">
            <w:pPr>
              <w:spacing w:before="31" w:line="193" w:lineRule="auto"/>
              <w:ind w:left="715"/>
              <w:rPr>
                <w:rFonts w:ascii="宋体" w:hAnsi="宋体" w:eastAsia="宋体" w:cs="宋体"/>
                <w:color w:val="auto"/>
                <w:sz w:val="19"/>
                <w:szCs w:val="19"/>
                <w:lang w:eastAsia="zh-CN"/>
              </w:rPr>
            </w:pPr>
            <w:r>
              <w:rPr>
                <w:rFonts w:ascii="宋体" w:hAnsi="宋体" w:eastAsia="宋体" w:cs="宋体"/>
                <w:color w:val="auto"/>
                <w:spacing w:val="-1"/>
                <w:sz w:val="19"/>
                <w:szCs w:val="19"/>
              </w:rPr>
              <w:t>项目支出：</w:t>
            </w:r>
            <w:r>
              <w:rPr>
                <w:rFonts w:hint="eastAsia" w:ascii="宋体" w:hAnsi="宋体" w:eastAsia="宋体" w:cs="宋体"/>
                <w:color w:val="auto"/>
                <w:spacing w:val="-1"/>
                <w:sz w:val="19"/>
                <w:szCs w:val="19"/>
                <w:lang w:eastAsia="zh-CN"/>
              </w:rPr>
              <w:t>36.92</w:t>
            </w:r>
          </w:p>
        </w:tc>
      </w:tr>
      <w:tr w14:paraId="6E9DCA7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Before w:val="1"/>
          <w:gridAfter w:val="1"/>
          <w:wBefore w:w="42" w:type="dxa"/>
          <w:wAfter w:w="210" w:type="dxa"/>
          <w:trHeight w:val="250" w:hRule="atLeast"/>
          <w:jc w:val="center"/>
        </w:trPr>
        <w:tc>
          <w:tcPr>
            <w:tcW w:w="1084" w:type="dxa"/>
            <w:vMerge w:val="continue"/>
            <w:tcBorders>
              <w:top w:val="nil"/>
              <w:bottom w:val="nil"/>
            </w:tcBorders>
            <w:noWrap w:val="0"/>
            <w:vAlign w:val="center"/>
          </w:tcPr>
          <w:p w14:paraId="3EB4DE60">
            <w:pPr>
              <w:pStyle w:val="19"/>
              <w:jc w:val="center"/>
              <w:rPr>
                <w:color w:val="auto"/>
              </w:rPr>
            </w:pPr>
          </w:p>
        </w:tc>
        <w:tc>
          <w:tcPr>
            <w:tcW w:w="4656" w:type="dxa"/>
            <w:gridSpan w:val="7"/>
            <w:noWrap w:val="0"/>
            <w:vAlign w:val="center"/>
          </w:tcPr>
          <w:p w14:paraId="0E9E16A0">
            <w:pPr>
              <w:spacing w:before="30" w:line="204" w:lineRule="auto"/>
              <w:ind w:left="71"/>
              <w:rPr>
                <w:rFonts w:ascii="宋体" w:hAnsi="宋体" w:eastAsia="宋体" w:cs="宋体"/>
                <w:color w:val="auto"/>
                <w:sz w:val="19"/>
                <w:szCs w:val="19"/>
                <w:lang w:eastAsia="zh-CN"/>
              </w:rPr>
            </w:pPr>
            <w:r>
              <w:rPr>
                <w:rFonts w:ascii="宋体" w:hAnsi="宋体" w:eastAsia="宋体" w:cs="宋体"/>
                <w:color w:val="auto"/>
                <w:sz w:val="19"/>
                <w:szCs w:val="19"/>
                <w:lang w:eastAsia="zh-CN"/>
              </w:rPr>
              <w:t>纳入专户管理的非税收入拨款：</w:t>
            </w:r>
          </w:p>
        </w:tc>
        <w:tc>
          <w:tcPr>
            <w:tcW w:w="4280" w:type="dxa"/>
            <w:gridSpan w:val="8"/>
            <w:noWrap w:val="0"/>
            <w:vAlign w:val="center"/>
          </w:tcPr>
          <w:p w14:paraId="2556B2CE">
            <w:pPr>
              <w:pStyle w:val="19"/>
              <w:spacing w:line="240" w:lineRule="exact"/>
              <w:rPr>
                <w:color w:val="auto"/>
                <w:sz w:val="20"/>
                <w:lang w:eastAsia="zh-CN"/>
              </w:rPr>
            </w:pPr>
          </w:p>
        </w:tc>
      </w:tr>
      <w:tr w14:paraId="0DC002E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Before w:val="1"/>
          <w:gridAfter w:val="1"/>
          <w:wBefore w:w="42" w:type="dxa"/>
          <w:wAfter w:w="210" w:type="dxa"/>
          <w:trHeight w:val="230" w:hRule="atLeast"/>
          <w:jc w:val="center"/>
        </w:trPr>
        <w:tc>
          <w:tcPr>
            <w:tcW w:w="1084" w:type="dxa"/>
            <w:vMerge w:val="continue"/>
            <w:tcBorders>
              <w:top w:val="nil"/>
            </w:tcBorders>
            <w:noWrap w:val="0"/>
            <w:vAlign w:val="center"/>
          </w:tcPr>
          <w:p w14:paraId="14C75BF5">
            <w:pPr>
              <w:pStyle w:val="19"/>
              <w:jc w:val="center"/>
              <w:rPr>
                <w:color w:val="auto"/>
                <w:lang w:eastAsia="zh-CN"/>
              </w:rPr>
            </w:pPr>
          </w:p>
        </w:tc>
        <w:tc>
          <w:tcPr>
            <w:tcW w:w="4656" w:type="dxa"/>
            <w:gridSpan w:val="7"/>
            <w:noWrap w:val="0"/>
            <w:vAlign w:val="center"/>
          </w:tcPr>
          <w:p w14:paraId="60794EAC">
            <w:pPr>
              <w:spacing w:before="21" w:line="193" w:lineRule="auto"/>
              <w:ind w:left="1510"/>
              <w:rPr>
                <w:rFonts w:ascii="宋体" w:hAnsi="宋体" w:eastAsia="宋体" w:cs="宋体"/>
                <w:color w:val="auto"/>
                <w:sz w:val="19"/>
                <w:szCs w:val="19"/>
                <w:lang w:eastAsia="zh-CN"/>
              </w:rPr>
            </w:pPr>
            <w:r>
              <w:rPr>
                <w:rFonts w:ascii="宋体" w:hAnsi="宋体" w:eastAsia="宋体" w:cs="宋体"/>
                <w:color w:val="auto"/>
                <w:spacing w:val="-1"/>
                <w:sz w:val="19"/>
                <w:szCs w:val="19"/>
              </w:rPr>
              <w:t>其他资金：</w:t>
            </w:r>
            <w:r>
              <w:rPr>
                <w:rFonts w:hint="eastAsia" w:ascii="宋体" w:hAnsi="宋体" w:eastAsia="宋体" w:cs="宋体"/>
                <w:color w:val="auto"/>
                <w:spacing w:val="-1"/>
                <w:sz w:val="19"/>
                <w:szCs w:val="19"/>
                <w:lang w:eastAsia="zh-CN"/>
              </w:rPr>
              <w:t>134.50</w:t>
            </w:r>
          </w:p>
        </w:tc>
        <w:tc>
          <w:tcPr>
            <w:tcW w:w="4280" w:type="dxa"/>
            <w:gridSpan w:val="8"/>
            <w:noWrap w:val="0"/>
            <w:vAlign w:val="center"/>
          </w:tcPr>
          <w:p w14:paraId="79B499B5">
            <w:pPr>
              <w:pStyle w:val="19"/>
              <w:spacing w:line="220" w:lineRule="exact"/>
              <w:rPr>
                <w:color w:val="auto"/>
                <w:sz w:val="19"/>
              </w:rPr>
            </w:pPr>
          </w:p>
        </w:tc>
      </w:tr>
      <w:tr w14:paraId="1EC2E7B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Before w:val="1"/>
          <w:gridAfter w:val="1"/>
          <w:wBefore w:w="42" w:type="dxa"/>
          <w:wAfter w:w="210" w:type="dxa"/>
          <w:trHeight w:val="240" w:hRule="atLeast"/>
          <w:jc w:val="center"/>
        </w:trPr>
        <w:tc>
          <w:tcPr>
            <w:tcW w:w="1084" w:type="dxa"/>
            <w:vMerge w:val="restart"/>
            <w:tcBorders>
              <w:bottom w:val="nil"/>
            </w:tcBorders>
            <w:noWrap w:val="0"/>
            <w:vAlign w:val="center"/>
          </w:tcPr>
          <w:p w14:paraId="7AFE3DD5">
            <w:pPr>
              <w:spacing w:before="20" w:line="223" w:lineRule="auto"/>
              <w:ind w:left="344" w:right="167" w:hanging="189"/>
              <w:jc w:val="center"/>
              <w:rPr>
                <w:rFonts w:ascii="宋体" w:hAnsi="宋体" w:eastAsia="宋体" w:cs="宋体"/>
                <w:color w:val="auto"/>
                <w:sz w:val="19"/>
                <w:szCs w:val="19"/>
              </w:rPr>
            </w:pPr>
            <w:r>
              <w:rPr>
                <w:rFonts w:ascii="宋体" w:hAnsi="宋体" w:eastAsia="宋体" w:cs="宋体"/>
                <w:color w:val="auto"/>
                <w:spacing w:val="-3"/>
                <w:sz w:val="19"/>
                <w:szCs w:val="19"/>
              </w:rPr>
              <w:t>年度总体</w:t>
            </w:r>
            <w:r>
              <w:rPr>
                <w:rFonts w:ascii="宋体" w:hAnsi="宋体" w:eastAsia="宋体" w:cs="宋体"/>
                <w:color w:val="auto"/>
                <w:spacing w:val="2"/>
                <w:sz w:val="19"/>
                <w:szCs w:val="19"/>
              </w:rPr>
              <w:t xml:space="preserve"> </w:t>
            </w:r>
            <w:r>
              <w:rPr>
                <w:rFonts w:ascii="宋体" w:hAnsi="宋体" w:eastAsia="宋体" w:cs="宋体"/>
                <w:color w:val="auto"/>
                <w:spacing w:val="7"/>
                <w:sz w:val="19"/>
                <w:szCs w:val="19"/>
              </w:rPr>
              <w:t>目标</w:t>
            </w:r>
          </w:p>
        </w:tc>
        <w:tc>
          <w:tcPr>
            <w:tcW w:w="4656" w:type="dxa"/>
            <w:gridSpan w:val="7"/>
            <w:noWrap w:val="0"/>
            <w:vAlign w:val="center"/>
          </w:tcPr>
          <w:p w14:paraId="38FBE195">
            <w:pPr>
              <w:spacing w:before="31" w:line="193" w:lineRule="auto"/>
              <w:ind w:left="1951"/>
              <w:jc w:val="center"/>
              <w:rPr>
                <w:rFonts w:ascii="宋体" w:hAnsi="宋体" w:eastAsia="宋体" w:cs="宋体"/>
                <w:color w:val="auto"/>
                <w:sz w:val="19"/>
                <w:szCs w:val="19"/>
              </w:rPr>
            </w:pPr>
            <w:r>
              <w:rPr>
                <w:rFonts w:ascii="宋体" w:hAnsi="宋体" w:eastAsia="宋体" w:cs="宋体"/>
                <w:color w:val="auto"/>
                <w:spacing w:val="-2"/>
                <w:sz w:val="19"/>
                <w:szCs w:val="19"/>
              </w:rPr>
              <w:t>预期目标</w:t>
            </w:r>
          </w:p>
        </w:tc>
        <w:tc>
          <w:tcPr>
            <w:tcW w:w="4280" w:type="dxa"/>
            <w:gridSpan w:val="8"/>
            <w:noWrap w:val="0"/>
            <w:vAlign w:val="center"/>
          </w:tcPr>
          <w:p w14:paraId="4A9675E0">
            <w:pPr>
              <w:spacing w:before="30" w:line="194" w:lineRule="auto"/>
              <w:ind w:left="1564"/>
              <w:jc w:val="center"/>
              <w:rPr>
                <w:rFonts w:ascii="宋体" w:hAnsi="宋体" w:eastAsia="宋体" w:cs="宋体"/>
                <w:color w:val="auto"/>
                <w:sz w:val="19"/>
                <w:szCs w:val="19"/>
              </w:rPr>
            </w:pPr>
            <w:r>
              <w:rPr>
                <w:rFonts w:ascii="宋体" w:hAnsi="宋体" w:eastAsia="宋体" w:cs="宋体"/>
                <w:color w:val="auto"/>
                <w:spacing w:val="1"/>
                <w:sz w:val="19"/>
                <w:szCs w:val="19"/>
              </w:rPr>
              <w:t>实际完成情况</w:t>
            </w:r>
          </w:p>
        </w:tc>
      </w:tr>
      <w:tr w14:paraId="080508E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Before w:val="1"/>
          <w:gridAfter w:val="1"/>
          <w:wBefore w:w="42" w:type="dxa"/>
          <w:wAfter w:w="210" w:type="dxa"/>
          <w:trHeight w:val="9439" w:hRule="atLeast"/>
          <w:jc w:val="center"/>
        </w:trPr>
        <w:tc>
          <w:tcPr>
            <w:tcW w:w="1084" w:type="dxa"/>
            <w:vMerge w:val="continue"/>
            <w:tcBorders>
              <w:top w:val="nil"/>
            </w:tcBorders>
            <w:noWrap w:val="0"/>
            <w:vAlign w:val="center"/>
          </w:tcPr>
          <w:p w14:paraId="342ECB6D">
            <w:pPr>
              <w:pStyle w:val="19"/>
              <w:jc w:val="center"/>
              <w:rPr>
                <w:color w:val="auto"/>
              </w:rPr>
            </w:pPr>
          </w:p>
        </w:tc>
        <w:tc>
          <w:tcPr>
            <w:tcW w:w="4656" w:type="dxa"/>
            <w:gridSpan w:val="7"/>
            <w:noWrap w:val="0"/>
            <w:vAlign w:val="center"/>
          </w:tcPr>
          <w:p w14:paraId="2B65D80E">
            <w:pPr>
              <w:pStyle w:val="19"/>
              <w:keepNext w:val="0"/>
              <w:keepLines w:val="0"/>
              <w:pageBreakBefore w:val="0"/>
              <w:widowControl w:val="0"/>
              <w:kinsoku/>
              <w:wordWrap/>
              <w:overflowPunct/>
              <w:topLinePunct w:val="0"/>
              <w:autoSpaceDE/>
              <w:autoSpaceDN/>
              <w:bidi w:val="0"/>
              <w:adjustRightInd/>
              <w:snapToGrid/>
              <w:spacing w:line="270" w:lineRule="exact"/>
              <w:jc w:val="left"/>
              <w:textAlignment w:val="auto"/>
              <w:rPr>
                <w:rFonts w:hint="eastAsia" w:ascii="仿宋" w:hAnsi="仿宋" w:eastAsia="仿宋" w:cs="仿宋"/>
                <w:color w:val="auto"/>
                <w:sz w:val="21"/>
                <w:szCs w:val="21"/>
                <w:lang w:eastAsia="zh-CN"/>
              </w:rPr>
            </w:pPr>
            <w:r>
              <w:rPr>
                <w:rFonts w:hint="eastAsia" w:ascii="仿宋" w:hAnsi="仿宋" w:eastAsia="仿宋" w:cs="仿宋"/>
                <w:color w:val="auto"/>
                <w:sz w:val="21"/>
                <w:szCs w:val="21"/>
                <w:lang w:eastAsia="zh-CN"/>
              </w:rPr>
              <w:t>（一）坚守安全生产生命底线，确保安全形势稳定：</w:t>
            </w:r>
          </w:p>
          <w:p w14:paraId="196E1B2E">
            <w:pPr>
              <w:pStyle w:val="19"/>
              <w:keepNext w:val="0"/>
              <w:keepLines w:val="0"/>
              <w:pageBreakBefore w:val="0"/>
              <w:widowControl w:val="0"/>
              <w:kinsoku/>
              <w:wordWrap/>
              <w:overflowPunct/>
              <w:topLinePunct w:val="0"/>
              <w:autoSpaceDE/>
              <w:autoSpaceDN/>
              <w:bidi w:val="0"/>
              <w:adjustRightInd/>
              <w:snapToGrid/>
              <w:spacing w:line="270" w:lineRule="exact"/>
              <w:jc w:val="left"/>
              <w:textAlignment w:val="auto"/>
              <w:rPr>
                <w:rFonts w:hint="eastAsia" w:ascii="仿宋" w:hAnsi="仿宋" w:eastAsia="仿宋" w:cs="仿宋"/>
                <w:color w:val="auto"/>
                <w:sz w:val="21"/>
                <w:szCs w:val="21"/>
                <w:lang w:eastAsia="zh-CN"/>
              </w:rPr>
            </w:pPr>
            <w:r>
              <w:rPr>
                <w:rFonts w:hint="eastAsia" w:ascii="仿宋" w:hAnsi="仿宋" w:eastAsia="仿宋" w:cs="仿宋"/>
                <w:color w:val="auto"/>
                <w:sz w:val="21"/>
                <w:szCs w:val="21"/>
                <w:lang w:eastAsia="zh-CN"/>
              </w:rPr>
              <w:t>1、齐抓共管，牢固树立 “安全第一、预防为主”的思想；</w:t>
            </w:r>
          </w:p>
          <w:p w14:paraId="5DBFA4DE">
            <w:pPr>
              <w:pStyle w:val="19"/>
              <w:keepNext w:val="0"/>
              <w:keepLines w:val="0"/>
              <w:pageBreakBefore w:val="0"/>
              <w:widowControl w:val="0"/>
              <w:kinsoku/>
              <w:wordWrap/>
              <w:overflowPunct/>
              <w:topLinePunct w:val="0"/>
              <w:autoSpaceDE/>
              <w:autoSpaceDN/>
              <w:bidi w:val="0"/>
              <w:adjustRightInd/>
              <w:snapToGrid/>
              <w:spacing w:line="270" w:lineRule="exact"/>
              <w:jc w:val="left"/>
              <w:textAlignment w:val="auto"/>
              <w:rPr>
                <w:rFonts w:hint="eastAsia" w:ascii="仿宋" w:hAnsi="仿宋" w:eastAsia="仿宋" w:cs="仿宋"/>
                <w:color w:val="auto"/>
                <w:sz w:val="21"/>
                <w:szCs w:val="21"/>
                <w:lang w:eastAsia="zh-CN"/>
              </w:rPr>
            </w:pPr>
            <w:r>
              <w:rPr>
                <w:rFonts w:hint="eastAsia" w:ascii="仿宋" w:hAnsi="仿宋" w:eastAsia="仿宋" w:cs="仿宋"/>
                <w:color w:val="auto"/>
                <w:sz w:val="21"/>
                <w:szCs w:val="21"/>
                <w:lang w:eastAsia="zh-CN"/>
              </w:rPr>
              <w:t>2、突出安全生产重点环节的专项整治，继续抓好建筑机械、高支模、深基坑等危大工程的安全管理，以安全生产标准化考评为抓手，杜绝较大及以上生产安全事故的发生；</w:t>
            </w:r>
          </w:p>
          <w:p w14:paraId="1BB58474">
            <w:pPr>
              <w:pStyle w:val="19"/>
              <w:keepNext w:val="0"/>
              <w:keepLines w:val="0"/>
              <w:pageBreakBefore w:val="0"/>
              <w:widowControl w:val="0"/>
              <w:kinsoku/>
              <w:wordWrap/>
              <w:overflowPunct/>
              <w:topLinePunct w:val="0"/>
              <w:autoSpaceDE/>
              <w:autoSpaceDN/>
              <w:bidi w:val="0"/>
              <w:adjustRightInd/>
              <w:snapToGrid/>
              <w:spacing w:line="270" w:lineRule="exact"/>
              <w:jc w:val="left"/>
              <w:textAlignment w:val="auto"/>
              <w:rPr>
                <w:rFonts w:hint="eastAsia" w:ascii="仿宋" w:hAnsi="仿宋" w:eastAsia="仿宋" w:cs="仿宋"/>
                <w:color w:val="auto"/>
                <w:sz w:val="21"/>
                <w:szCs w:val="21"/>
                <w:lang w:eastAsia="zh-CN"/>
              </w:rPr>
            </w:pPr>
            <w:r>
              <w:rPr>
                <w:rFonts w:hint="eastAsia" w:ascii="仿宋" w:hAnsi="仿宋" w:eastAsia="仿宋" w:cs="仿宋"/>
                <w:color w:val="auto"/>
                <w:sz w:val="21"/>
                <w:szCs w:val="21"/>
                <w:lang w:eastAsia="zh-CN"/>
              </w:rPr>
              <w:t>3、积极开展“打非治违”和“强制法防事故”专项行动，严厉打击施工现场违法开工、违规施工、违章作业的行为，强化责任意识，加强法律法规宣传力度和执法能力建设，做到执法必严、违法必究；</w:t>
            </w:r>
          </w:p>
          <w:p w14:paraId="715387F1">
            <w:pPr>
              <w:pStyle w:val="19"/>
              <w:keepNext w:val="0"/>
              <w:keepLines w:val="0"/>
              <w:pageBreakBefore w:val="0"/>
              <w:widowControl w:val="0"/>
              <w:kinsoku/>
              <w:wordWrap/>
              <w:overflowPunct/>
              <w:topLinePunct w:val="0"/>
              <w:autoSpaceDE/>
              <w:autoSpaceDN/>
              <w:bidi w:val="0"/>
              <w:adjustRightInd/>
              <w:snapToGrid/>
              <w:spacing w:line="270" w:lineRule="exact"/>
              <w:jc w:val="left"/>
              <w:textAlignment w:val="auto"/>
              <w:rPr>
                <w:rFonts w:hint="eastAsia" w:ascii="仿宋" w:hAnsi="仿宋" w:eastAsia="仿宋" w:cs="仿宋"/>
                <w:color w:val="auto"/>
                <w:sz w:val="21"/>
                <w:szCs w:val="21"/>
                <w:lang w:eastAsia="zh-CN"/>
              </w:rPr>
            </w:pPr>
            <w:r>
              <w:rPr>
                <w:rFonts w:hint="eastAsia" w:ascii="仿宋" w:hAnsi="仿宋" w:eastAsia="仿宋" w:cs="仿宋"/>
                <w:color w:val="auto"/>
                <w:sz w:val="21"/>
                <w:szCs w:val="21"/>
                <w:lang w:eastAsia="zh-CN"/>
              </w:rPr>
              <w:t>4、全面提高施工现场文明施工标准化水平；继续推动安全责任险，加强安全生产教育和预防，提高企业应对突发事故能力。</w:t>
            </w:r>
          </w:p>
          <w:p w14:paraId="18B68A0E">
            <w:pPr>
              <w:pStyle w:val="19"/>
              <w:keepNext w:val="0"/>
              <w:keepLines w:val="0"/>
              <w:pageBreakBefore w:val="0"/>
              <w:widowControl w:val="0"/>
              <w:kinsoku/>
              <w:wordWrap/>
              <w:overflowPunct/>
              <w:topLinePunct w:val="0"/>
              <w:autoSpaceDE/>
              <w:autoSpaceDN/>
              <w:bidi w:val="0"/>
              <w:adjustRightInd/>
              <w:snapToGrid/>
              <w:spacing w:line="270" w:lineRule="exact"/>
              <w:jc w:val="left"/>
              <w:textAlignment w:val="auto"/>
              <w:rPr>
                <w:rFonts w:hint="eastAsia" w:ascii="仿宋" w:hAnsi="仿宋" w:eastAsia="仿宋" w:cs="仿宋"/>
                <w:color w:val="auto"/>
                <w:sz w:val="21"/>
                <w:szCs w:val="21"/>
                <w:lang w:eastAsia="zh-CN"/>
              </w:rPr>
            </w:pPr>
            <w:r>
              <w:rPr>
                <w:rFonts w:hint="eastAsia" w:ascii="仿宋" w:hAnsi="仿宋" w:eastAsia="仿宋" w:cs="仿宋"/>
                <w:color w:val="auto"/>
                <w:sz w:val="21"/>
                <w:szCs w:val="21"/>
                <w:lang w:eastAsia="zh-CN"/>
              </w:rPr>
              <w:t>（二）强化工程质量全过程监管，建设人民满意工程：</w:t>
            </w:r>
          </w:p>
          <w:p w14:paraId="07259CF3">
            <w:pPr>
              <w:pStyle w:val="19"/>
              <w:keepNext w:val="0"/>
              <w:keepLines w:val="0"/>
              <w:pageBreakBefore w:val="0"/>
              <w:widowControl w:val="0"/>
              <w:kinsoku/>
              <w:wordWrap/>
              <w:overflowPunct/>
              <w:topLinePunct w:val="0"/>
              <w:autoSpaceDE/>
              <w:autoSpaceDN/>
              <w:bidi w:val="0"/>
              <w:adjustRightInd/>
              <w:snapToGrid/>
              <w:spacing w:line="270" w:lineRule="exact"/>
              <w:jc w:val="left"/>
              <w:textAlignment w:val="auto"/>
              <w:rPr>
                <w:rFonts w:hint="eastAsia" w:ascii="仿宋" w:hAnsi="仿宋" w:eastAsia="仿宋" w:cs="仿宋"/>
                <w:color w:val="auto"/>
                <w:sz w:val="21"/>
                <w:szCs w:val="21"/>
                <w:lang w:eastAsia="zh-CN"/>
              </w:rPr>
            </w:pPr>
            <w:r>
              <w:rPr>
                <w:rFonts w:hint="eastAsia" w:ascii="仿宋" w:hAnsi="仿宋" w:eastAsia="仿宋" w:cs="仿宋"/>
                <w:color w:val="auto"/>
                <w:sz w:val="21"/>
                <w:szCs w:val="21"/>
                <w:lang w:eastAsia="zh-CN"/>
              </w:rPr>
              <w:t xml:space="preserve">1、继续严把基础、主体、竣工验收关，严格执行工程质量标准化考评工作做好工程质量全过程监督。     </w:t>
            </w:r>
          </w:p>
          <w:p w14:paraId="2637B74D">
            <w:pPr>
              <w:pStyle w:val="19"/>
              <w:keepNext w:val="0"/>
              <w:keepLines w:val="0"/>
              <w:pageBreakBefore w:val="0"/>
              <w:widowControl w:val="0"/>
              <w:kinsoku/>
              <w:wordWrap/>
              <w:overflowPunct/>
              <w:topLinePunct w:val="0"/>
              <w:autoSpaceDE/>
              <w:autoSpaceDN/>
              <w:bidi w:val="0"/>
              <w:adjustRightInd/>
              <w:snapToGrid/>
              <w:spacing w:line="270" w:lineRule="exact"/>
              <w:jc w:val="left"/>
              <w:textAlignment w:val="auto"/>
              <w:rPr>
                <w:rFonts w:hint="eastAsia" w:ascii="仿宋" w:hAnsi="仿宋" w:eastAsia="仿宋" w:cs="仿宋"/>
                <w:color w:val="auto"/>
                <w:sz w:val="21"/>
                <w:szCs w:val="21"/>
                <w:lang w:eastAsia="zh-CN"/>
              </w:rPr>
            </w:pPr>
            <w:r>
              <w:rPr>
                <w:rFonts w:hint="eastAsia" w:ascii="仿宋" w:hAnsi="仿宋" w:eastAsia="仿宋" w:cs="仿宋"/>
                <w:color w:val="auto"/>
                <w:sz w:val="21"/>
                <w:szCs w:val="21"/>
                <w:lang w:eastAsia="zh-CN"/>
              </w:rPr>
              <w:t>2、努力引导企业树立优质工程意识和工匠精神，样板引路，以点带面，全面提高工程质量水平。</w:t>
            </w:r>
          </w:p>
          <w:p w14:paraId="38223A54">
            <w:pPr>
              <w:pStyle w:val="19"/>
              <w:keepNext w:val="0"/>
              <w:keepLines w:val="0"/>
              <w:pageBreakBefore w:val="0"/>
              <w:widowControl w:val="0"/>
              <w:kinsoku/>
              <w:wordWrap/>
              <w:overflowPunct/>
              <w:topLinePunct w:val="0"/>
              <w:autoSpaceDE/>
              <w:autoSpaceDN/>
              <w:bidi w:val="0"/>
              <w:adjustRightInd/>
              <w:snapToGrid/>
              <w:spacing w:line="270" w:lineRule="exact"/>
              <w:jc w:val="left"/>
              <w:textAlignment w:val="auto"/>
              <w:rPr>
                <w:rFonts w:hint="eastAsia" w:ascii="仿宋" w:hAnsi="仿宋" w:eastAsia="仿宋" w:cs="仿宋"/>
                <w:color w:val="auto"/>
                <w:sz w:val="21"/>
                <w:szCs w:val="21"/>
                <w:lang w:eastAsia="zh-CN"/>
              </w:rPr>
            </w:pPr>
            <w:r>
              <w:rPr>
                <w:rFonts w:hint="eastAsia" w:ascii="仿宋" w:hAnsi="仿宋" w:eastAsia="仿宋" w:cs="仿宋"/>
                <w:color w:val="auto"/>
                <w:sz w:val="21"/>
                <w:szCs w:val="21"/>
                <w:lang w:eastAsia="zh-CN"/>
              </w:rPr>
              <w:t>3、继续深入开展以商品砼、检验检测、抗震设防为重点的工程质量常见问题专项治理，严格落实企业主体责任，特别是建设单位首要责任。</w:t>
            </w:r>
          </w:p>
          <w:p w14:paraId="66FA292A">
            <w:pPr>
              <w:pStyle w:val="19"/>
              <w:keepNext w:val="0"/>
              <w:keepLines w:val="0"/>
              <w:pageBreakBefore w:val="0"/>
              <w:widowControl w:val="0"/>
              <w:kinsoku/>
              <w:wordWrap/>
              <w:overflowPunct/>
              <w:topLinePunct w:val="0"/>
              <w:autoSpaceDE/>
              <w:autoSpaceDN/>
              <w:bidi w:val="0"/>
              <w:adjustRightInd/>
              <w:snapToGrid/>
              <w:spacing w:line="270" w:lineRule="exact"/>
              <w:jc w:val="left"/>
              <w:textAlignment w:val="auto"/>
              <w:rPr>
                <w:rFonts w:hint="eastAsia" w:ascii="仿宋" w:hAnsi="仿宋" w:eastAsia="仿宋" w:cs="仿宋"/>
                <w:color w:val="auto"/>
                <w:sz w:val="21"/>
                <w:szCs w:val="21"/>
                <w:lang w:eastAsia="zh-CN"/>
              </w:rPr>
            </w:pPr>
            <w:r>
              <w:rPr>
                <w:rFonts w:hint="eastAsia" w:ascii="仿宋" w:hAnsi="仿宋" w:eastAsia="仿宋" w:cs="仿宋"/>
                <w:color w:val="auto"/>
                <w:sz w:val="21"/>
                <w:szCs w:val="21"/>
                <w:lang w:eastAsia="zh-CN"/>
              </w:rPr>
              <w:t>（三）做好房屋安全鉴定的咨询及处理既有房屋安全相关的投诉、举报。</w:t>
            </w:r>
          </w:p>
          <w:p w14:paraId="579D13E1">
            <w:pPr>
              <w:pStyle w:val="19"/>
              <w:keepNext w:val="0"/>
              <w:keepLines w:val="0"/>
              <w:pageBreakBefore w:val="0"/>
              <w:widowControl w:val="0"/>
              <w:kinsoku/>
              <w:wordWrap/>
              <w:overflowPunct/>
              <w:topLinePunct w:val="0"/>
              <w:autoSpaceDE/>
              <w:autoSpaceDN/>
              <w:bidi w:val="0"/>
              <w:adjustRightInd/>
              <w:snapToGrid/>
              <w:spacing w:line="270" w:lineRule="exact"/>
              <w:jc w:val="left"/>
              <w:textAlignment w:val="auto"/>
              <w:rPr>
                <w:rFonts w:hint="eastAsia" w:ascii="仿宋" w:hAnsi="仿宋" w:eastAsia="仿宋" w:cs="仿宋"/>
                <w:color w:val="auto"/>
                <w:sz w:val="21"/>
                <w:szCs w:val="21"/>
                <w:lang w:eastAsia="zh-CN"/>
              </w:rPr>
            </w:pPr>
            <w:r>
              <w:rPr>
                <w:rFonts w:hint="eastAsia" w:ascii="仿宋" w:hAnsi="仿宋" w:eastAsia="仿宋" w:cs="仿宋"/>
                <w:color w:val="auto"/>
                <w:sz w:val="21"/>
                <w:szCs w:val="21"/>
                <w:lang w:eastAsia="zh-CN"/>
              </w:rPr>
              <w:t>（四）做好城区范围内单独报建的房屋装饰装修工程、既有住宅加装电梯工程质量安全监督管理。</w:t>
            </w:r>
          </w:p>
          <w:p w14:paraId="2E10481C">
            <w:pPr>
              <w:pStyle w:val="19"/>
              <w:keepNext w:val="0"/>
              <w:keepLines w:val="0"/>
              <w:pageBreakBefore w:val="0"/>
              <w:widowControl w:val="0"/>
              <w:kinsoku/>
              <w:wordWrap/>
              <w:overflowPunct/>
              <w:topLinePunct w:val="0"/>
              <w:autoSpaceDE/>
              <w:autoSpaceDN/>
              <w:bidi w:val="0"/>
              <w:adjustRightInd/>
              <w:snapToGrid/>
              <w:spacing w:line="270" w:lineRule="exact"/>
              <w:jc w:val="left"/>
              <w:textAlignment w:val="auto"/>
              <w:rPr>
                <w:rFonts w:hint="eastAsia" w:ascii="仿宋" w:hAnsi="仿宋" w:eastAsia="仿宋" w:cs="仿宋"/>
                <w:color w:val="auto"/>
                <w:sz w:val="21"/>
                <w:szCs w:val="21"/>
                <w:lang w:eastAsia="zh-CN"/>
              </w:rPr>
            </w:pPr>
            <w:r>
              <w:rPr>
                <w:rFonts w:hint="eastAsia" w:ascii="仿宋" w:hAnsi="仿宋" w:eastAsia="仿宋" w:cs="仿宋"/>
                <w:color w:val="auto"/>
                <w:sz w:val="21"/>
                <w:szCs w:val="21"/>
                <w:lang w:eastAsia="zh-CN"/>
              </w:rPr>
              <w:t>（五）积极探索质量安全监管新模式，提高监管效能</w:t>
            </w:r>
          </w:p>
          <w:p w14:paraId="44DBE64B">
            <w:pPr>
              <w:pStyle w:val="19"/>
              <w:keepNext w:val="0"/>
              <w:keepLines w:val="0"/>
              <w:pageBreakBefore w:val="0"/>
              <w:widowControl w:val="0"/>
              <w:kinsoku/>
              <w:wordWrap/>
              <w:overflowPunct/>
              <w:topLinePunct w:val="0"/>
              <w:autoSpaceDE/>
              <w:autoSpaceDN/>
              <w:bidi w:val="0"/>
              <w:adjustRightInd/>
              <w:snapToGrid/>
              <w:spacing w:line="270" w:lineRule="exact"/>
              <w:jc w:val="left"/>
              <w:textAlignment w:val="auto"/>
              <w:rPr>
                <w:rFonts w:hint="eastAsia" w:ascii="仿宋" w:hAnsi="仿宋" w:eastAsia="仿宋" w:cs="仿宋"/>
                <w:color w:val="auto"/>
                <w:sz w:val="21"/>
                <w:szCs w:val="21"/>
                <w:lang w:eastAsia="zh-CN"/>
              </w:rPr>
            </w:pPr>
            <w:r>
              <w:rPr>
                <w:rFonts w:hint="eastAsia" w:ascii="仿宋" w:hAnsi="仿宋" w:eastAsia="仿宋" w:cs="仿宋"/>
                <w:color w:val="auto"/>
                <w:sz w:val="21"/>
                <w:szCs w:val="21"/>
                <w:lang w:eastAsia="zh-CN"/>
              </w:rPr>
              <w:t>（六）认真做好“放、管、服”工作，让群众最多跑一次</w:t>
            </w:r>
          </w:p>
          <w:p w14:paraId="28E77EC5">
            <w:pPr>
              <w:pStyle w:val="19"/>
              <w:keepNext w:val="0"/>
              <w:keepLines w:val="0"/>
              <w:pageBreakBefore w:val="0"/>
              <w:widowControl w:val="0"/>
              <w:kinsoku/>
              <w:wordWrap/>
              <w:overflowPunct/>
              <w:topLinePunct w:val="0"/>
              <w:autoSpaceDE/>
              <w:autoSpaceDN/>
              <w:bidi w:val="0"/>
              <w:adjustRightInd/>
              <w:snapToGrid/>
              <w:spacing w:line="270" w:lineRule="exact"/>
              <w:jc w:val="left"/>
              <w:textAlignment w:val="auto"/>
              <w:rPr>
                <w:rFonts w:hint="eastAsia" w:ascii="仿宋" w:hAnsi="仿宋" w:eastAsia="仿宋" w:cs="仿宋"/>
                <w:color w:val="auto"/>
                <w:sz w:val="21"/>
                <w:szCs w:val="21"/>
                <w:lang w:eastAsia="zh-CN"/>
              </w:rPr>
            </w:pPr>
            <w:r>
              <w:rPr>
                <w:rFonts w:hint="eastAsia" w:ascii="仿宋" w:hAnsi="仿宋" w:eastAsia="仿宋" w:cs="仿宋"/>
                <w:color w:val="auto"/>
                <w:sz w:val="21"/>
                <w:szCs w:val="21"/>
                <w:lang w:eastAsia="zh-CN"/>
              </w:rPr>
              <w:t>（七）强力推进工地环保综合治理，共建碧水蓝天</w:t>
            </w:r>
          </w:p>
          <w:p w14:paraId="6FE5118E">
            <w:pPr>
              <w:pStyle w:val="19"/>
              <w:keepNext w:val="0"/>
              <w:keepLines w:val="0"/>
              <w:pageBreakBefore w:val="0"/>
              <w:widowControl w:val="0"/>
              <w:kinsoku/>
              <w:wordWrap/>
              <w:overflowPunct/>
              <w:topLinePunct w:val="0"/>
              <w:autoSpaceDE/>
              <w:autoSpaceDN/>
              <w:bidi w:val="0"/>
              <w:adjustRightInd/>
              <w:snapToGrid/>
              <w:spacing w:line="270" w:lineRule="exact"/>
              <w:jc w:val="left"/>
              <w:textAlignment w:val="auto"/>
              <w:rPr>
                <w:rFonts w:hint="eastAsia" w:ascii="仿宋" w:hAnsi="仿宋" w:eastAsia="仿宋" w:cs="仿宋"/>
                <w:color w:val="auto"/>
                <w:sz w:val="21"/>
                <w:szCs w:val="21"/>
                <w:lang w:eastAsia="zh-CN"/>
              </w:rPr>
            </w:pPr>
            <w:r>
              <w:rPr>
                <w:rFonts w:hint="eastAsia" w:ascii="仿宋" w:hAnsi="仿宋" w:eastAsia="仿宋" w:cs="仿宋"/>
                <w:color w:val="auto"/>
                <w:sz w:val="21"/>
                <w:szCs w:val="21"/>
                <w:lang w:eastAsia="zh-CN"/>
              </w:rPr>
              <w:t>（八）强化作风和党风廉政建设，牢固树立规矩意识</w:t>
            </w:r>
          </w:p>
        </w:tc>
        <w:tc>
          <w:tcPr>
            <w:tcW w:w="4280" w:type="dxa"/>
            <w:gridSpan w:val="8"/>
            <w:noWrap w:val="0"/>
            <w:vAlign w:val="center"/>
          </w:tcPr>
          <w:p w14:paraId="46C72702">
            <w:pPr>
              <w:pStyle w:val="19"/>
              <w:keepNext w:val="0"/>
              <w:keepLines w:val="0"/>
              <w:pageBreakBefore w:val="0"/>
              <w:widowControl w:val="0"/>
              <w:kinsoku/>
              <w:wordWrap/>
              <w:overflowPunct/>
              <w:topLinePunct w:val="0"/>
              <w:autoSpaceDE/>
              <w:autoSpaceDN/>
              <w:bidi w:val="0"/>
              <w:adjustRightInd/>
              <w:snapToGrid/>
              <w:spacing w:line="270" w:lineRule="exact"/>
              <w:jc w:val="left"/>
              <w:textAlignment w:val="auto"/>
              <w:rPr>
                <w:rFonts w:hint="eastAsia" w:ascii="仿宋" w:hAnsi="仿宋" w:eastAsia="仿宋" w:cs="仿宋"/>
                <w:color w:val="auto"/>
                <w:sz w:val="21"/>
                <w:szCs w:val="21"/>
                <w:lang w:eastAsia="zh-CN"/>
              </w:rPr>
            </w:pPr>
            <w:r>
              <w:rPr>
                <w:rFonts w:hint="eastAsia" w:ascii="仿宋" w:hAnsi="仿宋" w:eastAsia="仿宋" w:cs="仿宋"/>
                <w:color w:val="auto"/>
                <w:sz w:val="21"/>
                <w:szCs w:val="21"/>
                <w:lang w:eastAsia="zh-CN"/>
              </w:rPr>
              <w:t>（一）完成了安全生产生命底线，确保了安全形势稳定：</w:t>
            </w:r>
          </w:p>
          <w:p w14:paraId="1CE0C2D3">
            <w:pPr>
              <w:pStyle w:val="19"/>
              <w:keepNext w:val="0"/>
              <w:keepLines w:val="0"/>
              <w:pageBreakBefore w:val="0"/>
              <w:widowControl w:val="0"/>
              <w:kinsoku/>
              <w:wordWrap/>
              <w:overflowPunct/>
              <w:topLinePunct w:val="0"/>
              <w:autoSpaceDE/>
              <w:autoSpaceDN/>
              <w:bidi w:val="0"/>
              <w:adjustRightInd/>
              <w:snapToGrid/>
              <w:spacing w:line="270" w:lineRule="exact"/>
              <w:jc w:val="left"/>
              <w:textAlignment w:val="auto"/>
              <w:rPr>
                <w:rFonts w:hint="eastAsia" w:ascii="仿宋" w:hAnsi="仿宋" w:eastAsia="仿宋" w:cs="仿宋"/>
                <w:color w:val="auto"/>
                <w:sz w:val="21"/>
                <w:szCs w:val="21"/>
                <w:lang w:eastAsia="zh-CN"/>
              </w:rPr>
            </w:pPr>
            <w:r>
              <w:rPr>
                <w:rFonts w:hint="eastAsia" w:ascii="仿宋" w:hAnsi="仿宋" w:eastAsia="仿宋" w:cs="仿宋"/>
                <w:color w:val="auto"/>
                <w:sz w:val="21"/>
                <w:szCs w:val="21"/>
                <w:lang w:eastAsia="zh-CN"/>
              </w:rPr>
              <w:t>1、本年没有发生较大及以上生产安全事故的发生；</w:t>
            </w:r>
          </w:p>
          <w:p w14:paraId="6F630AA0">
            <w:pPr>
              <w:pStyle w:val="19"/>
              <w:keepNext w:val="0"/>
              <w:keepLines w:val="0"/>
              <w:pageBreakBefore w:val="0"/>
              <w:widowControl w:val="0"/>
              <w:kinsoku/>
              <w:wordWrap/>
              <w:overflowPunct/>
              <w:topLinePunct w:val="0"/>
              <w:autoSpaceDE/>
              <w:autoSpaceDN/>
              <w:bidi w:val="0"/>
              <w:adjustRightInd/>
              <w:snapToGrid/>
              <w:spacing w:line="270" w:lineRule="exact"/>
              <w:jc w:val="left"/>
              <w:textAlignment w:val="auto"/>
              <w:rPr>
                <w:rFonts w:hint="eastAsia" w:ascii="仿宋" w:hAnsi="仿宋" w:eastAsia="仿宋" w:cs="仿宋"/>
                <w:color w:val="auto"/>
                <w:sz w:val="21"/>
                <w:szCs w:val="21"/>
                <w:lang w:eastAsia="zh-CN"/>
              </w:rPr>
            </w:pPr>
            <w:r>
              <w:rPr>
                <w:rFonts w:hint="eastAsia" w:ascii="仿宋" w:hAnsi="仿宋" w:eastAsia="仿宋" w:cs="仿宋"/>
                <w:color w:val="auto"/>
                <w:sz w:val="21"/>
                <w:szCs w:val="21"/>
                <w:lang w:eastAsia="zh-CN"/>
              </w:rPr>
              <w:t>3、积极开展了“打非治违”和“强制法防事故”专项行动，严厉打击施工现场违法开工、违规施工、违章作业的行为，强化责任意识，加强了法律法规宣传力度和执法能力建设，做到执法必严、违法必究；</w:t>
            </w:r>
          </w:p>
          <w:p w14:paraId="5D865031">
            <w:pPr>
              <w:pStyle w:val="19"/>
              <w:keepNext w:val="0"/>
              <w:keepLines w:val="0"/>
              <w:pageBreakBefore w:val="0"/>
              <w:widowControl w:val="0"/>
              <w:kinsoku/>
              <w:wordWrap/>
              <w:overflowPunct/>
              <w:topLinePunct w:val="0"/>
              <w:autoSpaceDE/>
              <w:autoSpaceDN/>
              <w:bidi w:val="0"/>
              <w:adjustRightInd/>
              <w:snapToGrid/>
              <w:spacing w:line="270" w:lineRule="exact"/>
              <w:jc w:val="left"/>
              <w:textAlignment w:val="auto"/>
              <w:rPr>
                <w:rFonts w:hint="eastAsia" w:ascii="仿宋" w:hAnsi="仿宋" w:eastAsia="仿宋" w:cs="仿宋"/>
                <w:color w:val="auto"/>
                <w:sz w:val="21"/>
                <w:szCs w:val="21"/>
                <w:lang w:eastAsia="zh-CN"/>
              </w:rPr>
            </w:pPr>
            <w:r>
              <w:rPr>
                <w:rFonts w:hint="eastAsia" w:ascii="仿宋" w:hAnsi="仿宋" w:eastAsia="仿宋" w:cs="仿宋"/>
                <w:color w:val="auto"/>
                <w:sz w:val="21"/>
                <w:szCs w:val="21"/>
                <w:lang w:eastAsia="zh-CN"/>
              </w:rPr>
              <w:t>4、全面提高施工现场文明施工标准化水平；继续推动安全责任险，加强安全生产教育和预防，提高企业应对突发事故能力。</w:t>
            </w:r>
          </w:p>
          <w:p w14:paraId="57CF2656">
            <w:pPr>
              <w:pStyle w:val="19"/>
              <w:keepNext w:val="0"/>
              <w:keepLines w:val="0"/>
              <w:pageBreakBefore w:val="0"/>
              <w:widowControl w:val="0"/>
              <w:kinsoku/>
              <w:wordWrap/>
              <w:overflowPunct/>
              <w:topLinePunct w:val="0"/>
              <w:autoSpaceDE/>
              <w:autoSpaceDN/>
              <w:bidi w:val="0"/>
              <w:adjustRightInd/>
              <w:snapToGrid/>
              <w:spacing w:line="270" w:lineRule="exact"/>
              <w:jc w:val="left"/>
              <w:textAlignment w:val="auto"/>
              <w:rPr>
                <w:rFonts w:hint="eastAsia" w:ascii="仿宋" w:hAnsi="仿宋" w:eastAsia="仿宋" w:cs="仿宋"/>
                <w:color w:val="auto"/>
                <w:sz w:val="21"/>
                <w:szCs w:val="21"/>
                <w:lang w:eastAsia="zh-CN"/>
              </w:rPr>
            </w:pPr>
            <w:r>
              <w:rPr>
                <w:rFonts w:hint="eastAsia" w:ascii="仿宋" w:hAnsi="仿宋" w:eastAsia="仿宋" w:cs="仿宋"/>
                <w:color w:val="auto"/>
                <w:sz w:val="21"/>
                <w:szCs w:val="21"/>
                <w:lang w:eastAsia="zh-CN"/>
              </w:rPr>
              <w:t>（二）本年强化了工程质量全过程的监管，让人民满意。</w:t>
            </w:r>
          </w:p>
          <w:p w14:paraId="76B08BF2">
            <w:pPr>
              <w:pStyle w:val="19"/>
              <w:keepNext w:val="0"/>
              <w:keepLines w:val="0"/>
              <w:pageBreakBefore w:val="0"/>
              <w:widowControl w:val="0"/>
              <w:kinsoku/>
              <w:wordWrap/>
              <w:overflowPunct/>
              <w:topLinePunct w:val="0"/>
              <w:autoSpaceDE/>
              <w:autoSpaceDN/>
              <w:bidi w:val="0"/>
              <w:adjustRightInd/>
              <w:snapToGrid/>
              <w:spacing w:line="270" w:lineRule="exact"/>
              <w:jc w:val="left"/>
              <w:textAlignment w:val="auto"/>
              <w:rPr>
                <w:rFonts w:hint="eastAsia" w:ascii="仿宋" w:hAnsi="仿宋" w:eastAsia="仿宋" w:cs="仿宋"/>
                <w:color w:val="auto"/>
                <w:sz w:val="21"/>
                <w:szCs w:val="21"/>
                <w:lang w:eastAsia="zh-CN"/>
              </w:rPr>
            </w:pPr>
            <w:r>
              <w:rPr>
                <w:rFonts w:hint="eastAsia" w:ascii="仿宋" w:hAnsi="仿宋" w:eastAsia="仿宋" w:cs="仿宋"/>
                <w:color w:val="auto"/>
                <w:sz w:val="21"/>
                <w:szCs w:val="21"/>
                <w:lang w:eastAsia="zh-CN"/>
              </w:rPr>
              <w:t xml:space="preserve">1、严把了基础、主体、竣工验收关，严格执行了工程质量标准化考评工作，完成了工程质量全过程的监督。     </w:t>
            </w:r>
          </w:p>
          <w:p w14:paraId="724A1E93">
            <w:pPr>
              <w:pStyle w:val="19"/>
              <w:keepNext w:val="0"/>
              <w:keepLines w:val="0"/>
              <w:pageBreakBefore w:val="0"/>
              <w:widowControl w:val="0"/>
              <w:kinsoku/>
              <w:wordWrap/>
              <w:overflowPunct/>
              <w:topLinePunct w:val="0"/>
              <w:autoSpaceDE/>
              <w:autoSpaceDN/>
              <w:bidi w:val="0"/>
              <w:adjustRightInd/>
              <w:snapToGrid/>
              <w:spacing w:line="270" w:lineRule="exact"/>
              <w:jc w:val="left"/>
              <w:textAlignment w:val="auto"/>
              <w:rPr>
                <w:rFonts w:hint="eastAsia" w:ascii="仿宋" w:hAnsi="仿宋" w:eastAsia="仿宋" w:cs="仿宋"/>
                <w:color w:val="auto"/>
                <w:sz w:val="21"/>
                <w:szCs w:val="21"/>
                <w:lang w:eastAsia="zh-CN"/>
              </w:rPr>
            </w:pPr>
            <w:r>
              <w:rPr>
                <w:rFonts w:hint="eastAsia" w:ascii="仿宋" w:hAnsi="仿宋" w:eastAsia="仿宋" w:cs="仿宋"/>
                <w:color w:val="auto"/>
                <w:sz w:val="21"/>
                <w:szCs w:val="21"/>
                <w:lang w:eastAsia="zh-CN"/>
              </w:rPr>
              <w:t>2、引导企业树立优质工程意识和工匠精神，样板引路，以点带面，全面提高了工程质量水平。</w:t>
            </w:r>
          </w:p>
          <w:p w14:paraId="5957AFDC">
            <w:pPr>
              <w:pStyle w:val="19"/>
              <w:keepNext w:val="0"/>
              <w:keepLines w:val="0"/>
              <w:pageBreakBefore w:val="0"/>
              <w:widowControl w:val="0"/>
              <w:kinsoku/>
              <w:wordWrap/>
              <w:overflowPunct/>
              <w:topLinePunct w:val="0"/>
              <w:autoSpaceDE/>
              <w:autoSpaceDN/>
              <w:bidi w:val="0"/>
              <w:adjustRightInd/>
              <w:snapToGrid/>
              <w:spacing w:line="270" w:lineRule="exact"/>
              <w:jc w:val="left"/>
              <w:textAlignment w:val="auto"/>
              <w:rPr>
                <w:rFonts w:hint="eastAsia" w:ascii="仿宋" w:hAnsi="仿宋" w:eastAsia="仿宋" w:cs="仿宋"/>
                <w:color w:val="auto"/>
                <w:sz w:val="21"/>
                <w:szCs w:val="21"/>
                <w:lang w:eastAsia="zh-CN"/>
              </w:rPr>
            </w:pPr>
            <w:r>
              <w:rPr>
                <w:rFonts w:hint="eastAsia" w:ascii="仿宋" w:hAnsi="仿宋" w:eastAsia="仿宋" w:cs="仿宋"/>
                <w:color w:val="auto"/>
                <w:sz w:val="21"/>
                <w:szCs w:val="21"/>
                <w:lang w:eastAsia="zh-CN"/>
              </w:rPr>
              <w:t>3、本年深入开展以商品砼、检验检测、抗震设防为重点的工程质量常见问题的专项治理，严格落实企业主体责任，特别是建设单位首要责任。</w:t>
            </w:r>
          </w:p>
          <w:p w14:paraId="548C8ADD">
            <w:pPr>
              <w:pStyle w:val="19"/>
              <w:keepNext w:val="0"/>
              <w:keepLines w:val="0"/>
              <w:pageBreakBefore w:val="0"/>
              <w:widowControl w:val="0"/>
              <w:kinsoku/>
              <w:wordWrap/>
              <w:overflowPunct/>
              <w:topLinePunct w:val="0"/>
              <w:autoSpaceDE/>
              <w:autoSpaceDN/>
              <w:bidi w:val="0"/>
              <w:adjustRightInd/>
              <w:snapToGrid/>
              <w:spacing w:line="270" w:lineRule="exact"/>
              <w:jc w:val="left"/>
              <w:textAlignment w:val="auto"/>
              <w:rPr>
                <w:rFonts w:hint="eastAsia" w:ascii="仿宋" w:hAnsi="仿宋" w:eastAsia="仿宋" w:cs="仿宋"/>
                <w:color w:val="auto"/>
                <w:sz w:val="21"/>
                <w:szCs w:val="21"/>
                <w:lang w:eastAsia="zh-CN"/>
              </w:rPr>
            </w:pPr>
            <w:r>
              <w:rPr>
                <w:rFonts w:hint="eastAsia" w:ascii="仿宋" w:hAnsi="仿宋" w:eastAsia="仿宋" w:cs="仿宋"/>
                <w:color w:val="auto"/>
                <w:sz w:val="21"/>
                <w:szCs w:val="21"/>
                <w:lang w:eastAsia="zh-CN"/>
              </w:rPr>
              <w:t>（三）做好了房屋安全鉴定的咨询及处理，及时回复了房屋安全相关的投诉、举报。</w:t>
            </w:r>
          </w:p>
          <w:p w14:paraId="32F38F49">
            <w:pPr>
              <w:pStyle w:val="19"/>
              <w:keepNext w:val="0"/>
              <w:keepLines w:val="0"/>
              <w:pageBreakBefore w:val="0"/>
              <w:widowControl w:val="0"/>
              <w:kinsoku/>
              <w:wordWrap/>
              <w:overflowPunct/>
              <w:topLinePunct w:val="0"/>
              <w:autoSpaceDE/>
              <w:autoSpaceDN/>
              <w:bidi w:val="0"/>
              <w:adjustRightInd/>
              <w:snapToGrid/>
              <w:spacing w:line="270" w:lineRule="exact"/>
              <w:jc w:val="left"/>
              <w:textAlignment w:val="auto"/>
              <w:rPr>
                <w:rFonts w:hint="eastAsia" w:ascii="仿宋" w:hAnsi="仿宋" w:eastAsia="仿宋" w:cs="仿宋"/>
                <w:color w:val="auto"/>
                <w:sz w:val="21"/>
                <w:szCs w:val="21"/>
                <w:lang w:eastAsia="zh-CN"/>
              </w:rPr>
            </w:pPr>
            <w:r>
              <w:rPr>
                <w:rFonts w:hint="eastAsia" w:ascii="仿宋" w:hAnsi="仿宋" w:eastAsia="仿宋" w:cs="仿宋"/>
                <w:color w:val="auto"/>
                <w:sz w:val="21"/>
                <w:szCs w:val="21"/>
                <w:lang w:eastAsia="zh-CN"/>
              </w:rPr>
              <w:t>（四）做好了城区范围内单独报建的房屋装饰装修工程、住宅加装电梯工程质量安全监督的管理。</w:t>
            </w:r>
          </w:p>
          <w:p w14:paraId="540FC241">
            <w:pPr>
              <w:pStyle w:val="19"/>
              <w:keepNext w:val="0"/>
              <w:keepLines w:val="0"/>
              <w:pageBreakBefore w:val="0"/>
              <w:widowControl w:val="0"/>
              <w:kinsoku/>
              <w:wordWrap/>
              <w:overflowPunct/>
              <w:topLinePunct w:val="0"/>
              <w:autoSpaceDE/>
              <w:autoSpaceDN/>
              <w:bidi w:val="0"/>
              <w:adjustRightInd/>
              <w:snapToGrid/>
              <w:spacing w:line="270" w:lineRule="exact"/>
              <w:jc w:val="left"/>
              <w:textAlignment w:val="auto"/>
              <w:rPr>
                <w:rFonts w:hint="eastAsia" w:ascii="仿宋" w:hAnsi="仿宋" w:eastAsia="仿宋" w:cs="仿宋"/>
                <w:color w:val="auto"/>
                <w:sz w:val="21"/>
                <w:szCs w:val="21"/>
                <w:lang w:eastAsia="zh-CN"/>
              </w:rPr>
            </w:pPr>
            <w:r>
              <w:rPr>
                <w:rFonts w:hint="eastAsia" w:ascii="仿宋" w:hAnsi="仿宋" w:eastAsia="仿宋" w:cs="仿宋"/>
                <w:color w:val="auto"/>
                <w:sz w:val="21"/>
                <w:szCs w:val="21"/>
                <w:lang w:eastAsia="zh-CN"/>
              </w:rPr>
              <w:t>（五）完成了质量安全监管新模式，提高监管效能</w:t>
            </w:r>
          </w:p>
          <w:p w14:paraId="03280230">
            <w:pPr>
              <w:pStyle w:val="19"/>
              <w:keepNext w:val="0"/>
              <w:keepLines w:val="0"/>
              <w:pageBreakBefore w:val="0"/>
              <w:widowControl w:val="0"/>
              <w:kinsoku/>
              <w:wordWrap/>
              <w:overflowPunct/>
              <w:topLinePunct w:val="0"/>
              <w:autoSpaceDE/>
              <w:autoSpaceDN/>
              <w:bidi w:val="0"/>
              <w:adjustRightInd/>
              <w:snapToGrid/>
              <w:spacing w:line="270" w:lineRule="exact"/>
              <w:jc w:val="left"/>
              <w:textAlignment w:val="auto"/>
              <w:rPr>
                <w:rFonts w:hint="eastAsia" w:ascii="仿宋" w:hAnsi="仿宋" w:eastAsia="仿宋" w:cs="仿宋"/>
                <w:color w:val="auto"/>
                <w:sz w:val="21"/>
                <w:szCs w:val="21"/>
                <w:lang w:eastAsia="zh-CN"/>
              </w:rPr>
            </w:pPr>
            <w:r>
              <w:rPr>
                <w:rFonts w:hint="eastAsia" w:ascii="仿宋" w:hAnsi="仿宋" w:eastAsia="仿宋" w:cs="仿宋"/>
                <w:color w:val="auto"/>
                <w:sz w:val="21"/>
                <w:szCs w:val="21"/>
                <w:lang w:eastAsia="zh-CN"/>
              </w:rPr>
              <w:t>（六）完成了“放、管、服”工作，不让群众最多跑一次</w:t>
            </w:r>
          </w:p>
          <w:p w14:paraId="40D4F1B7">
            <w:pPr>
              <w:pStyle w:val="19"/>
              <w:keepNext w:val="0"/>
              <w:keepLines w:val="0"/>
              <w:pageBreakBefore w:val="0"/>
              <w:widowControl w:val="0"/>
              <w:kinsoku/>
              <w:wordWrap/>
              <w:overflowPunct/>
              <w:topLinePunct w:val="0"/>
              <w:autoSpaceDE/>
              <w:autoSpaceDN/>
              <w:bidi w:val="0"/>
              <w:adjustRightInd/>
              <w:snapToGrid/>
              <w:spacing w:line="270" w:lineRule="exact"/>
              <w:jc w:val="left"/>
              <w:textAlignment w:val="auto"/>
              <w:rPr>
                <w:rFonts w:hint="eastAsia" w:ascii="仿宋" w:hAnsi="仿宋" w:eastAsia="仿宋" w:cs="仿宋"/>
                <w:color w:val="auto"/>
                <w:sz w:val="21"/>
                <w:szCs w:val="21"/>
                <w:lang w:eastAsia="zh-CN"/>
              </w:rPr>
            </w:pPr>
            <w:r>
              <w:rPr>
                <w:rFonts w:hint="eastAsia" w:ascii="仿宋" w:hAnsi="仿宋" w:eastAsia="仿宋" w:cs="仿宋"/>
                <w:color w:val="auto"/>
                <w:sz w:val="21"/>
                <w:szCs w:val="21"/>
                <w:lang w:eastAsia="zh-CN"/>
              </w:rPr>
              <w:t>（七）完成了工地环保综合治理，共建碧水蓝天</w:t>
            </w:r>
          </w:p>
          <w:p w14:paraId="19150369">
            <w:pPr>
              <w:pStyle w:val="19"/>
              <w:keepNext w:val="0"/>
              <w:keepLines w:val="0"/>
              <w:pageBreakBefore w:val="0"/>
              <w:widowControl w:val="0"/>
              <w:kinsoku/>
              <w:wordWrap/>
              <w:overflowPunct/>
              <w:topLinePunct w:val="0"/>
              <w:autoSpaceDE/>
              <w:autoSpaceDN/>
              <w:bidi w:val="0"/>
              <w:adjustRightInd/>
              <w:snapToGrid/>
              <w:spacing w:line="270" w:lineRule="exact"/>
              <w:jc w:val="left"/>
              <w:textAlignment w:val="auto"/>
              <w:rPr>
                <w:rFonts w:hint="eastAsia" w:ascii="仿宋" w:hAnsi="仿宋" w:eastAsia="仿宋" w:cs="仿宋"/>
                <w:color w:val="auto"/>
                <w:sz w:val="21"/>
                <w:szCs w:val="21"/>
                <w:lang w:eastAsia="zh-CN"/>
              </w:rPr>
            </w:pPr>
            <w:r>
              <w:rPr>
                <w:rFonts w:hint="eastAsia" w:ascii="仿宋" w:hAnsi="仿宋" w:eastAsia="仿宋" w:cs="仿宋"/>
                <w:color w:val="auto"/>
                <w:sz w:val="21"/>
                <w:szCs w:val="21"/>
                <w:lang w:eastAsia="zh-CN"/>
              </w:rPr>
              <w:t>（八）完成了强化作风和党风廉政建设，牢固树立规矩意识</w:t>
            </w:r>
          </w:p>
        </w:tc>
      </w:tr>
      <w:tr w14:paraId="648F0E7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9" w:hRule="atLeast"/>
          <w:jc w:val="center"/>
        </w:trPr>
        <w:tc>
          <w:tcPr>
            <w:tcW w:w="1681" w:type="dxa"/>
            <w:gridSpan w:val="3"/>
            <w:vMerge w:val="restart"/>
            <w:tcBorders>
              <w:bottom w:val="nil"/>
            </w:tcBorders>
            <w:noWrap w:val="0"/>
            <w:textDirection w:val="tbRlV"/>
            <w:vAlign w:val="center"/>
          </w:tcPr>
          <w:p w14:paraId="27BFD48D">
            <w:pPr>
              <w:pStyle w:val="19"/>
              <w:spacing w:line="379" w:lineRule="auto"/>
              <w:rPr>
                <w:rFonts w:hint="eastAsia" w:eastAsia="宋体"/>
                <w:color w:val="auto"/>
                <w:lang w:eastAsia="zh-CN"/>
              </w:rPr>
            </w:pPr>
          </w:p>
          <w:p w14:paraId="68923585">
            <w:pPr>
              <w:spacing w:before="64" w:line="202" w:lineRule="auto"/>
              <w:ind w:left="3223"/>
              <w:jc w:val="center"/>
              <w:rPr>
                <w:rFonts w:ascii="宋体" w:hAnsi="宋体" w:eastAsia="宋体" w:cs="宋体"/>
                <w:color w:val="auto"/>
                <w:sz w:val="19"/>
                <w:szCs w:val="19"/>
              </w:rPr>
            </w:pPr>
            <w:r>
              <w:rPr>
                <w:rFonts w:ascii="宋体" w:hAnsi="宋体" w:eastAsia="宋体" w:cs="宋体"/>
                <w:color w:val="auto"/>
                <w:sz w:val="19"/>
                <w:szCs w:val="19"/>
              </w:rPr>
              <w:t>绩</w:t>
            </w:r>
            <w:r>
              <w:rPr>
                <w:rFonts w:ascii="宋体" w:hAnsi="宋体" w:eastAsia="宋体" w:cs="宋体"/>
                <w:color w:val="auto"/>
                <w:spacing w:val="-24"/>
                <w:sz w:val="19"/>
                <w:szCs w:val="19"/>
              </w:rPr>
              <w:t xml:space="preserve"> </w:t>
            </w:r>
            <w:r>
              <w:rPr>
                <w:rFonts w:ascii="宋体" w:hAnsi="宋体" w:eastAsia="宋体" w:cs="宋体"/>
                <w:color w:val="auto"/>
                <w:sz w:val="19"/>
                <w:szCs w:val="19"/>
              </w:rPr>
              <w:t>效</w:t>
            </w:r>
            <w:r>
              <w:rPr>
                <w:rFonts w:ascii="宋体" w:hAnsi="宋体" w:eastAsia="宋体" w:cs="宋体"/>
                <w:color w:val="auto"/>
                <w:spacing w:val="-24"/>
                <w:sz w:val="19"/>
                <w:szCs w:val="19"/>
              </w:rPr>
              <w:t xml:space="preserve"> </w:t>
            </w:r>
            <w:r>
              <w:rPr>
                <w:rFonts w:ascii="宋体" w:hAnsi="宋体" w:eastAsia="宋体" w:cs="宋体"/>
                <w:color w:val="auto"/>
                <w:sz w:val="19"/>
                <w:szCs w:val="19"/>
              </w:rPr>
              <w:t>指</w:t>
            </w:r>
            <w:r>
              <w:rPr>
                <w:rFonts w:ascii="宋体" w:hAnsi="宋体" w:eastAsia="宋体" w:cs="宋体"/>
                <w:color w:val="auto"/>
                <w:spacing w:val="-24"/>
                <w:sz w:val="19"/>
                <w:szCs w:val="19"/>
              </w:rPr>
              <w:t xml:space="preserve"> </w:t>
            </w:r>
            <w:r>
              <w:rPr>
                <w:rFonts w:ascii="宋体" w:hAnsi="宋体" w:eastAsia="宋体" w:cs="宋体"/>
                <w:color w:val="auto"/>
                <w:sz w:val="19"/>
                <w:szCs w:val="19"/>
              </w:rPr>
              <w:t>标</w:t>
            </w:r>
          </w:p>
        </w:tc>
        <w:tc>
          <w:tcPr>
            <w:tcW w:w="724" w:type="dxa"/>
            <w:noWrap w:val="0"/>
            <w:vAlign w:val="center"/>
          </w:tcPr>
          <w:p w14:paraId="05A3FD67">
            <w:pPr>
              <w:spacing w:before="131" w:line="220" w:lineRule="auto"/>
              <w:ind w:left="141"/>
              <w:jc w:val="center"/>
              <w:rPr>
                <w:rFonts w:ascii="宋体" w:hAnsi="宋体" w:eastAsia="宋体" w:cs="宋体"/>
                <w:color w:val="auto"/>
                <w:sz w:val="19"/>
                <w:szCs w:val="19"/>
              </w:rPr>
            </w:pPr>
            <w:r>
              <w:rPr>
                <w:rFonts w:ascii="宋体" w:hAnsi="宋体" w:eastAsia="宋体" w:cs="宋体"/>
                <w:color w:val="auto"/>
                <w:spacing w:val="-3"/>
                <w:sz w:val="19"/>
                <w:szCs w:val="19"/>
              </w:rPr>
              <w:t>一级指标</w:t>
            </w:r>
          </w:p>
        </w:tc>
        <w:tc>
          <w:tcPr>
            <w:tcW w:w="1019" w:type="dxa"/>
            <w:gridSpan w:val="2"/>
            <w:noWrap w:val="0"/>
            <w:vAlign w:val="center"/>
          </w:tcPr>
          <w:p w14:paraId="6ED770CC">
            <w:pPr>
              <w:spacing w:before="131" w:line="220" w:lineRule="auto"/>
              <w:ind w:left="122"/>
              <w:jc w:val="center"/>
              <w:rPr>
                <w:rFonts w:ascii="宋体" w:hAnsi="宋体" w:eastAsia="宋体" w:cs="宋体"/>
                <w:color w:val="auto"/>
                <w:sz w:val="19"/>
                <w:szCs w:val="19"/>
              </w:rPr>
            </w:pPr>
            <w:r>
              <w:rPr>
                <w:rFonts w:ascii="宋体" w:hAnsi="宋体" w:eastAsia="宋体" w:cs="宋体"/>
                <w:color w:val="auto"/>
                <w:spacing w:val="-2"/>
                <w:sz w:val="19"/>
                <w:szCs w:val="19"/>
              </w:rPr>
              <w:t>二级指标</w:t>
            </w:r>
          </w:p>
        </w:tc>
        <w:tc>
          <w:tcPr>
            <w:tcW w:w="1643" w:type="dxa"/>
            <w:gridSpan w:val="2"/>
            <w:noWrap w:val="0"/>
            <w:vAlign w:val="center"/>
          </w:tcPr>
          <w:p w14:paraId="7F604E63">
            <w:pPr>
              <w:spacing w:before="131" w:line="220" w:lineRule="auto"/>
              <w:ind w:left="243"/>
              <w:jc w:val="center"/>
              <w:rPr>
                <w:rFonts w:ascii="宋体" w:hAnsi="宋体" w:eastAsia="宋体" w:cs="宋体"/>
                <w:color w:val="auto"/>
                <w:sz w:val="19"/>
                <w:szCs w:val="19"/>
              </w:rPr>
            </w:pPr>
            <w:r>
              <w:rPr>
                <w:rFonts w:ascii="宋体" w:hAnsi="宋体" w:eastAsia="宋体" w:cs="宋体"/>
                <w:color w:val="auto"/>
                <w:spacing w:val="-2"/>
                <w:sz w:val="19"/>
                <w:szCs w:val="19"/>
              </w:rPr>
              <w:t>三级指标</w:t>
            </w:r>
          </w:p>
        </w:tc>
        <w:tc>
          <w:tcPr>
            <w:tcW w:w="925" w:type="dxa"/>
            <w:gridSpan w:val="2"/>
            <w:noWrap w:val="0"/>
            <w:vAlign w:val="center"/>
          </w:tcPr>
          <w:p w14:paraId="7E762F24">
            <w:pPr>
              <w:spacing w:before="130" w:line="219" w:lineRule="auto"/>
              <w:ind w:left="164"/>
              <w:jc w:val="center"/>
              <w:rPr>
                <w:rFonts w:ascii="宋体" w:hAnsi="宋体" w:eastAsia="宋体" w:cs="宋体"/>
                <w:color w:val="auto"/>
                <w:sz w:val="19"/>
                <w:szCs w:val="19"/>
              </w:rPr>
            </w:pPr>
            <w:r>
              <w:rPr>
                <w:rFonts w:ascii="宋体" w:hAnsi="宋体" w:eastAsia="宋体" w:cs="宋体"/>
                <w:color w:val="auto"/>
                <w:spacing w:val="-2"/>
                <w:sz w:val="19"/>
                <w:szCs w:val="19"/>
              </w:rPr>
              <w:t>年度指标值</w:t>
            </w:r>
          </w:p>
        </w:tc>
        <w:tc>
          <w:tcPr>
            <w:tcW w:w="1249" w:type="dxa"/>
            <w:gridSpan w:val="2"/>
            <w:noWrap w:val="0"/>
            <w:vAlign w:val="center"/>
          </w:tcPr>
          <w:p w14:paraId="6287C291">
            <w:pPr>
              <w:spacing w:before="130" w:line="219" w:lineRule="auto"/>
              <w:ind w:left="145"/>
              <w:jc w:val="center"/>
              <w:rPr>
                <w:rFonts w:ascii="宋体" w:hAnsi="宋体" w:eastAsia="宋体" w:cs="宋体"/>
                <w:color w:val="auto"/>
                <w:sz w:val="19"/>
                <w:szCs w:val="19"/>
              </w:rPr>
            </w:pPr>
            <w:r>
              <w:rPr>
                <w:rFonts w:ascii="宋体" w:hAnsi="宋体" w:eastAsia="宋体" w:cs="宋体"/>
                <w:color w:val="auto"/>
                <w:spacing w:val="-2"/>
                <w:sz w:val="19"/>
                <w:szCs w:val="19"/>
              </w:rPr>
              <w:t>实际完成值</w:t>
            </w:r>
          </w:p>
        </w:tc>
        <w:tc>
          <w:tcPr>
            <w:tcW w:w="719" w:type="dxa"/>
            <w:gridSpan w:val="2"/>
            <w:noWrap w:val="0"/>
            <w:vAlign w:val="center"/>
          </w:tcPr>
          <w:p w14:paraId="5EE7F084">
            <w:pPr>
              <w:spacing w:before="130" w:line="219" w:lineRule="auto"/>
              <w:ind w:left="166"/>
              <w:jc w:val="center"/>
              <w:rPr>
                <w:rFonts w:ascii="宋体" w:hAnsi="宋体" w:eastAsia="宋体" w:cs="宋体"/>
                <w:color w:val="auto"/>
                <w:sz w:val="19"/>
                <w:szCs w:val="19"/>
              </w:rPr>
            </w:pPr>
            <w:r>
              <w:rPr>
                <w:rFonts w:ascii="宋体" w:hAnsi="宋体" w:eastAsia="宋体" w:cs="宋体"/>
                <w:color w:val="auto"/>
                <w:spacing w:val="-3"/>
                <w:sz w:val="19"/>
                <w:szCs w:val="19"/>
              </w:rPr>
              <w:t>分值</w:t>
            </w:r>
          </w:p>
        </w:tc>
        <w:tc>
          <w:tcPr>
            <w:tcW w:w="829" w:type="dxa"/>
            <w:gridSpan w:val="2"/>
            <w:noWrap w:val="0"/>
            <w:vAlign w:val="center"/>
          </w:tcPr>
          <w:p w14:paraId="3DBD723A">
            <w:pPr>
              <w:spacing w:before="130" w:line="219" w:lineRule="auto"/>
              <w:ind w:left="237"/>
              <w:jc w:val="center"/>
              <w:rPr>
                <w:rFonts w:ascii="宋体" w:hAnsi="宋体" w:eastAsia="宋体" w:cs="宋体"/>
                <w:color w:val="auto"/>
                <w:sz w:val="19"/>
                <w:szCs w:val="19"/>
              </w:rPr>
            </w:pPr>
            <w:r>
              <w:rPr>
                <w:rFonts w:ascii="宋体" w:hAnsi="宋体" w:eastAsia="宋体" w:cs="宋体"/>
                <w:color w:val="auto"/>
                <w:spacing w:val="-3"/>
                <w:sz w:val="19"/>
                <w:szCs w:val="19"/>
              </w:rPr>
              <w:t>得分</w:t>
            </w:r>
          </w:p>
        </w:tc>
        <w:tc>
          <w:tcPr>
            <w:tcW w:w="1483" w:type="dxa"/>
            <w:gridSpan w:val="2"/>
            <w:noWrap w:val="0"/>
            <w:vAlign w:val="center"/>
          </w:tcPr>
          <w:p w14:paraId="16C1D011">
            <w:pPr>
              <w:spacing w:before="39" w:line="194" w:lineRule="auto"/>
              <w:ind w:left="118" w:right="162" w:firstLine="30"/>
              <w:jc w:val="center"/>
              <w:rPr>
                <w:rFonts w:ascii="宋体" w:hAnsi="宋体" w:eastAsia="宋体" w:cs="宋体"/>
                <w:color w:val="auto"/>
                <w:sz w:val="19"/>
                <w:szCs w:val="19"/>
                <w:lang w:eastAsia="zh-CN"/>
              </w:rPr>
            </w:pPr>
            <w:r>
              <w:rPr>
                <w:rFonts w:ascii="宋体" w:hAnsi="宋体" w:eastAsia="宋体" w:cs="宋体"/>
                <w:color w:val="auto"/>
                <w:spacing w:val="-2"/>
                <w:sz w:val="19"/>
                <w:szCs w:val="19"/>
                <w:lang w:eastAsia="zh-CN"/>
              </w:rPr>
              <w:t>偏差原因分析</w:t>
            </w:r>
            <w:r>
              <w:rPr>
                <w:rFonts w:ascii="宋体" w:hAnsi="宋体" w:eastAsia="宋体" w:cs="宋体"/>
                <w:color w:val="auto"/>
                <w:spacing w:val="3"/>
                <w:sz w:val="19"/>
                <w:szCs w:val="19"/>
                <w:lang w:eastAsia="zh-CN"/>
              </w:rPr>
              <w:t xml:space="preserve"> </w:t>
            </w:r>
            <w:r>
              <w:rPr>
                <w:rFonts w:ascii="宋体" w:hAnsi="宋体" w:eastAsia="宋体" w:cs="宋体"/>
                <w:color w:val="auto"/>
                <w:spacing w:val="-2"/>
                <w:sz w:val="19"/>
                <w:szCs w:val="19"/>
                <w:lang w:eastAsia="zh-CN"/>
              </w:rPr>
              <w:t>及改进措施</w:t>
            </w:r>
          </w:p>
        </w:tc>
      </w:tr>
      <w:tr w14:paraId="1D6EAFF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0" w:hRule="atLeast"/>
          <w:jc w:val="center"/>
        </w:trPr>
        <w:tc>
          <w:tcPr>
            <w:tcW w:w="1681" w:type="dxa"/>
            <w:gridSpan w:val="3"/>
            <w:vMerge w:val="continue"/>
            <w:tcBorders>
              <w:top w:val="nil"/>
              <w:bottom w:val="nil"/>
            </w:tcBorders>
            <w:shd w:val="clear" w:color="auto" w:fill="auto"/>
            <w:noWrap w:val="0"/>
            <w:textDirection w:val="tbRlV"/>
            <w:vAlign w:val="center"/>
          </w:tcPr>
          <w:p w14:paraId="09A7546B">
            <w:pPr>
              <w:pStyle w:val="19"/>
              <w:jc w:val="center"/>
              <w:rPr>
                <w:color w:val="auto"/>
                <w:lang w:eastAsia="zh-CN"/>
              </w:rPr>
            </w:pPr>
          </w:p>
        </w:tc>
        <w:tc>
          <w:tcPr>
            <w:tcW w:w="724" w:type="dxa"/>
            <w:vMerge w:val="restart"/>
            <w:tcBorders>
              <w:bottom w:val="nil"/>
            </w:tcBorders>
            <w:shd w:val="clear" w:color="auto" w:fill="auto"/>
            <w:noWrap w:val="0"/>
            <w:vAlign w:val="center"/>
          </w:tcPr>
          <w:p w14:paraId="0584C2BF">
            <w:pPr>
              <w:spacing w:before="61" w:line="219" w:lineRule="auto"/>
              <w:ind w:left="141"/>
              <w:jc w:val="center"/>
              <w:rPr>
                <w:rFonts w:ascii="宋体" w:hAnsi="宋体" w:eastAsia="宋体" w:cs="宋体"/>
                <w:color w:val="auto"/>
                <w:sz w:val="19"/>
                <w:szCs w:val="19"/>
              </w:rPr>
            </w:pPr>
            <w:r>
              <w:rPr>
                <w:rFonts w:ascii="宋体" w:hAnsi="宋体" w:eastAsia="宋体" w:cs="宋体"/>
                <w:color w:val="auto"/>
                <w:spacing w:val="-2"/>
                <w:sz w:val="19"/>
                <w:szCs w:val="19"/>
              </w:rPr>
              <w:t>产出指标</w:t>
            </w:r>
          </w:p>
          <w:p w14:paraId="1DCC486D">
            <w:pPr>
              <w:spacing w:before="255" w:line="220" w:lineRule="auto"/>
              <w:ind w:left="241"/>
              <w:jc w:val="center"/>
              <w:rPr>
                <w:rFonts w:ascii="宋体" w:hAnsi="宋体" w:eastAsia="宋体" w:cs="宋体"/>
                <w:color w:val="auto"/>
                <w:sz w:val="19"/>
                <w:szCs w:val="19"/>
              </w:rPr>
            </w:pPr>
            <w:r>
              <w:rPr>
                <w:rFonts w:ascii="宋体" w:hAnsi="宋体" w:eastAsia="宋体" w:cs="宋体"/>
                <w:color w:val="auto"/>
                <w:spacing w:val="8"/>
                <w:sz w:val="19"/>
                <w:szCs w:val="19"/>
              </w:rPr>
              <w:t>(50分)</w:t>
            </w:r>
          </w:p>
        </w:tc>
        <w:tc>
          <w:tcPr>
            <w:tcW w:w="1019" w:type="dxa"/>
            <w:gridSpan w:val="2"/>
            <w:vMerge w:val="restart"/>
            <w:shd w:val="clear" w:color="auto" w:fill="auto"/>
            <w:noWrap w:val="0"/>
            <w:vAlign w:val="center"/>
          </w:tcPr>
          <w:p w14:paraId="189FC869">
            <w:pPr>
              <w:spacing w:before="281" w:line="219" w:lineRule="auto"/>
              <w:ind w:left="122"/>
              <w:jc w:val="center"/>
              <w:rPr>
                <w:rFonts w:ascii="宋体" w:hAnsi="宋体" w:eastAsia="宋体" w:cs="宋体"/>
                <w:color w:val="auto"/>
                <w:sz w:val="19"/>
                <w:szCs w:val="19"/>
              </w:rPr>
            </w:pPr>
            <w:r>
              <w:rPr>
                <w:rFonts w:ascii="宋体" w:hAnsi="宋体" w:eastAsia="宋体" w:cs="宋体"/>
                <w:color w:val="auto"/>
                <w:spacing w:val="-2"/>
                <w:sz w:val="19"/>
                <w:szCs w:val="19"/>
              </w:rPr>
              <w:t>数量指标</w:t>
            </w:r>
          </w:p>
        </w:tc>
        <w:tc>
          <w:tcPr>
            <w:tcW w:w="1643" w:type="dxa"/>
            <w:gridSpan w:val="2"/>
            <w:shd w:val="clear" w:color="auto" w:fill="auto"/>
            <w:noWrap w:val="0"/>
            <w:vAlign w:val="center"/>
          </w:tcPr>
          <w:p w14:paraId="6D729195">
            <w:pPr>
              <w:spacing w:line="230" w:lineRule="exact"/>
              <w:jc w:val="center"/>
              <w:rPr>
                <w:rFonts w:ascii="仿宋" w:hAnsi="仿宋" w:eastAsia="仿宋" w:cs="仿宋"/>
                <w:color w:val="auto"/>
              </w:rPr>
            </w:pPr>
            <w:r>
              <w:rPr>
                <w:rFonts w:hint="eastAsia" w:ascii="仿宋" w:hAnsi="仿宋" w:eastAsia="仿宋" w:cs="仿宋"/>
                <w:color w:val="auto"/>
              </w:rPr>
              <w:t>1.办理竣工验收备案</w:t>
            </w:r>
          </w:p>
        </w:tc>
        <w:tc>
          <w:tcPr>
            <w:tcW w:w="925" w:type="dxa"/>
            <w:gridSpan w:val="2"/>
            <w:shd w:val="clear" w:color="auto" w:fill="auto"/>
            <w:noWrap w:val="0"/>
            <w:vAlign w:val="center"/>
          </w:tcPr>
          <w:p w14:paraId="66BD44C0">
            <w:pPr>
              <w:spacing w:line="230" w:lineRule="exact"/>
              <w:jc w:val="center"/>
              <w:rPr>
                <w:rFonts w:ascii="仿宋" w:hAnsi="仿宋" w:eastAsia="仿宋" w:cs="仿宋"/>
                <w:color w:val="auto"/>
              </w:rPr>
            </w:pPr>
            <w:r>
              <w:rPr>
                <w:rFonts w:hint="eastAsia" w:ascii="仿宋" w:hAnsi="仿宋" w:eastAsia="仿宋" w:cs="仿宋"/>
                <w:color w:val="auto"/>
              </w:rPr>
              <w:t>100%</w:t>
            </w:r>
          </w:p>
        </w:tc>
        <w:tc>
          <w:tcPr>
            <w:tcW w:w="1249" w:type="dxa"/>
            <w:gridSpan w:val="2"/>
            <w:shd w:val="clear" w:color="auto" w:fill="auto"/>
            <w:noWrap w:val="0"/>
            <w:vAlign w:val="center"/>
          </w:tcPr>
          <w:p w14:paraId="780732C5">
            <w:pPr>
              <w:spacing w:line="230" w:lineRule="exact"/>
              <w:jc w:val="center"/>
              <w:rPr>
                <w:rFonts w:ascii="仿宋" w:hAnsi="仿宋" w:eastAsia="仿宋" w:cs="仿宋"/>
                <w:color w:val="auto"/>
              </w:rPr>
            </w:pPr>
            <w:r>
              <w:rPr>
                <w:rFonts w:hint="eastAsia" w:ascii="仿宋" w:hAnsi="仿宋" w:eastAsia="仿宋" w:cs="仿宋"/>
                <w:color w:val="auto"/>
              </w:rPr>
              <w:t>100%</w:t>
            </w:r>
          </w:p>
        </w:tc>
        <w:tc>
          <w:tcPr>
            <w:tcW w:w="719" w:type="dxa"/>
            <w:gridSpan w:val="2"/>
            <w:shd w:val="clear" w:color="auto" w:fill="auto"/>
            <w:noWrap w:val="0"/>
            <w:vAlign w:val="center"/>
          </w:tcPr>
          <w:p w14:paraId="55DB0D15">
            <w:pPr>
              <w:spacing w:line="230" w:lineRule="exact"/>
              <w:jc w:val="center"/>
              <w:rPr>
                <w:rFonts w:ascii="仿宋" w:hAnsi="仿宋" w:eastAsia="仿宋" w:cs="仿宋"/>
                <w:color w:val="auto"/>
                <w:lang w:eastAsia="zh-CN"/>
              </w:rPr>
            </w:pPr>
            <w:r>
              <w:rPr>
                <w:rFonts w:hint="eastAsia" w:ascii="仿宋" w:hAnsi="仿宋" w:eastAsia="仿宋" w:cs="仿宋"/>
                <w:color w:val="auto"/>
                <w:lang w:eastAsia="zh-CN"/>
              </w:rPr>
              <w:t>3</w:t>
            </w:r>
          </w:p>
        </w:tc>
        <w:tc>
          <w:tcPr>
            <w:tcW w:w="829" w:type="dxa"/>
            <w:gridSpan w:val="2"/>
            <w:shd w:val="clear" w:color="auto" w:fill="auto"/>
            <w:noWrap w:val="0"/>
            <w:vAlign w:val="center"/>
          </w:tcPr>
          <w:p w14:paraId="59155317">
            <w:pPr>
              <w:spacing w:line="230" w:lineRule="exact"/>
              <w:jc w:val="center"/>
              <w:rPr>
                <w:rFonts w:ascii="仿宋" w:hAnsi="仿宋" w:eastAsia="仿宋" w:cs="仿宋"/>
                <w:color w:val="auto"/>
                <w:lang w:eastAsia="zh-CN"/>
              </w:rPr>
            </w:pPr>
            <w:r>
              <w:rPr>
                <w:rFonts w:hint="eastAsia" w:ascii="仿宋" w:hAnsi="仿宋" w:eastAsia="仿宋" w:cs="仿宋"/>
                <w:color w:val="auto"/>
                <w:lang w:eastAsia="zh-CN"/>
              </w:rPr>
              <w:t>3</w:t>
            </w:r>
          </w:p>
        </w:tc>
        <w:tc>
          <w:tcPr>
            <w:tcW w:w="1483" w:type="dxa"/>
            <w:gridSpan w:val="2"/>
            <w:noWrap w:val="0"/>
            <w:vAlign w:val="center"/>
          </w:tcPr>
          <w:p w14:paraId="75F12C89">
            <w:pPr>
              <w:pStyle w:val="19"/>
              <w:spacing w:line="240" w:lineRule="exact"/>
              <w:jc w:val="center"/>
              <w:rPr>
                <w:color w:val="auto"/>
                <w:sz w:val="20"/>
              </w:rPr>
            </w:pPr>
          </w:p>
        </w:tc>
      </w:tr>
      <w:tr w14:paraId="02A3B64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9" w:hRule="atLeast"/>
          <w:jc w:val="center"/>
        </w:trPr>
        <w:tc>
          <w:tcPr>
            <w:tcW w:w="1681" w:type="dxa"/>
            <w:gridSpan w:val="3"/>
            <w:vMerge w:val="continue"/>
            <w:tcBorders>
              <w:top w:val="nil"/>
              <w:bottom w:val="nil"/>
            </w:tcBorders>
            <w:shd w:val="clear" w:color="auto" w:fill="auto"/>
            <w:noWrap w:val="0"/>
            <w:textDirection w:val="tbRlV"/>
            <w:vAlign w:val="center"/>
          </w:tcPr>
          <w:p w14:paraId="0D1308D5">
            <w:pPr>
              <w:pStyle w:val="19"/>
              <w:jc w:val="center"/>
              <w:rPr>
                <w:color w:val="auto"/>
              </w:rPr>
            </w:pPr>
          </w:p>
        </w:tc>
        <w:tc>
          <w:tcPr>
            <w:tcW w:w="724" w:type="dxa"/>
            <w:vMerge w:val="continue"/>
            <w:tcBorders>
              <w:top w:val="nil"/>
              <w:bottom w:val="nil"/>
            </w:tcBorders>
            <w:shd w:val="clear" w:color="auto" w:fill="auto"/>
            <w:noWrap w:val="0"/>
            <w:vAlign w:val="center"/>
          </w:tcPr>
          <w:p w14:paraId="10D0B010">
            <w:pPr>
              <w:pStyle w:val="19"/>
              <w:jc w:val="center"/>
              <w:rPr>
                <w:color w:val="auto"/>
              </w:rPr>
            </w:pPr>
          </w:p>
        </w:tc>
        <w:tc>
          <w:tcPr>
            <w:tcW w:w="1019" w:type="dxa"/>
            <w:gridSpan w:val="2"/>
            <w:vMerge w:val="continue"/>
            <w:shd w:val="clear" w:color="auto" w:fill="auto"/>
            <w:noWrap w:val="0"/>
            <w:vAlign w:val="center"/>
          </w:tcPr>
          <w:p w14:paraId="762654AD">
            <w:pPr>
              <w:pStyle w:val="19"/>
              <w:jc w:val="center"/>
              <w:rPr>
                <w:color w:val="auto"/>
              </w:rPr>
            </w:pPr>
          </w:p>
        </w:tc>
        <w:tc>
          <w:tcPr>
            <w:tcW w:w="1643" w:type="dxa"/>
            <w:gridSpan w:val="2"/>
            <w:shd w:val="clear" w:color="auto" w:fill="auto"/>
            <w:noWrap w:val="0"/>
            <w:vAlign w:val="center"/>
          </w:tcPr>
          <w:p w14:paraId="5DB2DD07">
            <w:pPr>
              <w:jc w:val="center"/>
              <w:rPr>
                <w:rFonts w:ascii="仿宋" w:hAnsi="仿宋" w:eastAsia="仿宋" w:cs="仿宋"/>
                <w:color w:val="auto"/>
                <w:lang w:eastAsia="zh-CN"/>
              </w:rPr>
            </w:pPr>
            <w:r>
              <w:rPr>
                <w:rFonts w:hint="eastAsia" w:ascii="仿宋" w:hAnsi="仿宋" w:eastAsia="仿宋" w:cs="仿宋"/>
                <w:color w:val="auto"/>
                <w:lang w:eastAsia="zh-CN"/>
              </w:rPr>
              <w:t>2.注册工程和土石方项目监管率</w:t>
            </w:r>
          </w:p>
        </w:tc>
        <w:tc>
          <w:tcPr>
            <w:tcW w:w="925" w:type="dxa"/>
            <w:gridSpan w:val="2"/>
            <w:shd w:val="clear" w:color="auto" w:fill="auto"/>
            <w:noWrap w:val="0"/>
            <w:vAlign w:val="center"/>
          </w:tcPr>
          <w:p w14:paraId="74A28906">
            <w:pPr>
              <w:jc w:val="center"/>
              <w:rPr>
                <w:rFonts w:ascii="仿宋" w:hAnsi="仿宋" w:eastAsia="仿宋" w:cs="仿宋"/>
                <w:color w:val="auto"/>
              </w:rPr>
            </w:pPr>
            <w:r>
              <w:rPr>
                <w:rFonts w:hint="eastAsia" w:ascii="仿宋" w:hAnsi="仿宋" w:eastAsia="仿宋" w:cs="仿宋"/>
                <w:color w:val="auto"/>
              </w:rPr>
              <w:t>100%</w:t>
            </w:r>
          </w:p>
        </w:tc>
        <w:tc>
          <w:tcPr>
            <w:tcW w:w="1249" w:type="dxa"/>
            <w:gridSpan w:val="2"/>
            <w:shd w:val="clear" w:color="auto" w:fill="auto"/>
            <w:noWrap w:val="0"/>
            <w:vAlign w:val="center"/>
          </w:tcPr>
          <w:p w14:paraId="11B65967">
            <w:pPr>
              <w:jc w:val="center"/>
              <w:rPr>
                <w:rFonts w:ascii="仿宋" w:hAnsi="仿宋" w:eastAsia="仿宋" w:cs="仿宋"/>
                <w:color w:val="auto"/>
              </w:rPr>
            </w:pPr>
            <w:r>
              <w:rPr>
                <w:rFonts w:hint="eastAsia" w:ascii="仿宋" w:hAnsi="仿宋" w:eastAsia="仿宋" w:cs="仿宋"/>
                <w:color w:val="auto"/>
              </w:rPr>
              <w:t>100%</w:t>
            </w:r>
          </w:p>
        </w:tc>
        <w:tc>
          <w:tcPr>
            <w:tcW w:w="719" w:type="dxa"/>
            <w:gridSpan w:val="2"/>
            <w:shd w:val="clear" w:color="auto" w:fill="auto"/>
            <w:noWrap w:val="0"/>
            <w:vAlign w:val="center"/>
          </w:tcPr>
          <w:p w14:paraId="7E0179CF">
            <w:pPr>
              <w:jc w:val="center"/>
              <w:rPr>
                <w:rFonts w:ascii="仿宋" w:hAnsi="仿宋" w:eastAsia="仿宋" w:cs="仿宋"/>
                <w:color w:val="auto"/>
                <w:lang w:eastAsia="zh-CN"/>
              </w:rPr>
            </w:pPr>
            <w:r>
              <w:rPr>
                <w:rFonts w:hint="eastAsia" w:ascii="仿宋" w:hAnsi="仿宋" w:eastAsia="仿宋" w:cs="仿宋"/>
                <w:color w:val="auto"/>
                <w:lang w:eastAsia="zh-CN"/>
              </w:rPr>
              <w:t>3</w:t>
            </w:r>
          </w:p>
        </w:tc>
        <w:tc>
          <w:tcPr>
            <w:tcW w:w="829" w:type="dxa"/>
            <w:gridSpan w:val="2"/>
            <w:shd w:val="clear" w:color="auto" w:fill="auto"/>
            <w:noWrap w:val="0"/>
            <w:vAlign w:val="center"/>
          </w:tcPr>
          <w:p w14:paraId="63422FC1">
            <w:pPr>
              <w:jc w:val="center"/>
              <w:rPr>
                <w:rFonts w:ascii="仿宋" w:hAnsi="仿宋" w:eastAsia="仿宋" w:cs="仿宋"/>
                <w:color w:val="auto"/>
                <w:lang w:eastAsia="zh-CN"/>
              </w:rPr>
            </w:pPr>
            <w:r>
              <w:rPr>
                <w:rFonts w:hint="eastAsia" w:ascii="仿宋" w:hAnsi="仿宋" w:eastAsia="仿宋" w:cs="仿宋"/>
                <w:color w:val="auto"/>
                <w:lang w:eastAsia="zh-CN"/>
              </w:rPr>
              <w:t>3</w:t>
            </w:r>
          </w:p>
        </w:tc>
        <w:tc>
          <w:tcPr>
            <w:tcW w:w="1483" w:type="dxa"/>
            <w:gridSpan w:val="2"/>
            <w:noWrap w:val="0"/>
            <w:vAlign w:val="center"/>
          </w:tcPr>
          <w:p w14:paraId="381C5247">
            <w:pPr>
              <w:pStyle w:val="19"/>
              <w:spacing w:line="229" w:lineRule="exact"/>
              <w:jc w:val="center"/>
              <w:rPr>
                <w:color w:val="auto"/>
                <w:sz w:val="19"/>
              </w:rPr>
            </w:pPr>
          </w:p>
        </w:tc>
      </w:tr>
      <w:tr w14:paraId="1FABF2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40" w:hRule="atLeast"/>
          <w:jc w:val="center"/>
        </w:trPr>
        <w:tc>
          <w:tcPr>
            <w:tcW w:w="1681" w:type="dxa"/>
            <w:gridSpan w:val="3"/>
            <w:vMerge w:val="continue"/>
            <w:tcBorders>
              <w:top w:val="nil"/>
              <w:bottom w:val="nil"/>
            </w:tcBorders>
            <w:shd w:val="clear" w:color="auto" w:fill="auto"/>
            <w:noWrap w:val="0"/>
            <w:textDirection w:val="tbRlV"/>
            <w:vAlign w:val="center"/>
          </w:tcPr>
          <w:p w14:paraId="515D4A61">
            <w:pPr>
              <w:pStyle w:val="19"/>
              <w:jc w:val="center"/>
              <w:rPr>
                <w:color w:val="auto"/>
              </w:rPr>
            </w:pPr>
          </w:p>
        </w:tc>
        <w:tc>
          <w:tcPr>
            <w:tcW w:w="724" w:type="dxa"/>
            <w:vMerge w:val="continue"/>
            <w:tcBorders>
              <w:top w:val="nil"/>
              <w:bottom w:val="nil"/>
            </w:tcBorders>
            <w:shd w:val="clear" w:color="auto" w:fill="auto"/>
            <w:noWrap w:val="0"/>
            <w:vAlign w:val="center"/>
          </w:tcPr>
          <w:p w14:paraId="098E7837">
            <w:pPr>
              <w:pStyle w:val="19"/>
              <w:jc w:val="center"/>
              <w:rPr>
                <w:color w:val="auto"/>
              </w:rPr>
            </w:pPr>
          </w:p>
        </w:tc>
        <w:tc>
          <w:tcPr>
            <w:tcW w:w="1019" w:type="dxa"/>
            <w:gridSpan w:val="2"/>
            <w:vMerge w:val="continue"/>
            <w:shd w:val="clear" w:color="auto" w:fill="auto"/>
            <w:noWrap w:val="0"/>
            <w:vAlign w:val="center"/>
          </w:tcPr>
          <w:p w14:paraId="65B3247E">
            <w:pPr>
              <w:pStyle w:val="19"/>
              <w:jc w:val="center"/>
              <w:rPr>
                <w:color w:val="auto"/>
              </w:rPr>
            </w:pPr>
          </w:p>
        </w:tc>
        <w:tc>
          <w:tcPr>
            <w:tcW w:w="1643" w:type="dxa"/>
            <w:gridSpan w:val="2"/>
            <w:shd w:val="clear" w:color="auto" w:fill="auto"/>
            <w:noWrap w:val="0"/>
            <w:vAlign w:val="center"/>
          </w:tcPr>
          <w:p w14:paraId="131D0C24">
            <w:pPr>
              <w:spacing w:line="239" w:lineRule="exact"/>
              <w:jc w:val="center"/>
              <w:rPr>
                <w:rFonts w:ascii="仿宋" w:hAnsi="仿宋" w:eastAsia="仿宋" w:cs="仿宋"/>
                <w:color w:val="auto"/>
                <w:lang w:eastAsia="zh-CN"/>
              </w:rPr>
            </w:pPr>
            <w:r>
              <w:rPr>
                <w:rFonts w:hint="eastAsia" w:ascii="仿宋" w:hAnsi="仿宋" w:eastAsia="仿宋" w:cs="仿宋"/>
                <w:color w:val="auto"/>
                <w:lang w:eastAsia="zh-CN"/>
              </w:rPr>
              <w:t>3.建筑起重机械产权备案、变更处理率</w:t>
            </w:r>
          </w:p>
        </w:tc>
        <w:tc>
          <w:tcPr>
            <w:tcW w:w="925" w:type="dxa"/>
            <w:gridSpan w:val="2"/>
            <w:shd w:val="clear" w:color="auto" w:fill="auto"/>
            <w:noWrap w:val="0"/>
            <w:vAlign w:val="center"/>
          </w:tcPr>
          <w:p w14:paraId="52A7A9E0">
            <w:pPr>
              <w:spacing w:line="239" w:lineRule="exact"/>
              <w:jc w:val="center"/>
              <w:rPr>
                <w:rFonts w:ascii="仿宋" w:hAnsi="仿宋" w:eastAsia="仿宋" w:cs="仿宋"/>
                <w:color w:val="auto"/>
              </w:rPr>
            </w:pPr>
            <w:r>
              <w:rPr>
                <w:rFonts w:hint="eastAsia" w:ascii="仿宋" w:hAnsi="仿宋" w:eastAsia="仿宋" w:cs="仿宋"/>
                <w:color w:val="auto"/>
              </w:rPr>
              <w:t>100%</w:t>
            </w:r>
          </w:p>
        </w:tc>
        <w:tc>
          <w:tcPr>
            <w:tcW w:w="1249" w:type="dxa"/>
            <w:gridSpan w:val="2"/>
            <w:shd w:val="clear" w:color="auto" w:fill="auto"/>
            <w:noWrap w:val="0"/>
            <w:vAlign w:val="center"/>
          </w:tcPr>
          <w:p w14:paraId="26EA1F7C">
            <w:pPr>
              <w:spacing w:line="239" w:lineRule="exact"/>
              <w:jc w:val="center"/>
              <w:rPr>
                <w:rFonts w:ascii="仿宋" w:hAnsi="仿宋" w:eastAsia="仿宋" w:cs="仿宋"/>
                <w:color w:val="auto"/>
              </w:rPr>
            </w:pPr>
            <w:r>
              <w:rPr>
                <w:rFonts w:hint="eastAsia" w:ascii="仿宋" w:hAnsi="仿宋" w:eastAsia="仿宋" w:cs="仿宋"/>
                <w:color w:val="auto"/>
              </w:rPr>
              <w:t>100%</w:t>
            </w:r>
          </w:p>
        </w:tc>
        <w:tc>
          <w:tcPr>
            <w:tcW w:w="719" w:type="dxa"/>
            <w:gridSpan w:val="2"/>
            <w:shd w:val="clear" w:color="auto" w:fill="auto"/>
            <w:noWrap w:val="0"/>
            <w:vAlign w:val="center"/>
          </w:tcPr>
          <w:p w14:paraId="36848070">
            <w:pPr>
              <w:spacing w:line="239" w:lineRule="exact"/>
              <w:jc w:val="center"/>
              <w:rPr>
                <w:rFonts w:ascii="仿宋" w:hAnsi="仿宋" w:eastAsia="仿宋" w:cs="仿宋"/>
                <w:color w:val="auto"/>
                <w:lang w:eastAsia="zh-CN"/>
              </w:rPr>
            </w:pPr>
            <w:r>
              <w:rPr>
                <w:rFonts w:hint="eastAsia" w:ascii="仿宋" w:hAnsi="仿宋" w:eastAsia="仿宋" w:cs="仿宋"/>
                <w:color w:val="auto"/>
                <w:lang w:eastAsia="zh-CN"/>
              </w:rPr>
              <w:t>3</w:t>
            </w:r>
          </w:p>
        </w:tc>
        <w:tc>
          <w:tcPr>
            <w:tcW w:w="829" w:type="dxa"/>
            <w:gridSpan w:val="2"/>
            <w:shd w:val="clear" w:color="auto" w:fill="auto"/>
            <w:noWrap w:val="0"/>
            <w:vAlign w:val="center"/>
          </w:tcPr>
          <w:p w14:paraId="0B9C74F5">
            <w:pPr>
              <w:spacing w:line="239" w:lineRule="exact"/>
              <w:jc w:val="center"/>
              <w:rPr>
                <w:rFonts w:ascii="仿宋" w:hAnsi="仿宋" w:eastAsia="仿宋" w:cs="仿宋"/>
                <w:color w:val="auto"/>
                <w:lang w:eastAsia="zh-CN"/>
              </w:rPr>
            </w:pPr>
            <w:r>
              <w:rPr>
                <w:rFonts w:hint="eastAsia" w:ascii="仿宋" w:hAnsi="仿宋" w:eastAsia="仿宋" w:cs="仿宋"/>
                <w:color w:val="auto"/>
                <w:lang w:eastAsia="zh-CN"/>
              </w:rPr>
              <w:t>3</w:t>
            </w:r>
          </w:p>
        </w:tc>
        <w:tc>
          <w:tcPr>
            <w:tcW w:w="1483" w:type="dxa"/>
            <w:gridSpan w:val="2"/>
            <w:noWrap w:val="0"/>
            <w:vAlign w:val="center"/>
          </w:tcPr>
          <w:p w14:paraId="4CAD2DEE">
            <w:pPr>
              <w:pStyle w:val="19"/>
              <w:spacing w:line="230" w:lineRule="exact"/>
              <w:jc w:val="center"/>
              <w:rPr>
                <w:rFonts w:hint="eastAsia" w:eastAsia="宋体"/>
                <w:color w:val="auto"/>
                <w:sz w:val="20"/>
                <w:lang w:eastAsia="zh-CN"/>
              </w:rPr>
            </w:pPr>
          </w:p>
          <w:p w14:paraId="6DDE29A3">
            <w:pPr>
              <w:pStyle w:val="19"/>
              <w:spacing w:line="230" w:lineRule="exact"/>
              <w:jc w:val="center"/>
              <w:rPr>
                <w:rFonts w:hint="eastAsia" w:eastAsia="宋体"/>
                <w:color w:val="auto"/>
                <w:sz w:val="20"/>
                <w:lang w:eastAsia="zh-CN"/>
              </w:rPr>
            </w:pPr>
          </w:p>
        </w:tc>
      </w:tr>
      <w:tr w14:paraId="49024C7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40" w:hRule="atLeast"/>
          <w:jc w:val="center"/>
        </w:trPr>
        <w:tc>
          <w:tcPr>
            <w:tcW w:w="1681" w:type="dxa"/>
            <w:gridSpan w:val="3"/>
            <w:vMerge w:val="continue"/>
            <w:tcBorders>
              <w:top w:val="nil"/>
              <w:bottom w:val="nil"/>
            </w:tcBorders>
            <w:shd w:val="clear" w:color="auto" w:fill="auto"/>
            <w:noWrap w:val="0"/>
            <w:textDirection w:val="tbRlV"/>
            <w:vAlign w:val="center"/>
          </w:tcPr>
          <w:p w14:paraId="751DFD97">
            <w:pPr>
              <w:pStyle w:val="19"/>
              <w:jc w:val="center"/>
              <w:rPr>
                <w:color w:val="auto"/>
              </w:rPr>
            </w:pPr>
          </w:p>
        </w:tc>
        <w:tc>
          <w:tcPr>
            <w:tcW w:w="724" w:type="dxa"/>
            <w:vMerge w:val="continue"/>
            <w:tcBorders>
              <w:top w:val="nil"/>
              <w:bottom w:val="nil"/>
            </w:tcBorders>
            <w:shd w:val="clear" w:color="auto" w:fill="auto"/>
            <w:noWrap w:val="0"/>
            <w:vAlign w:val="center"/>
          </w:tcPr>
          <w:p w14:paraId="5532DB61">
            <w:pPr>
              <w:pStyle w:val="19"/>
              <w:jc w:val="center"/>
              <w:rPr>
                <w:color w:val="auto"/>
              </w:rPr>
            </w:pPr>
          </w:p>
        </w:tc>
        <w:tc>
          <w:tcPr>
            <w:tcW w:w="1019" w:type="dxa"/>
            <w:gridSpan w:val="2"/>
            <w:vMerge w:val="continue"/>
            <w:shd w:val="clear" w:color="auto" w:fill="auto"/>
            <w:noWrap w:val="0"/>
            <w:vAlign w:val="center"/>
          </w:tcPr>
          <w:p w14:paraId="26B07357">
            <w:pPr>
              <w:pStyle w:val="19"/>
              <w:jc w:val="center"/>
              <w:rPr>
                <w:color w:val="auto"/>
              </w:rPr>
            </w:pPr>
          </w:p>
        </w:tc>
        <w:tc>
          <w:tcPr>
            <w:tcW w:w="1643" w:type="dxa"/>
            <w:gridSpan w:val="2"/>
            <w:shd w:val="clear" w:color="auto" w:fill="auto"/>
            <w:noWrap w:val="0"/>
            <w:vAlign w:val="center"/>
          </w:tcPr>
          <w:p w14:paraId="0A1441FE">
            <w:pPr>
              <w:spacing w:line="239" w:lineRule="exact"/>
              <w:jc w:val="center"/>
              <w:rPr>
                <w:rFonts w:hint="eastAsia" w:ascii="仿宋" w:hAnsi="仿宋" w:eastAsia="仿宋" w:cs="仿宋"/>
                <w:color w:val="auto"/>
                <w:lang w:eastAsia="zh-CN"/>
              </w:rPr>
            </w:pPr>
            <w:r>
              <w:rPr>
                <w:rFonts w:ascii="仿宋" w:hAnsi="仿宋" w:eastAsia="仿宋" w:cs="仿宋"/>
                <w:color w:val="auto"/>
                <w:lang w:eastAsia="zh-CN"/>
              </w:rPr>
              <w:t>4.</w:t>
            </w:r>
            <w:r>
              <w:rPr>
                <w:rFonts w:hint="eastAsia" w:ascii="仿宋" w:hAnsi="仿宋" w:eastAsia="仿宋" w:cs="仿宋"/>
                <w:color w:val="auto"/>
                <w:lang w:eastAsia="zh-CN"/>
              </w:rPr>
              <w:t>建筑起重机械安装（拆卸）单位基本信息采集率</w:t>
            </w:r>
          </w:p>
        </w:tc>
        <w:tc>
          <w:tcPr>
            <w:tcW w:w="925" w:type="dxa"/>
            <w:gridSpan w:val="2"/>
            <w:shd w:val="clear" w:color="auto" w:fill="auto"/>
            <w:noWrap w:val="0"/>
            <w:vAlign w:val="center"/>
          </w:tcPr>
          <w:p w14:paraId="6D993568">
            <w:pPr>
              <w:spacing w:line="239" w:lineRule="exact"/>
              <w:jc w:val="center"/>
              <w:rPr>
                <w:rFonts w:hint="eastAsia" w:ascii="仿宋" w:hAnsi="仿宋" w:eastAsia="仿宋" w:cs="仿宋"/>
                <w:color w:val="auto"/>
                <w:lang w:eastAsia="zh-CN"/>
              </w:rPr>
            </w:pPr>
            <w:r>
              <w:rPr>
                <w:rFonts w:hint="eastAsia" w:ascii="仿宋" w:hAnsi="仿宋" w:eastAsia="仿宋" w:cs="仿宋"/>
                <w:color w:val="auto"/>
                <w:lang w:eastAsia="zh-CN"/>
              </w:rPr>
              <w:t>100%</w:t>
            </w:r>
          </w:p>
        </w:tc>
        <w:tc>
          <w:tcPr>
            <w:tcW w:w="1249" w:type="dxa"/>
            <w:gridSpan w:val="2"/>
            <w:shd w:val="clear" w:color="auto" w:fill="auto"/>
            <w:noWrap w:val="0"/>
            <w:vAlign w:val="center"/>
          </w:tcPr>
          <w:p w14:paraId="6986E399">
            <w:pPr>
              <w:spacing w:line="239" w:lineRule="exact"/>
              <w:jc w:val="center"/>
              <w:rPr>
                <w:rFonts w:hint="eastAsia" w:ascii="仿宋" w:hAnsi="仿宋" w:eastAsia="仿宋" w:cs="仿宋"/>
                <w:color w:val="auto"/>
                <w:lang w:eastAsia="zh-CN"/>
              </w:rPr>
            </w:pPr>
            <w:r>
              <w:rPr>
                <w:rFonts w:hint="eastAsia" w:ascii="仿宋" w:hAnsi="仿宋" w:eastAsia="仿宋" w:cs="仿宋"/>
                <w:color w:val="auto"/>
              </w:rPr>
              <w:t>100%</w:t>
            </w:r>
          </w:p>
        </w:tc>
        <w:tc>
          <w:tcPr>
            <w:tcW w:w="719" w:type="dxa"/>
            <w:gridSpan w:val="2"/>
            <w:shd w:val="clear" w:color="auto" w:fill="auto"/>
            <w:noWrap w:val="0"/>
            <w:vAlign w:val="center"/>
          </w:tcPr>
          <w:p w14:paraId="1D47D407">
            <w:pPr>
              <w:spacing w:line="239" w:lineRule="exact"/>
              <w:jc w:val="center"/>
              <w:rPr>
                <w:rFonts w:hint="eastAsia" w:ascii="仿宋" w:hAnsi="仿宋" w:eastAsia="仿宋" w:cs="仿宋"/>
                <w:color w:val="auto"/>
                <w:lang w:eastAsia="zh-CN"/>
              </w:rPr>
            </w:pPr>
            <w:r>
              <w:rPr>
                <w:rFonts w:hint="eastAsia" w:ascii="仿宋" w:hAnsi="仿宋" w:eastAsia="仿宋" w:cs="仿宋"/>
                <w:color w:val="auto"/>
                <w:lang w:eastAsia="zh-CN"/>
              </w:rPr>
              <w:t>3</w:t>
            </w:r>
          </w:p>
        </w:tc>
        <w:tc>
          <w:tcPr>
            <w:tcW w:w="829" w:type="dxa"/>
            <w:gridSpan w:val="2"/>
            <w:shd w:val="clear" w:color="auto" w:fill="auto"/>
            <w:noWrap w:val="0"/>
            <w:vAlign w:val="center"/>
          </w:tcPr>
          <w:p w14:paraId="7F241BDB">
            <w:pPr>
              <w:spacing w:line="239" w:lineRule="exact"/>
              <w:jc w:val="center"/>
              <w:rPr>
                <w:rFonts w:hint="eastAsia" w:ascii="仿宋" w:hAnsi="仿宋" w:eastAsia="仿宋" w:cs="仿宋"/>
                <w:color w:val="auto"/>
                <w:lang w:eastAsia="zh-CN"/>
              </w:rPr>
            </w:pPr>
            <w:r>
              <w:rPr>
                <w:rFonts w:hint="eastAsia" w:ascii="仿宋" w:hAnsi="仿宋" w:eastAsia="仿宋" w:cs="仿宋"/>
                <w:color w:val="auto"/>
                <w:lang w:eastAsia="zh-CN"/>
              </w:rPr>
              <w:t>3</w:t>
            </w:r>
          </w:p>
        </w:tc>
        <w:tc>
          <w:tcPr>
            <w:tcW w:w="1483" w:type="dxa"/>
            <w:gridSpan w:val="2"/>
            <w:noWrap w:val="0"/>
            <w:vAlign w:val="center"/>
          </w:tcPr>
          <w:p w14:paraId="505F5354">
            <w:pPr>
              <w:pStyle w:val="19"/>
              <w:spacing w:line="230" w:lineRule="exact"/>
              <w:jc w:val="center"/>
              <w:rPr>
                <w:rFonts w:hint="eastAsia" w:eastAsia="宋体"/>
                <w:color w:val="auto"/>
                <w:sz w:val="20"/>
                <w:lang w:eastAsia="zh-CN"/>
              </w:rPr>
            </w:pPr>
          </w:p>
        </w:tc>
      </w:tr>
      <w:tr w14:paraId="767727D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40" w:hRule="atLeast"/>
          <w:jc w:val="center"/>
        </w:trPr>
        <w:tc>
          <w:tcPr>
            <w:tcW w:w="1681" w:type="dxa"/>
            <w:gridSpan w:val="3"/>
            <w:vMerge w:val="continue"/>
            <w:tcBorders>
              <w:top w:val="nil"/>
              <w:bottom w:val="nil"/>
            </w:tcBorders>
            <w:shd w:val="clear" w:color="auto" w:fill="auto"/>
            <w:noWrap w:val="0"/>
            <w:textDirection w:val="tbRlV"/>
            <w:vAlign w:val="center"/>
          </w:tcPr>
          <w:p w14:paraId="05D2C43B">
            <w:pPr>
              <w:pStyle w:val="19"/>
              <w:jc w:val="center"/>
              <w:rPr>
                <w:color w:val="auto"/>
                <w:lang w:eastAsia="zh-CN"/>
              </w:rPr>
            </w:pPr>
          </w:p>
        </w:tc>
        <w:tc>
          <w:tcPr>
            <w:tcW w:w="724" w:type="dxa"/>
            <w:vMerge w:val="continue"/>
            <w:tcBorders>
              <w:top w:val="nil"/>
              <w:bottom w:val="nil"/>
            </w:tcBorders>
            <w:shd w:val="clear" w:color="auto" w:fill="auto"/>
            <w:noWrap w:val="0"/>
            <w:vAlign w:val="center"/>
          </w:tcPr>
          <w:p w14:paraId="6739178E">
            <w:pPr>
              <w:pStyle w:val="19"/>
              <w:jc w:val="center"/>
              <w:rPr>
                <w:color w:val="auto"/>
                <w:lang w:eastAsia="zh-CN"/>
              </w:rPr>
            </w:pPr>
          </w:p>
        </w:tc>
        <w:tc>
          <w:tcPr>
            <w:tcW w:w="1019" w:type="dxa"/>
            <w:gridSpan w:val="2"/>
            <w:vMerge w:val="continue"/>
            <w:shd w:val="clear" w:color="auto" w:fill="auto"/>
            <w:noWrap w:val="0"/>
            <w:vAlign w:val="center"/>
          </w:tcPr>
          <w:p w14:paraId="2138C0B7">
            <w:pPr>
              <w:pStyle w:val="19"/>
              <w:jc w:val="center"/>
              <w:rPr>
                <w:color w:val="auto"/>
                <w:lang w:eastAsia="zh-CN"/>
              </w:rPr>
            </w:pPr>
          </w:p>
        </w:tc>
        <w:tc>
          <w:tcPr>
            <w:tcW w:w="1643" w:type="dxa"/>
            <w:gridSpan w:val="2"/>
            <w:shd w:val="clear" w:color="auto" w:fill="auto"/>
            <w:noWrap w:val="0"/>
            <w:vAlign w:val="center"/>
          </w:tcPr>
          <w:p w14:paraId="6C70F38E">
            <w:pPr>
              <w:spacing w:line="239" w:lineRule="exact"/>
              <w:jc w:val="center"/>
              <w:rPr>
                <w:rFonts w:hint="eastAsia" w:ascii="仿宋" w:hAnsi="仿宋" w:eastAsia="仿宋" w:cs="仿宋"/>
                <w:color w:val="auto"/>
                <w:lang w:eastAsia="zh-CN"/>
              </w:rPr>
            </w:pPr>
            <w:r>
              <w:rPr>
                <w:rFonts w:ascii="仿宋" w:hAnsi="仿宋" w:eastAsia="仿宋" w:cs="仿宋"/>
                <w:color w:val="auto"/>
                <w:lang w:eastAsia="zh-CN"/>
              </w:rPr>
              <w:t>5.</w:t>
            </w:r>
            <w:r>
              <w:rPr>
                <w:rFonts w:hint="eastAsia" w:ascii="仿宋" w:hAnsi="仿宋" w:eastAsia="仿宋" w:cs="仿宋"/>
                <w:color w:val="auto"/>
                <w:lang w:eastAsia="zh-CN"/>
              </w:rPr>
              <w:t>竣工项目多部门联合验收率</w:t>
            </w:r>
          </w:p>
        </w:tc>
        <w:tc>
          <w:tcPr>
            <w:tcW w:w="925" w:type="dxa"/>
            <w:gridSpan w:val="2"/>
            <w:shd w:val="clear" w:color="auto" w:fill="auto"/>
            <w:noWrap w:val="0"/>
            <w:vAlign w:val="center"/>
          </w:tcPr>
          <w:p w14:paraId="4CC68721">
            <w:pPr>
              <w:spacing w:line="239" w:lineRule="exact"/>
              <w:jc w:val="center"/>
              <w:rPr>
                <w:rFonts w:hint="eastAsia" w:ascii="仿宋" w:hAnsi="仿宋" w:eastAsia="仿宋" w:cs="仿宋"/>
                <w:color w:val="auto"/>
                <w:lang w:eastAsia="zh-CN"/>
              </w:rPr>
            </w:pPr>
            <w:r>
              <w:rPr>
                <w:rFonts w:hint="eastAsia" w:ascii="仿宋" w:hAnsi="仿宋" w:eastAsia="仿宋" w:cs="仿宋"/>
                <w:color w:val="auto"/>
              </w:rPr>
              <w:t>100%</w:t>
            </w:r>
          </w:p>
        </w:tc>
        <w:tc>
          <w:tcPr>
            <w:tcW w:w="1249" w:type="dxa"/>
            <w:gridSpan w:val="2"/>
            <w:shd w:val="clear" w:color="auto" w:fill="auto"/>
            <w:noWrap w:val="0"/>
            <w:vAlign w:val="center"/>
          </w:tcPr>
          <w:p w14:paraId="3CDA9D0A">
            <w:pPr>
              <w:spacing w:line="239" w:lineRule="exact"/>
              <w:jc w:val="center"/>
              <w:rPr>
                <w:rFonts w:hint="eastAsia" w:ascii="仿宋" w:hAnsi="仿宋" w:eastAsia="仿宋" w:cs="仿宋"/>
                <w:color w:val="auto"/>
                <w:lang w:eastAsia="zh-CN"/>
              </w:rPr>
            </w:pPr>
            <w:r>
              <w:rPr>
                <w:rFonts w:hint="eastAsia" w:ascii="仿宋" w:hAnsi="仿宋" w:eastAsia="仿宋" w:cs="仿宋"/>
                <w:color w:val="auto"/>
              </w:rPr>
              <w:t>100%</w:t>
            </w:r>
          </w:p>
        </w:tc>
        <w:tc>
          <w:tcPr>
            <w:tcW w:w="719" w:type="dxa"/>
            <w:gridSpan w:val="2"/>
            <w:shd w:val="clear" w:color="auto" w:fill="auto"/>
            <w:noWrap w:val="0"/>
            <w:vAlign w:val="center"/>
          </w:tcPr>
          <w:p w14:paraId="3BD097A7">
            <w:pPr>
              <w:spacing w:line="239" w:lineRule="exact"/>
              <w:jc w:val="center"/>
              <w:rPr>
                <w:rFonts w:hint="eastAsia" w:ascii="仿宋" w:hAnsi="仿宋" w:eastAsia="仿宋" w:cs="仿宋"/>
                <w:color w:val="auto"/>
                <w:lang w:eastAsia="zh-CN"/>
              </w:rPr>
            </w:pPr>
            <w:r>
              <w:rPr>
                <w:rFonts w:hint="eastAsia" w:ascii="仿宋" w:hAnsi="仿宋" w:eastAsia="仿宋" w:cs="仿宋"/>
                <w:color w:val="auto"/>
                <w:lang w:eastAsia="zh-CN"/>
              </w:rPr>
              <w:t>3</w:t>
            </w:r>
          </w:p>
        </w:tc>
        <w:tc>
          <w:tcPr>
            <w:tcW w:w="829" w:type="dxa"/>
            <w:gridSpan w:val="2"/>
            <w:shd w:val="clear" w:color="auto" w:fill="auto"/>
            <w:noWrap w:val="0"/>
            <w:vAlign w:val="center"/>
          </w:tcPr>
          <w:p w14:paraId="05AB7C85">
            <w:pPr>
              <w:spacing w:line="239" w:lineRule="exact"/>
              <w:jc w:val="center"/>
              <w:rPr>
                <w:rFonts w:hint="eastAsia" w:ascii="仿宋" w:hAnsi="仿宋" w:eastAsia="仿宋" w:cs="仿宋"/>
                <w:color w:val="auto"/>
                <w:lang w:eastAsia="zh-CN"/>
              </w:rPr>
            </w:pPr>
            <w:r>
              <w:rPr>
                <w:rFonts w:hint="eastAsia" w:ascii="仿宋" w:hAnsi="仿宋" w:eastAsia="仿宋" w:cs="仿宋"/>
                <w:color w:val="auto"/>
                <w:lang w:eastAsia="zh-CN"/>
              </w:rPr>
              <w:t>3</w:t>
            </w:r>
          </w:p>
        </w:tc>
        <w:tc>
          <w:tcPr>
            <w:tcW w:w="1483" w:type="dxa"/>
            <w:gridSpan w:val="2"/>
            <w:noWrap w:val="0"/>
            <w:vAlign w:val="center"/>
          </w:tcPr>
          <w:p w14:paraId="3FDFBE0E">
            <w:pPr>
              <w:pStyle w:val="19"/>
              <w:spacing w:line="230" w:lineRule="exact"/>
              <w:jc w:val="center"/>
              <w:rPr>
                <w:rFonts w:hint="eastAsia" w:eastAsia="宋体"/>
                <w:color w:val="auto"/>
                <w:sz w:val="20"/>
                <w:lang w:eastAsia="zh-CN"/>
              </w:rPr>
            </w:pPr>
          </w:p>
        </w:tc>
      </w:tr>
      <w:tr w14:paraId="31ABB0B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40" w:hRule="atLeast"/>
          <w:jc w:val="center"/>
        </w:trPr>
        <w:tc>
          <w:tcPr>
            <w:tcW w:w="1681" w:type="dxa"/>
            <w:gridSpan w:val="3"/>
            <w:vMerge w:val="continue"/>
            <w:tcBorders>
              <w:top w:val="nil"/>
              <w:bottom w:val="nil"/>
            </w:tcBorders>
            <w:shd w:val="clear" w:color="auto" w:fill="auto"/>
            <w:noWrap w:val="0"/>
            <w:textDirection w:val="tbRlV"/>
            <w:vAlign w:val="center"/>
          </w:tcPr>
          <w:p w14:paraId="16AB76DF">
            <w:pPr>
              <w:pStyle w:val="19"/>
              <w:jc w:val="center"/>
              <w:rPr>
                <w:color w:val="auto"/>
                <w:lang w:eastAsia="zh-CN"/>
              </w:rPr>
            </w:pPr>
          </w:p>
        </w:tc>
        <w:tc>
          <w:tcPr>
            <w:tcW w:w="724" w:type="dxa"/>
            <w:vMerge w:val="continue"/>
            <w:tcBorders>
              <w:top w:val="nil"/>
              <w:bottom w:val="nil"/>
            </w:tcBorders>
            <w:shd w:val="clear" w:color="auto" w:fill="auto"/>
            <w:noWrap w:val="0"/>
            <w:vAlign w:val="center"/>
          </w:tcPr>
          <w:p w14:paraId="47197612">
            <w:pPr>
              <w:pStyle w:val="19"/>
              <w:jc w:val="center"/>
              <w:rPr>
                <w:color w:val="auto"/>
                <w:lang w:eastAsia="zh-CN"/>
              </w:rPr>
            </w:pPr>
          </w:p>
        </w:tc>
        <w:tc>
          <w:tcPr>
            <w:tcW w:w="1019" w:type="dxa"/>
            <w:gridSpan w:val="2"/>
            <w:vMerge w:val="continue"/>
            <w:shd w:val="clear" w:color="auto" w:fill="auto"/>
            <w:noWrap w:val="0"/>
            <w:vAlign w:val="center"/>
          </w:tcPr>
          <w:p w14:paraId="7D482952">
            <w:pPr>
              <w:pStyle w:val="19"/>
              <w:jc w:val="center"/>
              <w:rPr>
                <w:color w:val="auto"/>
                <w:lang w:eastAsia="zh-CN"/>
              </w:rPr>
            </w:pPr>
          </w:p>
        </w:tc>
        <w:tc>
          <w:tcPr>
            <w:tcW w:w="1643" w:type="dxa"/>
            <w:gridSpan w:val="2"/>
            <w:shd w:val="clear" w:color="auto" w:fill="auto"/>
            <w:noWrap w:val="0"/>
            <w:vAlign w:val="center"/>
          </w:tcPr>
          <w:p w14:paraId="611DDA14">
            <w:pPr>
              <w:spacing w:line="239" w:lineRule="exact"/>
              <w:jc w:val="center"/>
              <w:rPr>
                <w:rFonts w:hint="eastAsia" w:ascii="仿宋" w:hAnsi="仿宋" w:eastAsia="仿宋" w:cs="仿宋"/>
                <w:color w:val="auto"/>
                <w:lang w:eastAsia="zh-CN"/>
              </w:rPr>
            </w:pPr>
            <w:r>
              <w:rPr>
                <w:rFonts w:ascii="仿宋" w:hAnsi="仿宋" w:eastAsia="仿宋" w:cs="仿宋"/>
                <w:color w:val="auto"/>
                <w:lang w:eastAsia="zh-CN"/>
              </w:rPr>
              <w:t>6.</w:t>
            </w:r>
            <w:r>
              <w:rPr>
                <w:rFonts w:hint="eastAsia" w:ascii="仿宋" w:hAnsi="仿宋" w:eastAsia="仿宋" w:cs="仿宋"/>
                <w:color w:val="auto"/>
                <w:lang w:eastAsia="zh-CN"/>
              </w:rPr>
              <w:t>监督工程竣工验收率</w:t>
            </w:r>
          </w:p>
        </w:tc>
        <w:tc>
          <w:tcPr>
            <w:tcW w:w="925" w:type="dxa"/>
            <w:gridSpan w:val="2"/>
            <w:shd w:val="clear" w:color="auto" w:fill="auto"/>
            <w:noWrap w:val="0"/>
            <w:vAlign w:val="center"/>
          </w:tcPr>
          <w:p w14:paraId="47EB0259">
            <w:pPr>
              <w:spacing w:line="239" w:lineRule="exact"/>
              <w:jc w:val="center"/>
              <w:rPr>
                <w:rFonts w:hint="eastAsia" w:ascii="仿宋" w:hAnsi="仿宋" w:eastAsia="仿宋" w:cs="仿宋"/>
                <w:color w:val="auto"/>
                <w:lang w:eastAsia="zh-CN"/>
              </w:rPr>
            </w:pPr>
            <w:r>
              <w:rPr>
                <w:rFonts w:hint="eastAsia" w:ascii="仿宋" w:hAnsi="仿宋" w:eastAsia="仿宋" w:cs="仿宋"/>
                <w:color w:val="auto"/>
              </w:rPr>
              <w:t>100%</w:t>
            </w:r>
          </w:p>
        </w:tc>
        <w:tc>
          <w:tcPr>
            <w:tcW w:w="1249" w:type="dxa"/>
            <w:gridSpan w:val="2"/>
            <w:shd w:val="clear" w:color="auto" w:fill="auto"/>
            <w:noWrap w:val="0"/>
            <w:vAlign w:val="center"/>
          </w:tcPr>
          <w:p w14:paraId="037E4482">
            <w:pPr>
              <w:spacing w:line="239" w:lineRule="exact"/>
              <w:jc w:val="center"/>
              <w:rPr>
                <w:rFonts w:hint="eastAsia" w:ascii="仿宋" w:hAnsi="仿宋" w:eastAsia="仿宋" w:cs="仿宋"/>
                <w:color w:val="auto"/>
                <w:lang w:eastAsia="zh-CN"/>
              </w:rPr>
            </w:pPr>
            <w:r>
              <w:rPr>
                <w:rFonts w:hint="eastAsia" w:ascii="仿宋" w:hAnsi="仿宋" w:eastAsia="仿宋" w:cs="仿宋"/>
                <w:color w:val="auto"/>
              </w:rPr>
              <w:t>100%</w:t>
            </w:r>
          </w:p>
        </w:tc>
        <w:tc>
          <w:tcPr>
            <w:tcW w:w="719" w:type="dxa"/>
            <w:gridSpan w:val="2"/>
            <w:shd w:val="clear" w:color="auto" w:fill="auto"/>
            <w:noWrap w:val="0"/>
            <w:vAlign w:val="center"/>
          </w:tcPr>
          <w:p w14:paraId="6D919ACA">
            <w:pPr>
              <w:spacing w:line="239" w:lineRule="exact"/>
              <w:jc w:val="center"/>
              <w:rPr>
                <w:rFonts w:hint="eastAsia" w:ascii="仿宋" w:hAnsi="仿宋" w:eastAsia="仿宋" w:cs="仿宋"/>
                <w:color w:val="auto"/>
                <w:lang w:eastAsia="zh-CN"/>
              </w:rPr>
            </w:pPr>
            <w:r>
              <w:rPr>
                <w:rFonts w:hint="eastAsia" w:ascii="仿宋" w:hAnsi="仿宋" w:eastAsia="仿宋" w:cs="仿宋"/>
                <w:color w:val="auto"/>
                <w:lang w:eastAsia="zh-CN"/>
              </w:rPr>
              <w:t>3</w:t>
            </w:r>
          </w:p>
        </w:tc>
        <w:tc>
          <w:tcPr>
            <w:tcW w:w="829" w:type="dxa"/>
            <w:gridSpan w:val="2"/>
            <w:shd w:val="clear" w:color="auto" w:fill="auto"/>
            <w:noWrap w:val="0"/>
            <w:vAlign w:val="center"/>
          </w:tcPr>
          <w:p w14:paraId="57093268">
            <w:pPr>
              <w:spacing w:line="239" w:lineRule="exact"/>
              <w:jc w:val="center"/>
              <w:rPr>
                <w:rFonts w:hint="eastAsia" w:ascii="仿宋" w:hAnsi="仿宋" w:eastAsia="仿宋" w:cs="仿宋"/>
                <w:color w:val="auto"/>
                <w:lang w:eastAsia="zh-CN"/>
              </w:rPr>
            </w:pPr>
            <w:r>
              <w:rPr>
                <w:rFonts w:hint="eastAsia" w:ascii="仿宋" w:hAnsi="仿宋" w:eastAsia="仿宋" w:cs="仿宋"/>
                <w:color w:val="auto"/>
                <w:lang w:eastAsia="zh-CN"/>
              </w:rPr>
              <w:t>3</w:t>
            </w:r>
          </w:p>
        </w:tc>
        <w:tc>
          <w:tcPr>
            <w:tcW w:w="1483" w:type="dxa"/>
            <w:gridSpan w:val="2"/>
            <w:noWrap w:val="0"/>
            <w:vAlign w:val="center"/>
          </w:tcPr>
          <w:p w14:paraId="7D8AB288">
            <w:pPr>
              <w:pStyle w:val="19"/>
              <w:spacing w:line="230" w:lineRule="exact"/>
              <w:jc w:val="center"/>
              <w:rPr>
                <w:rFonts w:hint="eastAsia" w:eastAsia="宋体"/>
                <w:color w:val="auto"/>
                <w:sz w:val="20"/>
                <w:lang w:eastAsia="zh-CN"/>
              </w:rPr>
            </w:pPr>
          </w:p>
        </w:tc>
      </w:tr>
      <w:tr w14:paraId="15339DA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40" w:hRule="atLeast"/>
          <w:jc w:val="center"/>
        </w:trPr>
        <w:tc>
          <w:tcPr>
            <w:tcW w:w="1681" w:type="dxa"/>
            <w:gridSpan w:val="3"/>
            <w:vMerge w:val="continue"/>
            <w:tcBorders>
              <w:top w:val="nil"/>
              <w:bottom w:val="nil"/>
            </w:tcBorders>
            <w:shd w:val="clear" w:color="auto" w:fill="auto"/>
            <w:noWrap w:val="0"/>
            <w:textDirection w:val="tbRlV"/>
            <w:vAlign w:val="center"/>
          </w:tcPr>
          <w:p w14:paraId="51679A74">
            <w:pPr>
              <w:pStyle w:val="19"/>
              <w:jc w:val="center"/>
              <w:rPr>
                <w:color w:val="auto"/>
                <w:lang w:eastAsia="zh-CN"/>
              </w:rPr>
            </w:pPr>
          </w:p>
        </w:tc>
        <w:tc>
          <w:tcPr>
            <w:tcW w:w="724" w:type="dxa"/>
            <w:vMerge w:val="continue"/>
            <w:tcBorders>
              <w:top w:val="nil"/>
              <w:bottom w:val="nil"/>
            </w:tcBorders>
            <w:shd w:val="clear" w:color="auto" w:fill="auto"/>
            <w:noWrap w:val="0"/>
            <w:vAlign w:val="center"/>
          </w:tcPr>
          <w:p w14:paraId="3113F38D">
            <w:pPr>
              <w:pStyle w:val="19"/>
              <w:jc w:val="center"/>
              <w:rPr>
                <w:color w:val="auto"/>
                <w:lang w:eastAsia="zh-CN"/>
              </w:rPr>
            </w:pPr>
          </w:p>
        </w:tc>
        <w:tc>
          <w:tcPr>
            <w:tcW w:w="1019" w:type="dxa"/>
            <w:gridSpan w:val="2"/>
            <w:vMerge w:val="continue"/>
            <w:shd w:val="clear" w:color="auto" w:fill="auto"/>
            <w:noWrap w:val="0"/>
            <w:vAlign w:val="center"/>
          </w:tcPr>
          <w:p w14:paraId="2E2FB1FF">
            <w:pPr>
              <w:pStyle w:val="19"/>
              <w:jc w:val="center"/>
              <w:rPr>
                <w:color w:val="auto"/>
                <w:lang w:eastAsia="zh-CN"/>
              </w:rPr>
            </w:pPr>
          </w:p>
        </w:tc>
        <w:tc>
          <w:tcPr>
            <w:tcW w:w="1643" w:type="dxa"/>
            <w:gridSpan w:val="2"/>
            <w:shd w:val="clear" w:color="auto" w:fill="auto"/>
            <w:noWrap w:val="0"/>
            <w:vAlign w:val="center"/>
          </w:tcPr>
          <w:p w14:paraId="5E3F7051">
            <w:pPr>
              <w:spacing w:line="239" w:lineRule="exact"/>
              <w:jc w:val="center"/>
              <w:rPr>
                <w:rFonts w:hint="eastAsia" w:ascii="仿宋" w:hAnsi="仿宋" w:eastAsia="仿宋" w:cs="仿宋"/>
                <w:color w:val="auto"/>
                <w:lang w:eastAsia="zh-CN"/>
              </w:rPr>
            </w:pPr>
            <w:r>
              <w:rPr>
                <w:rFonts w:ascii="仿宋" w:hAnsi="仿宋" w:eastAsia="仿宋" w:cs="仿宋"/>
                <w:color w:val="auto"/>
                <w:lang w:eastAsia="zh-CN"/>
              </w:rPr>
              <w:t>7.</w:t>
            </w:r>
            <w:r>
              <w:rPr>
                <w:rFonts w:hint="eastAsia" w:ascii="仿宋" w:hAnsi="仿宋" w:eastAsia="仿宋" w:cs="仿宋"/>
                <w:color w:val="auto"/>
                <w:lang w:eastAsia="zh-CN"/>
              </w:rPr>
              <w:t>质量投诉回复、处理率</w:t>
            </w:r>
          </w:p>
        </w:tc>
        <w:tc>
          <w:tcPr>
            <w:tcW w:w="925" w:type="dxa"/>
            <w:gridSpan w:val="2"/>
            <w:shd w:val="clear" w:color="auto" w:fill="auto"/>
            <w:noWrap w:val="0"/>
            <w:vAlign w:val="center"/>
          </w:tcPr>
          <w:p w14:paraId="224584D3">
            <w:pPr>
              <w:spacing w:line="239" w:lineRule="exact"/>
              <w:jc w:val="center"/>
              <w:rPr>
                <w:rFonts w:hint="eastAsia" w:ascii="仿宋" w:hAnsi="仿宋" w:eastAsia="仿宋" w:cs="仿宋"/>
                <w:color w:val="auto"/>
                <w:lang w:eastAsia="zh-CN"/>
              </w:rPr>
            </w:pPr>
            <w:r>
              <w:rPr>
                <w:rFonts w:hint="eastAsia" w:ascii="仿宋" w:hAnsi="仿宋" w:eastAsia="仿宋" w:cs="仿宋"/>
                <w:color w:val="auto"/>
              </w:rPr>
              <w:t>100%</w:t>
            </w:r>
          </w:p>
        </w:tc>
        <w:tc>
          <w:tcPr>
            <w:tcW w:w="1249" w:type="dxa"/>
            <w:gridSpan w:val="2"/>
            <w:shd w:val="clear" w:color="auto" w:fill="auto"/>
            <w:noWrap w:val="0"/>
            <w:vAlign w:val="center"/>
          </w:tcPr>
          <w:p w14:paraId="7F3F6CF5">
            <w:pPr>
              <w:spacing w:line="239" w:lineRule="exact"/>
              <w:jc w:val="center"/>
              <w:rPr>
                <w:rFonts w:hint="eastAsia" w:ascii="仿宋" w:hAnsi="仿宋" w:eastAsia="仿宋" w:cs="仿宋"/>
                <w:color w:val="auto"/>
                <w:lang w:eastAsia="zh-CN"/>
              </w:rPr>
            </w:pPr>
            <w:r>
              <w:rPr>
                <w:rFonts w:hint="eastAsia" w:ascii="仿宋" w:hAnsi="仿宋" w:eastAsia="仿宋" w:cs="仿宋"/>
                <w:color w:val="auto"/>
              </w:rPr>
              <w:t>100%</w:t>
            </w:r>
          </w:p>
        </w:tc>
        <w:tc>
          <w:tcPr>
            <w:tcW w:w="719" w:type="dxa"/>
            <w:gridSpan w:val="2"/>
            <w:shd w:val="clear" w:color="auto" w:fill="auto"/>
            <w:noWrap w:val="0"/>
            <w:vAlign w:val="center"/>
          </w:tcPr>
          <w:p w14:paraId="0AC20657">
            <w:pPr>
              <w:spacing w:line="239" w:lineRule="exact"/>
              <w:jc w:val="center"/>
              <w:rPr>
                <w:rFonts w:hint="eastAsia" w:ascii="仿宋" w:hAnsi="仿宋" w:eastAsia="仿宋" w:cs="仿宋"/>
                <w:color w:val="auto"/>
                <w:lang w:eastAsia="zh-CN"/>
              </w:rPr>
            </w:pPr>
            <w:r>
              <w:rPr>
                <w:rFonts w:hint="eastAsia" w:ascii="仿宋" w:hAnsi="仿宋" w:eastAsia="仿宋" w:cs="仿宋"/>
                <w:color w:val="auto"/>
                <w:lang w:eastAsia="zh-CN"/>
              </w:rPr>
              <w:t>3</w:t>
            </w:r>
          </w:p>
        </w:tc>
        <w:tc>
          <w:tcPr>
            <w:tcW w:w="829" w:type="dxa"/>
            <w:gridSpan w:val="2"/>
            <w:shd w:val="clear" w:color="auto" w:fill="auto"/>
            <w:noWrap w:val="0"/>
            <w:vAlign w:val="center"/>
          </w:tcPr>
          <w:p w14:paraId="5D94E43D">
            <w:pPr>
              <w:spacing w:line="239" w:lineRule="exact"/>
              <w:jc w:val="center"/>
              <w:rPr>
                <w:rFonts w:hint="eastAsia" w:ascii="仿宋" w:hAnsi="仿宋" w:eastAsia="仿宋" w:cs="仿宋"/>
                <w:color w:val="auto"/>
                <w:lang w:eastAsia="zh-CN"/>
              </w:rPr>
            </w:pPr>
            <w:r>
              <w:rPr>
                <w:rFonts w:hint="eastAsia" w:ascii="仿宋" w:hAnsi="仿宋" w:eastAsia="仿宋" w:cs="仿宋"/>
                <w:color w:val="auto"/>
                <w:lang w:eastAsia="zh-CN"/>
              </w:rPr>
              <w:t>3</w:t>
            </w:r>
          </w:p>
        </w:tc>
        <w:tc>
          <w:tcPr>
            <w:tcW w:w="1483" w:type="dxa"/>
            <w:gridSpan w:val="2"/>
            <w:noWrap w:val="0"/>
            <w:vAlign w:val="center"/>
          </w:tcPr>
          <w:p w14:paraId="79EF2F6F">
            <w:pPr>
              <w:pStyle w:val="19"/>
              <w:spacing w:line="230" w:lineRule="exact"/>
              <w:jc w:val="center"/>
              <w:rPr>
                <w:rFonts w:hint="eastAsia" w:eastAsia="宋体"/>
                <w:color w:val="auto"/>
                <w:sz w:val="20"/>
                <w:lang w:eastAsia="zh-CN"/>
              </w:rPr>
            </w:pPr>
          </w:p>
        </w:tc>
      </w:tr>
      <w:tr w14:paraId="0A45DE2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40" w:hRule="atLeast"/>
          <w:jc w:val="center"/>
        </w:trPr>
        <w:tc>
          <w:tcPr>
            <w:tcW w:w="1681" w:type="dxa"/>
            <w:gridSpan w:val="3"/>
            <w:vMerge w:val="continue"/>
            <w:tcBorders>
              <w:top w:val="nil"/>
              <w:bottom w:val="nil"/>
            </w:tcBorders>
            <w:shd w:val="clear" w:color="auto" w:fill="auto"/>
            <w:noWrap w:val="0"/>
            <w:textDirection w:val="tbRlV"/>
            <w:vAlign w:val="center"/>
          </w:tcPr>
          <w:p w14:paraId="3BD93F53">
            <w:pPr>
              <w:pStyle w:val="19"/>
              <w:jc w:val="center"/>
              <w:rPr>
                <w:color w:val="auto"/>
                <w:lang w:eastAsia="zh-CN"/>
              </w:rPr>
            </w:pPr>
          </w:p>
        </w:tc>
        <w:tc>
          <w:tcPr>
            <w:tcW w:w="724" w:type="dxa"/>
            <w:vMerge w:val="continue"/>
            <w:tcBorders>
              <w:top w:val="nil"/>
              <w:bottom w:val="nil"/>
            </w:tcBorders>
            <w:shd w:val="clear" w:color="auto" w:fill="auto"/>
            <w:noWrap w:val="0"/>
            <w:vAlign w:val="center"/>
          </w:tcPr>
          <w:p w14:paraId="7FE516EE">
            <w:pPr>
              <w:pStyle w:val="19"/>
              <w:jc w:val="center"/>
              <w:rPr>
                <w:color w:val="auto"/>
                <w:lang w:eastAsia="zh-CN"/>
              </w:rPr>
            </w:pPr>
          </w:p>
        </w:tc>
        <w:tc>
          <w:tcPr>
            <w:tcW w:w="1019" w:type="dxa"/>
            <w:gridSpan w:val="2"/>
            <w:vMerge w:val="continue"/>
            <w:shd w:val="clear" w:color="auto" w:fill="auto"/>
            <w:noWrap w:val="0"/>
            <w:vAlign w:val="center"/>
          </w:tcPr>
          <w:p w14:paraId="67A05B02">
            <w:pPr>
              <w:pStyle w:val="19"/>
              <w:jc w:val="center"/>
              <w:rPr>
                <w:color w:val="auto"/>
                <w:lang w:eastAsia="zh-CN"/>
              </w:rPr>
            </w:pPr>
          </w:p>
        </w:tc>
        <w:tc>
          <w:tcPr>
            <w:tcW w:w="1643" w:type="dxa"/>
            <w:gridSpan w:val="2"/>
            <w:shd w:val="clear" w:color="auto" w:fill="auto"/>
            <w:noWrap w:val="0"/>
            <w:vAlign w:val="center"/>
          </w:tcPr>
          <w:p w14:paraId="72C472CE">
            <w:pPr>
              <w:spacing w:line="239" w:lineRule="exact"/>
              <w:jc w:val="center"/>
              <w:rPr>
                <w:rFonts w:hint="eastAsia" w:ascii="仿宋" w:hAnsi="仿宋" w:eastAsia="仿宋" w:cs="仿宋"/>
                <w:color w:val="auto"/>
                <w:lang w:eastAsia="zh-CN"/>
              </w:rPr>
            </w:pPr>
            <w:r>
              <w:rPr>
                <w:rFonts w:ascii="仿宋" w:hAnsi="仿宋" w:eastAsia="仿宋" w:cs="仿宋"/>
                <w:color w:val="auto"/>
                <w:lang w:eastAsia="zh-CN"/>
              </w:rPr>
              <w:t>8.</w:t>
            </w:r>
            <w:r>
              <w:rPr>
                <w:rFonts w:hint="eastAsia" w:ascii="仿宋" w:hAnsi="仿宋" w:eastAsia="仿宋" w:cs="仿宋"/>
                <w:color w:val="auto"/>
                <w:lang w:eastAsia="zh-CN"/>
              </w:rPr>
              <w:t>房屋装饰装修的咨询、投诉和举报处理率</w:t>
            </w:r>
          </w:p>
        </w:tc>
        <w:tc>
          <w:tcPr>
            <w:tcW w:w="925" w:type="dxa"/>
            <w:gridSpan w:val="2"/>
            <w:shd w:val="clear" w:color="auto" w:fill="auto"/>
            <w:noWrap w:val="0"/>
            <w:vAlign w:val="center"/>
          </w:tcPr>
          <w:p w14:paraId="1EF412D6">
            <w:pPr>
              <w:spacing w:line="239" w:lineRule="exact"/>
              <w:jc w:val="center"/>
              <w:rPr>
                <w:rFonts w:hint="eastAsia" w:ascii="仿宋" w:hAnsi="仿宋" w:eastAsia="仿宋" w:cs="仿宋"/>
                <w:color w:val="auto"/>
                <w:lang w:eastAsia="zh-CN"/>
              </w:rPr>
            </w:pPr>
            <w:r>
              <w:rPr>
                <w:rFonts w:hint="eastAsia" w:ascii="仿宋" w:hAnsi="仿宋" w:eastAsia="仿宋" w:cs="仿宋"/>
                <w:color w:val="auto"/>
              </w:rPr>
              <w:t>100%</w:t>
            </w:r>
          </w:p>
        </w:tc>
        <w:tc>
          <w:tcPr>
            <w:tcW w:w="1249" w:type="dxa"/>
            <w:gridSpan w:val="2"/>
            <w:shd w:val="clear" w:color="auto" w:fill="auto"/>
            <w:noWrap w:val="0"/>
            <w:vAlign w:val="center"/>
          </w:tcPr>
          <w:p w14:paraId="3E762687">
            <w:pPr>
              <w:spacing w:line="239" w:lineRule="exact"/>
              <w:jc w:val="center"/>
              <w:rPr>
                <w:rFonts w:hint="eastAsia" w:ascii="仿宋" w:hAnsi="仿宋" w:eastAsia="仿宋" w:cs="仿宋"/>
                <w:color w:val="auto"/>
                <w:lang w:eastAsia="zh-CN"/>
              </w:rPr>
            </w:pPr>
            <w:r>
              <w:rPr>
                <w:rFonts w:hint="eastAsia" w:ascii="仿宋" w:hAnsi="仿宋" w:eastAsia="仿宋" w:cs="仿宋"/>
                <w:color w:val="auto"/>
              </w:rPr>
              <w:t>100%</w:t>
            </w:r>
          </w:p>
        </w:tc>
        <w:tc>
          <w:tcPr>
            <w:tcW w:w="719" w:type="dxa"/>
            <w:gridSpan w:val="2"/>
            <w:shd w:val="clear" w:color="auto" w:fill="auto"/>
            <w:noWrap w:val="0"/>
            <w:vAlign w:val="center"/>
          </w:tcPr>
          <w:p w14:paraId="4872868A">
            <w:pPr>
              <w:spacing w:line="239" w:lineRule="exact"/>
              <w:jc w:val="center"/>
              <w:rPr>
                <w:rFonts w:hint="eastAsia" w:ascii="仿宋" w:hAnsi="仿宋" w:eastAsia="仿宋" w:cs="仿宋"/>
                <w:color w:val="auto"/>
                <w:lang w:eastAsia="zh-CN"/>
              </w:rPr>
            </w:pPr>
            <w:r>
              <w:rPr>
                <w:rFonts w:hint="eastAsia" w:ascii="仿宋" w:hAnsi="仿宋" w:eastAsia="仿宋" w:cs="仿宋"/>
                <w:color w:val="auto"/>
                <w:lang w:eastAsia="zh-CN"/>
              </w:rPr>
              <w:t>3</w:t>
            </w:r>
          </w:p>
        </w:tc>
        <w:tc>
          <w:tcPr>
            <w:tcW w:w="829" w:type="dxa"/>
            <w:gridSpan w:val="2"/>
            <w:shd w:val="clear" w:color="auto" w:fill="auto"/>
            <w:noWrap w:val="0"/>
            <w:vAlign w:val="center"/>
          </w:tcPr>
          <w:p w14:paraId="19DF9993">
            <w:pPr>
              <w:spacing w:line="239" w:lineRule="exact"/>
              <w:jc w:val="center"/>
              <w:rPr>
                <w:rFonts w:hint="eastAsia" w:ascii="仿宋" w:hAnsi="仿宋" w:eastAsia="仿宋" w:cs="仿宋"/>
                <w:color w:val="auto"/>
                <w:lang w:eastAsia="zh-CN"/>
              </w:rPr>
            </w:pPr>
            <w:r>
              <w:rPr>
                <w:rFonts w:hint="eastAsia" w:ascii="仿宋" w:hAnsi="仿宋" w:eastAsia="仿宋" w:cs="仿宋"/>
                <w:color w:val="auto"/>
                <w:lang w:eastAsia="zh-CN"/>
              </w:rPr>
              <w:t>3</w:t>
            </w:r>
          </w:p>
        </w:tc>
        <w:tc>
          <w:tcPr>
            <w:tcW w:w="1483" w:type="dxa"/>
            <w:gridSpan w:val="2"/>
            <w:noWrap w:val="0"/>
            <w:vAlign w:val="center"/>
          </w:tcPr>
          <w:p w14:paraId="61372CEE">
            <w:pPr>
              <w:pStyle w:val="19"/>
              <w:spacing w:line="230" w:lineRule="exact"/>
              <w:jc w:val="center"/>
              <w:rPr>
                <w:rFonts w:hint="eastAsia" w:eastAsia="宋体"/>
                <w:color w:val="auto"/>
                <w:sz w:val="20"/>
                <w:lang w:eastAsia="zh-CN"/>
              </w:rPr>
            </w:pPr>
          </w:p>
        </w:tc>
      </w:tr>
      <w:tr w14:paraId="28A8A9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40" w:hRule="atLeast"/>
          <w:jc w:val="center"/>
        </w:trPr>
        <w:tc>
          <w:tcPr>
            <w:tcW w:w="1681" w:type="dxa"/>
            <w:gridSpan w:val="3"/>
            <w:vMerge w:val="continue"/>
            <w:tcBorders>
              <w:top w:val="nil"/>
              <w:bottom w:val="nil"/>
            </w:tcBorders>
            <w:shd w:val="clear" w:color="auto" w:fill="auto"/>
            <w:noWrap w:val="0"/>
            <w:textDirection w:val="tbRlV"/>
            <w:vAlign w:val="center"/>
          </w:tcPr>
          <w:p w14:paraId="2DCC0778">
            <w:pPr>
              <w:pStyle w:val="19"/>
              <w:jc w:val="center"/>
              <w:rPr>
                <w:color w:val="auto"/>
                <w:lang w:eastAsia="zh-CN"/>
              </w:rPr>
            </w:pPr>
          </w:p>
        </w:tc>
        <w:tc>
          <w:tcPr>
            <w:tcW w:w="724" w:type="dxa"/>
            <w:vMerge w:val="continue"/>
            <w:tcBorders>
              <w:top w:val="nil"/>
              <w:bottom w:val="nil"/>
            </w:tcBorders>
            <w:shd w:val="clear" w:color="auto" w:fill="auto"/>
            <w:noWrap w:val="0"/>
            <w:vAlign w:val="center"/>
          </w:tcPr>
          <w:p w14:paraId="4361D973">
            <w:pPr>
              <w:pStyle w:val="19"/>
              <w:jc w:val="center"/>
              <w:rPr>
                <w:color w:val="auto"/>
                <w:lang w:eastAsia="zh-CN"/>
              </w:rPr>
            </w:pPr>
          </w:p>
        </w:tc>
        <w:tc>
          <w:tcPr>
            <w:tcW w:w="1019" w:type="dxa"/>
            <w:gridSpan w:val="2"/>
            <w:vMerge w:val="continue"/>
            <w:shd w:val="clear" w:color="auto" w:fill="auto"/>
            <w:noWrap w:val="0"/>
            <w:vAlign w:val="center"/>
          </w:tcPr>
          <w:p w14:paraId="21CF3F9E">
            <w:pPr>
              <w:pStyle w:val="19"/>
              <w:jc w:val="center"/>
              <w:rPr>
                <w:color w:val="auto"/>
                <w:lang w:eastAsia="zh-CN"/>
              </w:rPr>
            </w:pPr>
          </w:p>
        </w:tc>
        <w:tc>
          <w:tcPr>
            <w:tcW w:w="1643" w:type="dxa"/>
            <w:gridSpan w:val="2"/>
            <w:shd w:val="clear" w:color="auto" w:fill="auto"/>
            <w:noWrap w:val="0"/>
            <w:vAlign w:val="center"/>
          </w:tcPr>
          <w:p w14:paraId="10E5E078">
            <w:pPr>
              <w:spacing w:line="239" w:lineRule="exact"/>
              <w:jc w:val="center"/>
              <w:rPr>
                <w:rFonts w:ascii="仿宋" w:hAnsi="仿宋" w:eastAsia="仿宋" w:cs="仿宋"/>
                <w:color w:val="auto"/>
                <w:lang w:eastAsia="zh-CN"/>
              </w:rPr>
            </w:pPr>
            <w:r>
              <w:rPr>
                <w:rFonts w:ascii="仿宋" w:hAnsi="仿宋" w:eastAsia="仿宋" w:cs="仿宋"/>
                <w:color w:val="auto"/>
                <w:lang w:eastAsia="zh-CN"/>
              </w:rPr>
              <w:t>9.</w:t>
            </w:r>
            <w:r>
              <w:rPr>
                <w:rFonts w:hint="eastAsia" w:ascii="仿宋" w:hAnsi="仿宋" w:eastAsia="仿宋" w:cs="仿宋"/>
                <w:color w:val="auto"/>
                <w:lang w:eastAsia="zh-CN"/>
              </w:rPr>
              <w:t>房屋安全鉴定的咨询、投诉和举报处理率</w:t>
            </w:r>
          </w:p>
        </w:tc>
        <w:tc>
          <w:tcPr>
            <w:tcW w:w="925" w:type="dxa"/>
            <w:gridSpan w:val="2"/>
            <w:shd w:val="clear" w:color="auto" w:fill="auto"/>
            <w:noWrap w:val="0"/>
            <w:vAlign w:val="center"/>
          </w:tcPr>
          <w:p w14:paraId="49DCFA5D">
            <w:pPr>
              <w:spacing w:line="239" w:lineRule="exact"/>
              <w:jc w:val="center"/>
              <w:rPr>
                <w:rFonts w:hint="eastAsia" w:ascii="仿宋" w:hAnsi="仿宋" w:eastAsia="仿宋" w:cs="仿宋"/>
                <w:color w:val="auto"/>
                <w:lang w:eastAsia="zh-CN"/>
              </w:rPr>
            </w:pPr>
            <w:r>
              <w:rPr>
                <w:rFonts w:hint="eastAsia" w:ascii="仿宋" w:hAnsi="仿宋" w:eastAsia="仿宋" w:cs="仿宋"/>
                <w:color w:val="auto"/>
              </w:rPr>
              <w:t>100%</w:t>
            </w:r>
          </w:p>
        </w:tc>
        <w:tc>
          <w:tcPr>
            <w:tcW w:w="1249" w:type="dxa"/>
            <w:gridSpan w:val="2"/>
            <w:shd w:val="clear" w:color="auto" w:fill="auto"/>
            <w:noWrap w:val="0"/>
            <w:vAlign w:val="center"/>
          </w:tcPr>
          <w:p w14:paraId="27E916E5">
            <w:pPr>
              <w:spacing w:line="239" w:lineRule="exact"/>
              <w:jc w:val="center"/>
              <w:rPr>
                <w:rFonts w:hint="eastAsia" w:ascii="仿宋" w:hAnsi="仿宋" w:eastAsia="仿宋" w:cs="仿宋"/>
                <w:color w:val="auto"/>
                <w:lang w:eastAsia="zh-CN"/>
              </w:rPr>
            </w:pPr>
            <w:r>
              <w:rPr>
                <w:rFonts w:hint="eastAsia" w:ascii="仿宋" w:hAnsi="仿宋" w:eastAsia="仿宋" w:cs="仿宋"/>
                <w:color w:val="auto"/>
              </w:rPr>
              <w:t>100%</w:t>
            </w:r>
          </w:p>
        </w:tc>
        <w:tc>
          <w:tcPr>
            <w:tcW w:w="719" w:type="dxa"/>
            <w:gridSpan w:val="2"/>
            <w:shd w:val="clear" w:color="auto" w:fill="auto"/>
            <w:noWrap w:val="0"/>
            <w:vAlign w:val="center"/>
          </w:tcPr>
          <w:p w14:paraId="0835DA1E">
            <w:pPr>
              <w:spacing w:line="239" w:lineRule="exact"/>
              <w:jc w:val="center"/>
              <w:rPr>
                <w:rFonts w:hint="eastAsia" w:ascii="仿宋" w:hAnsi="仿宋" w:eastAsia="仿宋" w:cs="仿宋"/>
                <w:color w:val="auto"/>
                <w:lang w:eastAsia="zh-CN"/>
              </w:rPr>
            </w:pPr>
            <w:r>
              <w:rPr>
                <w:rFonts w:hint="eastAsia" w:ascii="仿宋" w:hAnsi="仿宋" w:eastAsia="仿宋" w:cs="仿宋"/>
                <w:color w:val="auto"/>
                <w:lang w:eastAsia="zh-CN"/>
              </w:rPr>
              <w:t>3</w:t>
            </w:r>
          </w:p>
        </w:tc>
        <w:tc>
          <w:tcPr>
            <w:tcW w:w="829" w:type="dxa"/>
            <w:gridSpan w:val="2"/>
            <w:shd w:val="clear" w:color="auto" w:fill="auto"/>
            <w:noWrap w:val="0"/>
            <w:vAlign w:val="center"/>
          </w:tcPr>
          <w:p w14:paraId="3CA60318">
            <w:pPr>
              <w:spacing w:line="239" w:lineRule="exact"/>
              <w:jc w:val="center"/>
              <w:rPr>
                <w:rFonts w:hint="eastAsia" w:ascii="仿宋" w:hAnsi="仿宋" w:eastAsia="仿宋" w:cs="仿宋"/>
                <w:color w:val="auto"/>
                <w:lang w:eastAsia="zh-CN"/>
              </w:rPr>
            </w:pPr>
            <w:r>
              <w:rPr>
                <w:rFonts w:hint="eastAsia" w:ascii="仿宋" w:hAnsi="仿宋" w:eastAsia="仿宋" w:cs="仿宋"/>
                <w:color w:val="auto"/>
                <w:lang w:eastAsia="zh-CN"/>
              </w:rPr>
              <w:t>3</w:t>
            </w:r>
          </w:p>
        </w:tc>
        <w:tc>
          <w:tcPr>
            <w:tcW w:w="1483" w:type="dxa"/>
            <w:gridSpan w:val="2"/>
            <w:noWrap w:val="0"/>
            <w:vAlign w:val="center"/>
          </w:tcPr>
          <w:p w14:paraId="5807359E">
            <w:pPr>
              <w:pStyle w:val="19"/>
              <w:spacing w:line="230" w:lineRule="exact"/>
              <w:jc w:val="center"/>
              <w:rPr>
                <w:rFonts w:hint="eastAsia" w:eastAsia="宋体"/>
                <w:color w:val="auto"/>
                <w:sz w:val="20"/>
                <w:lang w:eastAsia="zh-CN"/>
              </w:rPr>
            </w:pPr>
          </w:p>
        </w:tc>
      </w:tr>
      <w:tr w14:paraId="6D0EF9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40" w:hRule="atLeast"/>
          <w:jc w:val="center"/>
        </w:trPr>
        <w:tc>
          <w:tcPr>
            <w:tcW w:w="1681" w:type="dxa"/>
            <w:gridSpan w:val="3"/>
            <w:vMerge w:val="continue"/>
            <w:tcBorders>
              <w:top w:val="nil"/>
              <w:bottom w:val="nil"/>
            </w:tcBorders>
            <w:shd w:val="clear" w:color="auto" w:fill="auto"/>
            <w:noWrap w:val="0"/>
            <w:textDirection w:val="tbRlV"/>
            <w:vAlign w:val="center"/>
          </w:tcPr>
          <w:p w14:paraId="02E0CEEC">
            <w:pPr>
              <w:pStyle w:val="19"/>
              <w:jc w:val="center"/>
              <w:rPr>
                <w:color w:val="auto"/>
                <w:lang w:eastAsia="zh-CN"/>
              </w:rPr>
            </w:pPr>
          </w:p>
        </w:tc>
        <w:tc>
          <w:tcPr>
            <w:tcW w:w="724" w:type="dxa"/>
            <w:vMerge w:val="continue"/>
            <w:tcBorders>
              <w:top w:val="nil"/>
              <w:bottom w:val="nil"/>
            </w:tcBorders>
            <w:shd w:val="clear" w:color="auto" w:fill="auto"/>
            <w:noWrap w:val="0"/>
            <w:vAlign w:val="center"/>
          </w:tcPr>
          <w:p w14:paraId="0216A5DC">
            <w:pPr>
              <w:pStyle w:val="19"/>
              <w:jc w:val="center"/>
              <w:rPr>
                <w:color w:val="auto"/>
                <w:lang w:eastAsia="zh-CN"/>
              </w:rPr>
            </w:pPr>
          </w:p>
        </w:tc>
        <w:tc>
          <w:tcPr>
            <w:tcW w:w="1019" w:type="dxa"/>
            <w:gridSpan w:val="2"/>
            <w:vMerge w:val="continue"/>
            <w:shd w:val="clear" w:color="auto" w:fill="auto"/>
            <w:noWrap w:val="0"/>
            <w:vAlign w:val="center"/>
          </w:tcPr>
          <w:p w14:paraId="46C44682">
            <w:pPr>
              <w:pStyle w:val="19"/>
              <w:jc w:val="center"/>
              <w:rPr>
                <w:color w:val="auto"/>
                <w:lang w:eastAsia="zh-CN"/>
              </w:rPr>
            </w:pPr>
          </w:p>
        </w:tc>
        <w:tc>
          <w:tcPr>
            <w:tcW w:w="1643" w:type="dxa"/>
            <w:gridSpan w:val="2"/>
            <w:shd w:val="clear" w:color="auto" w:fill="auto"/>
            <w:noWrap w:val="0"/>
            <w:vAlign w:val="center"/>
          </w:tcPr>
          <w:p w14:paraId="65543E13">
            <w:pPr>
              <w:spacing w:line="239" w:lineRule="exact"/>
              <w:jc w:val="center"/>
              <w:rPr>
                <w:rFonts w:ascii="仿宋" w:hAnsi="仿宋" w:eastAsia="仿宋" w:cs="仿宋"/>
                <w:color w:val="auto"/>
                <w:lang w:eastAsia="zh-CN"/>
              </w:rPr>
            </w:pPr>
            <w:r>
              <w:rPr>
                <w:rFonts w:ascii="仿宋" w:hAnsi="仿宋" w:eastAsia="仿宋" w:cs="仿宋"/>
                <w:color w:val="auto"/>
                <w:lang w:eastAsia="zh-CN"/>
              </w:rPr>
              <w:t xml:space="preserve">10. </w:t>
            </w:r>
            <w:r>
              <w:rPr>
                <w:rFonts w:hint="eastAsia" w:ascii="仿宋" w:hAnsi="仿宋" w:eastAsia="仿宋" w:cs="仿宋"/>
                <w:color w:val="auto"/>
                <w:lang w:eastAsia="zh-CN"/>
              </w:rPr>
              <w:t>违法建设巡查率</w:t>
            </w:r>
          </w:p>
        </w:tc>
        <w:tc>
          <w:tcPr>
            <w:tcW w:w="925" w:type="dxa"/>
            <w:gridSpan w:val="2"/>
            <w:shd w:val="clear" w:color="auto" w:fill="auto"/>
            <w:noWrap w:val="0"/>
            <w:vAlign w:val="center"/>
          </w:tcPr>
          <w:p w14:paraId="3B6EC663">
            <w:pPr>
              <w:spacing w:line="239" w:lineRule="exact"/>
              <w:jc w:val="center"/>
              <w:rPr>
                <w:rFonts w:hint="eastAsia" w:ascii="仿宋" w:hAnsi="仿宋" w:eastAsia="仿宋" w:cs="仿宋"/>
                <w:color w:val="auto"/>
                <w:lang w:eastAsia="zh-CN"/>
              </w:rPr>
            </w:pPr>
            <w:r>
              <w:rPr>
                <w:rFonts w:hint="eastAsia" w:ascii="仿宋" w:hAnsi="仿宋" w:eastAsia="仿宋" w:cs="仿宋"/>
                <w:color w:val="auto"/>
              </w:rPr>
              <w:t>100%</w:t>
            </w:r>
          </w:p>
        </w:tc>
        <w:tc>
          <w:tcPr>
            <w:tcW w:w="1249" w:type="dxa"/>
            <w:gridSpan w:val="2"/>
            <w:shd w:val="clear" w:color="auto" w:fill="auto"/>
            <w:noWrap w:val="0"/>
            <w:vAlign w:val="center"/>
          </w:tcPr>
          <w:p w14:paraId="6939DB90">
            <w:pPr>
              <w:spacing w:line="239" w:lineRule="exact"/>
              <w:jc w:val="center"/>
              <w:rPr>
                <w:rFonts w:hint="eastAsia" w:ascii="仿宋" w:hAnsi="仿宋" w:eastAsia="仿宋" w:cs="仿宋"/>
                <w:color w:val="auto"/>
                <w:lang w:eastAsia="zh-CN"/>
              </w:rPr>
            </w:pPr>
            <w:r>
              <w:rPr>
                <w:rFonts w:hint="eastAsia" w:ascii="仿宋" w:hAnsi="仿宋" w:eastAsia="仿宋" w:cs="仿宋"/>
                <w:color w:val="auto"/>
              </w:rPr>
              <w:t>100%</w:t>
            </w:r>
          </w:p>
        </w:tc>
        <w:tc>
          <w:tcPr>
            <w:tcW w:w="719" w:type="dxa"/>
            <w:gridSpan w:val="2"/>
            <w:shd w:val="clear" w:color="auto" w:fill="auto"/>
            <w:noWrap w:val="0"/>
            <w:vAlign w:val="center"/>
          </w:tcPr>
          <w:p w14:paraId="15EAC905">
            <w:pPr>
              <w:spacing w:line="239" w:lineRule="exact"/>
              <w:jc w:val="center"/>
              <w:rPr>
                <w:rFonts w:hint="eastAsia" w:ascii="仿宋" w:hAnsi="仿宋" w:eastAsia="仿宋" w:cs="仿宋"/>
                <w:color w:val="auto"/>
                <w:lang w:eastAsia="zh-CN"/>
              </w:rPr>
            </w:pPr>
            <w:r>
              <w:rPr>
                <w:rFonts w:hint="eastAsia" w:ascii="仿宋" w:hAnsi="仿宋" w:eastAsia="仿宋" w:cs="仿宋"/>
                <w:color w:val="auto"/>
                <w:lang w:eastAsia="zh-CN"/>
              </w:rPr>
              <w:t>3</w:t>
            </w:r>
          </w:p>
        </w:tc>
        <w:tc>
          <w:tcPr>
            <w:tcW w:w="829" w:type="dxa"/>
            <w:gridSpan w:val="2"/>
            <w:shd w:val="clear" w:color="auto" w:fill="auto"/>
            <w:noWrap w:val="0"/>
            <w:vAlign w:val="center"/>
          </w:tcPr>
          <w:p w14:paraId="4FF3CEFB">
            <w:pPr>
              <w:spacing w:line="239" w:lineRule="exact"/>
              <w:jc w:val="center"/>
              <w:rPr>
                <w:rFonts w:hint="eastAsia" w:ascii="仿宋" w:hAnsi="仿宋" w:eastAsia="仿宋" w:cs="仿宋"/>
                <w:color w:val="auto"/>
                <w:lang w:eastAsia="zh-CN"/>
              </w:rPr>
            </w:pPr>
            <w:r>
              <w:rPr>
                <w:rFonts w:hint="eastAsia" w:ascii="仿宋" w:hAnsi="仿宋" w:eastAsia="仿宋" w:cs="仿宋"/>
                <w:color w:val="auto"/>
                <w:lang w:eastAsia="zh-CN"/>
              </w:rPr>
              <w:t>3</w:t>
            </w:r>
          </w:p>
        </w:tc>
        <w:tc>
          <w:tcPr>
            <w:tcW w:w="1483" w:type="dxa"/>
            <w:gridSpan w:val="2"/>
            <w:noWrap w:val="0"/>
            <w:vAlign w:val="center"/>
          </w:tcPr>
          <w:p w14:paraId="0472A91D">
            <w:pPr>
              <w:pStyle w:val="19"/>
              <w:spacing w:line="230" w:lineRule="exact"/>
              <w:jc w:val="center"/>
              <w:rPr>
                <w:rFonts w:hint="eastAsia" w:eastAsia="宋体"/>
                <w:color w:val="auto"/>
                <w:sz w:val="20"/>
                <w:lang w:eastAsia="zh-CN"/>
              </w:rPr>
            </w:pPr>
          </w:p>
        </w:tc>
      </w:tr>
      <w:tr w14:paraId="2F41EFE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40" w:hRule="atLeast"/>
          <w:jc w:val="center"/>
        </w:trPr>
        <w:tc>
          <w:tcPr>
            <w:tcW w:w="1681" w:type="dxa"/>
            <w:gridSpan w:val="3"/>
            <w:vMerge w:val="continue"/>
            <w:tcBorders>
              <w:top w:val="nil"/>
              <w:bottom w:val="nil"/>
            </w:tcBorders>
            <w:shd w:val="clear" w:color="auto" w:fill="auto"/>
            <w:noWrap w:val="0"/>
            <w:textDirection w:val="tbRlV"/>
            <w:vAlign w:val="center"/>
          </w:tcPr>
          <w:p w14:paraId="063568C3">
            <w:pPr>
              <w:pStyle w:val="19"/>
              <w:jc w:val="center"/>
              <w:rPr>
                <w:color w:val="auto"/>
                <w:lang w:eastAsia="zh-CN"/>
              </w:rPr>
            </w:pPr>
          </w:p>
        </w:tc>
        <w:tc>
          <w:tcPr>
            <w:tcW w:w="724" w:type="dxa"/>
            <w:vMerge w:val="continue"/>
            <w:tcBorders>
              <w:top w:val="nil"/>
              <w:bottom w:val="nil"/>
            </w:tcBorders>
            <w:shd w:val="clear" w:color="auto" w:fill="auto"/>
            <w:noWrap w:val="0"/>
            <w:vAlign w:val="center"/>
          </w:tcPr>
          <w:p w14:paraId="0D745594">
            <w:pPr>
              <w:pStyle w:val="19"/>
              <w:jc w:val="center"/>
              <w:rPr>
                <w:color w:val="auto"/>
                <w:lang w:eastAsia="zh-CN"/>
              </w:rPr>
            </w:pPr>
          </w:p>
        </w:tc>
        <w:tc>
          <w:tcPr>
            <w:tcW w:w="1019" w:type="dxa"/>
            <w:gridSpan w:val="2"/>
            <w:vMerge w:val="continue"/>
            <w:shd w:val="clear" w:color="auto" w:fill="auto"/>
            <w:noWrap w:val="0"/>
            <w:vAlign w:val="center"/>
          </w:tcPr>
          <w:p w14:paraId="57EFEDEB">
            <w:pPr>
              <w:pStyle w:val="19"/>
              <w:jc w:val="center"/>
              <w:rPr>
                <w:color w:val="auto"/>
                <w:lang w:eastAsia="zh-CN"/>
              </w:rPr>
            </w:pPr>
          </w:p>
        </w:tc>
        <w:tc>
          <w:tcPr>
            <w:tcW w:w="1643" w:type="dxa"/>
            <w:gridSpan w:val="2"/>
            <w:shd w:val="clear" w:color="auto" w:fill="auto"/>
            <w:noWrap w:val="0"/>
            <w:vAlign w:val="center"/>
          </w:tcPr>
          <w:p w14:paraId="189B58CF">
            <w:pPr>
              <w:spacing w:line="239" w:lineRule="exact"/>
              <w:jc w:val="center"/>
              <w:rPr>
                <w:rFonts w:ascii="仿宋" w:hAnsi="仿宋" w:eastAsia="仿宋" w:cs="仿宋"/>
                <w:color w:val="auto"/>
                <w:lang w:eastAsia="zh-CN"/>
              </w:rPr>
            </w:pPr>
            <w:r>
              <w:rPr>
                <w:rFonts w:ascii="仿宋" w:hAnsi="仿宋" w:eastAsia="仿宋" w:cs="仿宋"/>
                <w:color w:val="auto"/>
                <w:lang w:eastAsia="zh-CN"/>
              </w:rPr>
              <w:t xml:space="preserve">11. </w:t>
            </w:r>
            <w:r>
              <w:rPr>
                <w:rFonts w:hint="eastAsia" w:ascii="仿宋" w:hAnsi="仿宋" w:eastAsia="仿宋" w:cs="仿宋"/>
                <w:color w:val="auto"/>
                <w:lang w:eastAsia="zh-CN"/>
              </w:rPr>
              <w:t>消防设计审查验收违法违规行为查处率</w:t>
            </w:r>
          </w:p>
        </w:tc>
        <w:tc>
          <w:tcPr>
            <w:tcW w:w="925" w:type="dxa"/>
            <w:gridSpan w:val="2"/>
            <w:shd w:val="clear" w:color="auto" w:fill="auto"/>
            <w:noWrap w:val="0"/>
            <w:vAlign w:val="center"/>
          </w:tcPr>
          <w:p w14:paraId="6EA4C817">
            <w:pPr>
              <w:spacing w:line="239" w:lineRule="exact"/>
              <w:jc w:val="center"/>
              <w:rPr>
                <w:rFonts w:hint="eastAsia" w:ascii="仿宋" w:hAnsi="仿宋" w:eastAsia="仿宋" w:cs="仿宋"/>
                <w:color w:val="auto"/>
                <w:lang w:eastAsia="zh-CN"/>
              </w:rPr>
            </w:pPr>
            <w:r>
              <w:rPr>
                <w:rFonts w:hint="eastAsia" w:ascii="仿宋" w:hAnsi="仿宋" w:eastAsia="仿宋" w:cs="仿宋"/>
                <w:color w:val="auto"/>
              </w:rPr>
              <w:t>100%</w:t>
            </w:r>
          </w:p>
        </w:tc>
        <w:tc>
          <w:tcPr>
            <w:tcW w:w="1249" w:type="dxa"/>
            <w:gridSpan w:val="2"/>
            <w:shd w:val="clear" w:color="auto" w:fill="auto"/>
            <w:noWrap w:val="0"/>
            <w:vAlign w:val="center"/>
          </w:tcPr>
          <w:p w14:paraId="4DA481B4">
            <w:pPr>
              <w:spacing w:line="239" w:lineRule="exact"/>
              <w:jc w:val="center"/>
              <w:rPr>
                <w:rFonts w:hint="eastAsia" w:ascii="仿宋" w:hAnsi="仿宋" w:eastAsia="仿宋" w:cs="仿宋"/>
                <w:color w:val="auto"/>
                <w:lang w:eastAsia="zh-CN"/>
              </w:rPr>
            </w:pPr>
            <w:r>
              <w:rPr>
                <w:rFonts w:hint="eastAsia" w:ascii="仿宋" w:hAnsi="仿宋" w:eastAsia="仿宋" w:cs="仿宋"/>
                <w:color w:val="auto"/>
              </w:rPr>
              <w:t>100%</w:t>
            </w:r>
          </w:p>
        </w:tc>
        <w:tc>
          <w:tcPr>
            <w:tcW w:w="719" w:type="dxa"/>
            <w:gridSpan w:val="2"/>
            <w:shd w:val="clear" w:color="auto" w:fill="auto"/>
            <w:noWrap w:val="0"/>
            <w:vAlign w:val="center"/>
          </w:tcPr>
          <w:p w14:paraId="7FABE398">
            <w:pPr>
              <w:spacing w:line="239" w:lineRule="exact"/>
              <w:jc w:val="center"/>
              <w:rPr>
                <w:rFonts w:hint="eastAsia" w:ascii="仿宋" w:hAnsi="仿宋" w:eastAsia="仿宋" w:cs="仿宋"/>
                <w:color w:val="auto"/>
                <w:lang w:eastAsia="zh-CN"/>
              </w:rPr>
            </w:pPr>
            <w:r>
              <w:rPr>
                <w:rFonts w:hint="eastAsia" w:ascii="仿宋" w:hAnsi="仿宋" w:eastAsia="仿宋" w:cs="仿宋"/>
                <w:color w:val="auto"/>
                <w:lang w:eastAsia="zh-CN"/>
              </w:rPr>
              <w:t>3</w:t>
            </w:r>
          </w:p>
        </w:tc>
        <w:tc>
          <w:tcPr>
            <w:tcW w:w="829" w:type="dxa"/>
            <w:gridSpan w:val="2"/>
            <w:shd w:val="clear" w:color="auto" w:fill="auto"/>
            <w:noWrap w:val="0"/>
            <w:vAlign w:val="center"/>
          </w:tcPr>
          <w:p w14:paraId="1462040B">
            <w:pPr>
              <w:spacing w:line="239" w:lineRule="exact"/>
              <w:jc w:val="center"/>
              <w:rPr>
                <w:rFonts w:hint="eastAsia" w:ascii="仿宋" w:hAnsi="仿宋" w:eastAsia="仿宋" w:cs="仿宋"/>
                <w:color w:val="auto"/>
                <w:lang w:eastAsia="zh-CN"/>
              </w:rPr>
            </w:pPr>
            <w:r>
              <w:rPr>
                <w:rFonts w:hint="eastAsia" w:ascii="仿宋" w:hAnsi="仿宋" w:eastAsia="仿宋" w:cs="仿宋"/>
                <w:color w:val="auto"/>
                <w:lang w:eastAsia="zh-CN"/>
              </w:rPr>
              <w:t>3</w:t>
            </w:r>
          </w:p>
        </w:tc>
        <w:tc>
          <w:tcPr>
            <w:tcW w:w="1483" w:type="dxa"/>
            <w:gridSpan w:val="2"/>
            <w:noWrap w:val="0"/>
            <w:vAlign w:val="center"/>
          </w:tcPr>
          <w:p w14:paraId="044D3859">
            <w:pPr>
              <w:pStyle w:val="19"/>
              <w:spacing w:line="230" w:lineRule="exact"/>
              <w:jc w:val="center"/>
              <w:rPr>
                <w:rFonts w:hint="eastAsia" w:eastAsia="宋体"/>
                <w:color w:val="auto"/>
                <w:sz w:val="20"/>
                <w:lang w:eastAsia="zh-CN"/>
              </w:rPr>
            </w:pPr>
          </w:p>
        </w:tc>
      </w:tr>
      <w:tr w14:paraId="6936C4B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40" w:hRule="atLeast"/>
          <w:jc w:val="center"/>
        </w:trPr>
        <w:tc>
          <w:tcPr>
            <w:tcW w:w="1681" w:type="dxa"/>
            <w:gridSpan w:val="3"/>
            <w:vMerge w:val="continue"/>
            <w:tcBorders>
              <w:top w:val="nil"/>
              <w:bottom w:val="nil"/>
            </w:tcBorders>
            <w:shd w:val="clear" w:color="auto" w:fill="auto"/>
            <w:noWrap w:val="0"/>
            <w:textDirection w:val="tbRlV"/>
            <w:vAlign w:val="center"/>
          </w:tcPr>
          <w:p w14:paraId="5173C8A7">
            <w:pPr>
              <w:pStyle w:val="19"/>
              <w:jc w:val="center"/>
              <w:rPr>
                <w:color w:val="auto"/>
                <w:lang w:eastAsia="zh-CN"/>
              </w:rPr>
            </w:pPr>
          </w:p>
        </w:tc>
        <w:tc>
          <w:tcPr>
            <w:tcW w:w="724" w:type="dxa"/>
            <w:vMerge w:val="continue"/>
            <w:tcBorders>
              <w:top w:val="nil"/>
              <w:bottom w:val="nil"/>
            </w:tcBorders>
            <w:shd w:val="clear" w:color="auto" w:fill="auto"/>
            <w:noWrap w:val="0"/>
            <w:vAlign w:val="center"/>
          </w:tcPr>
          <w:p w14:paraId="350EB8ED">
            <w:pPr>
              <w:pStyle w:val="19"/>
              <w:jc w:val="center"/>
              <w:rPr>
                <w:color w:val="auto"/>
                <w:lang w:eastAsia="zh-CN"/>
              </w:rPr>
            </w:pPr>
          </w:p>
        </w:tc>
        <w:tc>
          <w:tcPr>
            <w:tcW w:w="1019" w:type="dxa"/>
            <w:gridSpan w:val="2"/>
            <w:vMerge w:val="continue"/>
            <w:shd w:val="clear" w:color="auto" w:fill="auto"/>
            <w:noWrap w:val="0"/>
            <w:vAlign w:val="center"/>
          </w:tcPr>
          <w:p w14:paraId="5521CBEA">
            <w:pPr>
              <w:pStyle w:val="19"/>
              <w:jc w:val="center"/>
              <w:rPr>
                <w:color w:val="auto"/>
                <w:lang w:eastAsia="zh-CN"/>
              </w:rPr>
            </w:pPr>
          </w:p>
        </w:tc>
        <w:tc>
          <w:tcPr>
            <w:tcW w:w="1643" w:type="dxa"/>
            <w:gridSpan w:val="2"/>
            <w:shd w:val="clear" w:color="auto" w:fill="auto"/>
            <w:noWrap w:val="0"/>
            <w:vAlign w:val="center"/>
          </w:tcPr>
          <w:p w14:paraId="169F7322">
            <w:pPr>
              <w:spacing w:line="239" w:lineRule="exact"/>
              <w:jc w:val="center"/>
              <w:rPr>
                <w:rFonts w:ascii="仿宋" w:hAnsi="仿宋" w:eastAsia="仿宋" w:cs="仿宋"/>
                <w:color w:val="auto"/>
                <w:lang w:eastAsia="zh-CN"/>
              </w:rPr>
            </w:pPr>
            <w:r>
              <w:rPr>
                <w:rFonts w:ascii="仿宋" w:hAnsi="仿宋" w:eastAsia="仿宋" w:cs="仿宋"/>
                <w:color w:val="auto"/>
                <w:lang w:eastAsia="zh-CN"/>
              </w:rPr>
              <w:t xml:space="preserve">12. </w:t>
            </w:r>
            <w:r>
              <w:rPr>
                <w:rFonts w:hint="eastAsia" w:ascii="仿宋" w:hAnsi="仿宋" w:eastAsia="仿宋" w:cs="仿宋"/>
                <w:color w:val="auto"/>
                <w:lang w:eastAsia="zh-CN"/>
              </w:rPr>
              <w:t>专业性消防设备检查数量</w:t>
            </w:r>
          </w:p>
        </w:tc>
        <w:tc>
          <w:tcPr>
            <w:tcW w:w="925" w:type="dxa"/>
            <w:gridSpan w:val="2"/>
            <w:shd w:val="clear" w:color="auto" w:fill="auto"/>
            <w:noWrap w:val="0"/>
            <w:vAlign w:val="center"/>
          </w:tcPr>
          <w:p w14:paraId="1BB4B268">
            <w:pPr>
              <w:spacing w:line="239" w:lineRule="exact"/>
              <w:jc w:val="center"/>
              <w:rPr>
                <w:rFonts w:hint="eastAsia" w:ascii="仿宋" w:hAnsi="仿宋" w:eastAsia="仿宋" w:cs="仿宋"/>
                <w:color w:val="auto"/>
                <w:lang w:eastAsia="zh-CN"/>
              </w:rPr>
            </w:pPr>
            <w:r>
              <w:rPr>
                <w:rFonts w:hint="eastAsia" w:ascii="仿宋" w:hAnsi="仿宋" w:eastAsia="仿宋" w:cs="仿宋"/>
                <w:color w:val="auto"/>
              </w:rPr>
              <w:t>100%</w:t>
            </w:r>
          </w:p>
        </w:tc>
        <w:tc>
          <w:tcPr>
            <w:tcW w:w="1249" w:type="dxa"/>
            <w:gridSpan w:val="2"/>
            <w:shd w:val="clear" w:color="auto" w:fill="auto"/>
            <w:noWrap w:val="0"/>
            <w:vAlign w:val="center"/>
          </w:tcPr>
          <w:p w14:paraId="5F0F0020">
            <w:pPr>
              <w:spacing w:line="239" w:lineRule="exact"/>
              <w:jc w:val="center"/>
              <w:rPr>
                <w:rFonts w:hint="eastAsia" w:ascii="仿宋" w:hAnsi="仿宋" w:eastAsia="仿宋" w:cs="仿宋"/>
                <w:color w:val="auto"/>
                <w:lang w:eastAsia="zh-CN"/>
              </w:rPr>
            </w:pPr>
            <w:r>
              <w:rPr>
                <w:rFonts w:hint="eastAsia" w:ascii="仿宋" w:hAnsi="仿宋" w:eastAsia="仿宋" w:cs="仿宋"/>
                <w:color w:val="auto"/>
              </w:rPr>
              <w:t>100%</w:t>
            </w:r>
          </w:p>
        </w:tc>
        <w:tc>
          <w:tcPr>
            <w:tcW w:w="719" w:type="dxa"/>
            <w:gridSpan w:val="2"/>
            <w:shd w:val="clear" w:color="auto" w:fill="auto"/>
            <w:noWrap w:val="0"/>
            <w:vAlign w:val="center"/>
          </w:tcPr>
          <w:p w14:paraId="5AF5FAD9">
            <w:pPr>
              <w:spacing w:line="239" w:lineRule="exact"/>
              <w:jc w:val="center"/>
              <w:rPr>
                <w:rFonts w:hint="eastAsia" w:ascii="仿宋" w:hAnsi="仿宋" w:eastAsia="仿宋" w:cs="仿宋"/>
                <w:color w:val="auto"/>
                <w:lang w:eastAsia="zh-CN"/>
              </w:rPr>
            </w:pPr>
            <w:r>
              <w:rPr>
                <w:rFonts w:hint="eastAsia" w:ascii="仿宋" w:hAnsi="仿宋" w:eastAsia="仿宋" w:cs="仿宋"/>
                <w:color w:val="auto"/>
                <w:lang w:eastAsia="zh-CN"/>
              </w:rPr>
              <w:t>3</w:t>
            </w:r>
          </w:p>
        </w:tc>
        <w:tc>
          <w:tcPr>
            <w:tcW w:w="829" w:type="dxa"/>
            <w:gridSpan w:val="2"/>
            <w:shd w:val="clear" w:color="auto" w:fill="auto"/>
            <w:noWrap w:val="0"/>
            <w:vAlign w:val="center"/>
          </w:tcPr>
          <w:p w14:paraId="110B20D4">
            <w:pPr>
              <w:spacing w:line="239" w:lineRule="exact"/>
              <w:jc w:val="center"/>
              <w:rPr>
                <w:rFonts w:hint="eastAsia" w:ascii="仿宋" w:hAnsi="仿宋" w:eastAsia="仿宋" w:cs="仿宋"/>
                <w:color w:val="auto"/>
                <w:lang w:eastAsia="zh-CN"/>
              </w:rPr>
            </w:pPr>
            <w:r>
              <w:rPr>
                <w:rFonts w:hint="eastAsia" w:ascii="仿宋" w:hAnsi="仿宋" w:eastAsia="仿宋" w:cs="仿宋"/>
                <w:color w:val="auto"/>
                <w:lang w:eastAsia="zh-CN"/>
              </w:rPr>
              <w:t>3</w:t>
            </w:r>
          </w:p>
        </w:tc>
        <w:tc>
          <w:tcPr>
            <w:tcW w:w="1483" w:type="dxa"/>
            <w:gridSpan w:val="2"/>
            <w:noWrap w:val="0"/>
            <w:vAlign w:val="center"/>
          </w:tcPr>
          <w:p w14:paraId="21849F3D">
            <w:pPr>
              <w:pStyle w:val="19"/>
              <w:spacing w:line="230" w:lineRule="exact"/>
              <w:jc w:val="center"/>
              <w:rPr>
                <w:rFonts w:hint="eastAsia" w:eastAsia="宋体"/>
                <w:color w:val="auto"/>
                <w:sz w:val="20"/>
                <w:lang w:eastAsia="zh-CN"/>
              </w:rPr>
            </w:pPr>
          </w:p>
        </w:tc>
      </w:tr>
      <w:tr w14:paraId="162111E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40" w:hRule="atLeast"/>
          <w:jc w:val="center"/>
        </w:trPr>
        <w:tc>
          <w:tcPr>
            <w:tcW w:w="1681" w:type="dxa"/>
            <w:gridSpan w:val="3"/>
            <w:vMerge w:val="continue"/>
            <w:tcBorders>
              <w:top w:val="nil"/>
              <w:bottom w:val="nil"/>
            </w:tcBorders>
            <w:shd w:val="clear" w:color="auto" w:fill="auto"/>
            <w:noWrap w:val="0"/>
            <w:textDirection w:val="tbRlV"/>
            <w:vAlign w:val="center"/>
          </w:tcPr>
          <w:p w14:paraId="30E1E909">
            <w:pPr>
              <w:pStyle w:val="19"/>
              <w:jc w:val="center"/>
              <w:rPr>
                <w:color w:val="auto"/>
                <w:lang w:eastAsia="zh-CN"/>
              </w:rPr>
            </w:pPr>
          </w:p>
        </w:tc>
        <w:tc>
          <w:tcPr>
            <w:tcW w:w="724" w:type="dxa"/>
            <w:vMerge w:val="continue"/>
            <w:tcBorders>
              <w:top w:val="nil"/>
              <w:bottom w:val="nil"/>
            </w:tcBorders>
            <w:shd w:val="clear" w:color="auto" w:fill="auto"/>
            <w:noWrap w:val="0"/>
            <w:vAlign w:val="center"/>
          </w:tcPr>
          <w:p w14:paraId="274DBD0B">
            <w:pPr>
              <w:pStyle w:val="19"/>
              <w:jc w:val="center"/>
              <w:rPr>
                <w:color w:val="auto"/>
                <w:lang w:eastAsia="zh-CN"/>
              </w:rPr>
            </w:pPr>
          </w:p>
        </w:tc>
        <w:tc>
          <w:tcPr>
            <w:tcW w:w="1019" w:type="dxa"/>
            <w:gridSpan w:val="2"/>
            <w:vMerge w:val="restart"/>
            <w:shd w:val="clear" w:color="auto" w:fill="auto"/>
            <w:noWrap w:val="0"/>
            <w:vAlign w:val="center"/>
          </w:tcPr>
          <w:p w14:paraId="454EC07E">
            <w:pPr>
              <w:spacing w:before="283" w:line="220" w:lineRule="auto"/>
              <w:ind w:left="122"/>
              <w:jc w:val="center"/>
              <w:rPr>
                <w:rFonts w:ascii="宋体" w:hAnsi="宋体" w:eastAsia="宋体" w:cs="宋体"/>
                <w:color w:val="auto"/>
                <w:sz w:val="19"/>
                <w:szCs w:val="19"/>
              </w:rPr>
            </w:pPr>
            <w:r>
              <w:rPr>
                <w:rFonts w:ascii="宋体" w:hAnsi="宋体" w:eastAsia="宋体" w:cs="宋体"/>
                <w:color w:val="auto"/>
                <w:spacing w:val="-2"/>
                <w:sz w:val="19"/>
                <w:szCs w:val="19"/>
              </w:rPr>
              <w:t>质量指标</w:t>
            </w:r>
          </w:p>
        </w:tc>
        <w:tc>
          <w:tcPr>
            <w:tcW w:w="1643" w:type="dxa"/>
            <w:gridSpan w:val="2"/>
            <w:shd w:val="clear" w:color="auto" w:fill="auto"/>
            <w:noWrap w:val="0"/>
            <w:vAlign w:val="center"/>
          </w:tcPr>
          <w:p w14:paraId="42C1966E">
            <w:pPr>
              <w:spacing w:line="240" w:lineRule="exact"/>
              <w:jc w:val="center"/>
              <w:rPr>
                <w:rFonts w:ascii="仿宋" w:hAnsi="仿宋" w:eastAsia="仿宋" w:cs="仿宋"/>
                <w:color w:val="auto"/>
              </w:rPr>
            </w:pPr>
            <w:r>
              <w:rPr>
                <w:rFonts w:hint="eastAsia" w:ascii="仿宋" w:hAnsi="仿宋" w:eastAsia="仿宋" w:cs="仿宋"/>
                <w:color w:val="auto"/>
              </w:rPr>
              <w:t>1、工程质量安全</w:t>
            </w:r>
          </w:p>
        </w:tc>
        <w:tc>
          <w:tcPr>
            <w:tcW w:w="925" w:type="dxa"/>
            <w:gridSpan w:val="2"/>
            <w:shd w:val="clear" w:color="auto" w:fill="auto"/>
            <w:noWrap w:val="0"/>
            <w:vAlign w:val="center"/>
          </w:tcPr>
          <w:p w14:paraId="0CFB40AC">
            <w:pPr>
              <w:spacing w:line="240" w:lineRule="exact"/>
              <w:jc w:val="center"/>
              <w:rPr>
                <w:rFonts w:ascii="仿宋" w:hAnsi="仿宋" w:eastAsia="仿宋" w:cs="仿宋"/>
                <w:color w:val="auto"/>
                <w:lang w:eastAsia="zh-CN"/>
              </w:rPr>
            </w:pPr>
            <w:r>
              <w:rPr>
                <w:rFonts w:hint="eastAsia" w:ascii="仿宋" w:hAnsi="仿宋" w:eastAsia="仿宋" w:cs="仿宋"/>
                <w:color w:val="auto"/>
                <w:lang w:eastAsia="zh-CN"/>
              </w:rPr>
              <w:t>不发生较大安全生产事故</w:t>
            </w:r>
          </w:p>
        </w:tc>
        <w:tc>
          <w:tcPr>
            <w:tcW w:w="1249" w:type="dxa"/>
            <w:gridSpan w:val="2"/>
            <w:shd w:val="clear" w:color="auto" w:fill="auto"/>
            <w:noWrap w:val="0"/>
            <w:vAlign w:val="center"/>
          </w:tcPr>
          <w:p w14:paraId="2DB54BE1">
            <w:pPr>
              <w:spacing w:line="240" w:lineRule="exact"/>
              <w:jc w:val="center"/>
              <w:rPr>
                <w:rFonts w:ascii="仿宋" w:hAnsi="仿宋" w:eastAsia="仿宋" w:cs="仿宋"/>
                <w:color w:val="auto"/>
              </w:rPr>
            </w:pPr>
            <w:r>
              <w:rPr>
                <w:rFonts w:hint="eastAsia" w:ascii="仿宋" w:hAnsi="仿宋" w:eastAsia="仿宋" w:cs="仿宋"/>
                <w:color w:val="auto"/>
              </w:rPr>
              <w:t>100%</w:t>
            </w:r>
          </w:p>
        </w:tc>
        <w:tc>
          <w:tcPr>
            <w:tcW w:w="719" w:type="dxa"/>
            <w:gridSpan w:val="2"/>
            <w:shd w:val="clear" w:color="auto" w:fill="auto"/>
            <w:noWrap w:val="0"/>
            <w:vAlign w:val="center"/>
          </w:tcPr>
          <w:p w14:paraId="41C8DD63">
            <w:pPr>
              <w:spacing w:line="240" w:lineRule="exact"/>
              <w:jc w:val="center"/>
              <w:rPr>
                <w:rFonts w:ascii="仿宋" w:hAnsi="仿宋" w:eastAsia="仿宋" w:cs="仿宋"/>
                <w:color w:val="auto"/>
                <w:lang w:eastAsia="zh-CN"/>
              </w:rPr>
            </w:pPr>
            <w:r>
              <w:rPr>
                <w:rFonts w:hint="eastAsia" w:ascii="仿宋" w:hAnsi="仿宋" w:eastAsia="仿宋" w:cs="仿宋"/>
                <w:color w:val="auto"/>
                <w:lang w:eastAsia="zh-CN"/>
              </w:rPr>
              <w:t>3</w:t>
            </w:r>
          </w:p>
        </w:tc>
        <w:tc>
          <w:tcPr>
            <w:tcW w:w="829" w:type="dxa"/>
            <w:gridSpan w:val="2"/>
            <w:shd w:val="clear" w:color="auto" w:fill="auto"/>
            <w:noWrap w:val="0"/>
            <w:vAlign w:val="center"/>
          </w:tcPr>
          <w:p w14:paraId="7EF77360">
            <w:pPr>
              <w:spacing w:line="240" w:lineRule="exact"/>
              <w:jc w:val="center"/>
              <w:rPr>
                <w:rFonts w:ascii="仿宋" w:hAnsi="仿宋" w:eastAsia="仿宋" w:cs="仿宋"/>
                <w:color w:val="auto"/>
                <w:lang w:eastAsia="zh-CN"/>
              </w:rPr>
            </w:pPr>
            <w:r>
              <w:rPr>
                <w:rFonts w:hint="eastAsia" w:ascii="仿宋" w:hAnsi="仿宋" w:eastAsia="仿宋" w:cs="仿宋"/>
                <w:color w:val="auto"/>
                <w:lang w:eastAsia="zh-CN"/>
              </w:rPr>
              <w:t>3</w:t>
            </w:r>
          </w:p>
        </w:tc>
        <w:tc>
          <w:tcPr>
            <w:tcW w:w="1483" w:type="dxa"/>
            <w:gridSpan w:val="2"/>
            <w:noWrap w:val="0"/>
            <w:vAlign w:val="center"/>
          </w:tcPr>
          <w:p w14:paraId="23AED93C">
            <w:pPr>
              <w:pStyle w:val="19"/>
              <w:spacing w:line="230" w:lineRule="exact"/>
              <w:jc w:val="center"/>
              <w:rPr>
                <w:color w:val="auto"/>
                <w:sz w:val="20"/>
              </w:rPr>
            </w:pPr>
          </w:p>
        </w:tc>
      </w:tr>
      <w:tr w14:paraId="1C9430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0" w:hRule="atLeast"/>
          <w:jc w:val="center"/>
        </w:trPr>
        <w:tc>
          <w:tcPr>
            <w:tcW w:w="1681" w:type="dxa"/>
            <w:gridSpan w:val="3"/>
            <w:vMerge w:val="continue"/>
            <w:tcBorders>
              <w:top w:val="nil"/>
              <w:bottom w:val="nil"/>
            </w:tcBorders>
            <w:shd w:val="clear" w:color="auto" w:fill="auto"/>
            <w:noWrap w:val="0"/>
            <w:textDirection w:val="tbRlV"/>
            <w:vAlign w:val="center"/>
          </w:tcPr>
          <w:p w14:paraId="11AEFA5C">
            <w:pPr>
              <w:pStyle w:val="19"/>
              <w:jc w:val="center"/>
              <w:rPr>
                <w:color w:val="auto"/>
              </w:rPr>
            </w:pPr>
          </w:p>
        </w:tc>
        <w:tc>
          <w:tcPr>
            <w:tcW w:w="724" w:type="dxa"/>
            <w:vMerge w:val="continue"/>
            <w:tcBorders>
              <w:top w:val="nil"/>
              <w:bottom w:val="nil"/>
            </w:tcBorders>
            <w:shd w:val="clear" w:color="auto" w:fill="auto"/>
            <w:noWrap w:val="0"/>
            <w:vAlign w:val="center"/>
          </w:tcPr>
          <w:p w14:paraId="5DE2B872">
            <w:pPr>
              <w:pStyle w:val="19"/>
              <w:jc w:val="center"/>
              <w:rPr>
                <w:color w:val="auto"/>
              </w:rPr>
            </w:pPr>
          </w:p>
        </w:tc>
        <w:tc>
          <w:tcPr>
            <w:tcW w:w="1019" w:type="dxa"/>
            <w:gridSpan w:val="2"/>
            <w:vMerge w:val="continue"/>
            <w:shd w:val="clear" w:color="auto" w:fill="auto"/>
            <w:noWrap w:val="0"/>
            <w:vAlign w:val="center"/>
          </w:tcPr>
          <w:p w14:paraId="0EA13AC3">
            <w:pPr>
              <w:pStyle w:val="19"/>
              <w:jc w:val="center"/>
              <w:rPr>
                <w:color w:val="auto"/>
              </w:rPr>
            </w:pPr>
          </w:p>
        </w:tc>
        <w:tc>
          <w:tcPr>
            <w:tcW w:w="1643" w:type="dxa"/>
            <w:gridSpan w:val="2"/>
            <w:shd w:val="clear" w:color="auto" w:fill="auto"/>
            <w:noWrap w:val="0"/>
            <w:vAlign w:val="center"/>
          </w:tcPr>
          <w:p w14:paraId="24337A2F">
            <w:pPr>
              <w:spacing w:line="240" w:lineRule="exact"/>
              <w:jc w:val="center"/>
              <w:rPr>
                <w:rFonts w:ascii="仿宋" w:hAnsi="仿宋" w:eastAsia="仿宋" w:cs="仿宋"/>
                <w:color w:val="auto"/>
                <w:lang w:eastAsia="zh-CN"/>
              </w:rPr>
            </w:pPr>
            <w:r>
              <w:rPr>
                <w:rFonts w:hint="eastAsia" w:ascii="仿宋" w:hAnsi="仿宋" w:eastAsia="仿宋" w:cs="仿宋"/>
                <w:color w:val="auto"/>
                <w:lang w:eastAsia="zh-CN"/>
              </w:rPr>
              <w:t>2、施工现场质量安全样板</w:t>
            </w:r>
          </w:p>
        </w:tc>
        <w:tc>
          <w:tcPr>
            <w:tcW w:w="925" w:type="dxa"/>
            <w:gridSpan w:val="2"/>
            <w:shd w:val="clear" w:color="auto" w:fill="auto"/>
            <w:noWrap w:val="0"/>
            <w:vAlign w:val="center"/>
          </w:tcPr>
          <w:p w14:paraId="540E1583">
            <w:pPr>
              <w:spacing w:line="240" w:lineRule="exact"/>
              <w:jc w:val="center"/>
              <w:rPr>
                <w:rFonts w:ascii="仿宋" w:hAnsi="仿宋" w:eastAsia="仿宋" w:cs="仿宋"/>
                <w:color w:val="auto"/>
              </w:rPr>
            </w:pPr>
            <w:r>
              <w:rPr>
                <w:rFonts w:hint="eastAsia" w:ascii="仿宋" w:hAnsi="仿宋" w:eastAsia="仿宋" w:cs="仿宋"/>
                <w:color w:val="auto"/>
              </w:rPr>
              <w:t>覆盖率全面提升</w:t>
            </w:r>
          </w:p>
        </w:tc>
        <w:tc>
          <w:tcPr>
            <w:tcW w:w="1249" w:type="dxa"/>
            <w:gridSpan w:val="2"/>
            <w:shd w:val="clear" w:color="auto" w:fill="auto"/>
            <w:noWrap w:val="0"/>
            <w:vAlign w:val="center"/>
          </w:tcPr>
          <w:p w14:paraId="5F479605">
            <w:pPr>
              <w:spacing w:line="240" w:lineRule="exact"/>
              <w:jc w:val="center"/>
              <w:rPr>
                <w:rFonts w:ascii="仿宋" w:hAnsi="仿宋" w:eastAsia="仿宋" w:cs="仿宋"/>
                <w:color w:val="auto"/>
              </w:rPr>
            </w:pPr>
            <w:r>
              <w:rPr>
                <w:rFonts w:hint="eastAsia" w:ascii="仿宋" w:hAnsi="仿宋" w:eastAsia="仿宋" w:cs="仿宋"/>
                <w:color w:val="auto"/>
              </w:rPr>
              <w:t>100%</w:t>
            </w:r>
          </w:p>
        </w:tc>
        <w:tc>
          <w:tcPr>
            <w:tcW w:w="719" w:type="dxa"/>
            <w:gridSpan w:val="2"/>
            <w:shd w:val="clear" w:color="auto" w:fill="auto"/>
            <w:noWrap w:val="0"/>
            <w:vAlign w:val="center"/>
          </w:tcPr>
          <w:p w14:paraId="079316D5">
            <w:pPr>
              <w:spacing w:line="240" w:lineRule="exact"/>
              <w:jc w:val="center"/>
              <w:rPr>
                <w:rFonts w:ascii="仿宋" w:hAnsi="仿宋" w:eastAsia="仿宋" w:cs="仿宋"/>
                <w:color w:val="auto"/>
              </w:rPr>
            </w:pPr>
            <w:r>
              <w:rPr>
                <w:rFonts w:hint="eastAsia" w:ascii="仿宋" w:hAnsi="仿宋" w:eastAsia="仿宋" w:cs="仿宋"/>
                <w:color w:val="auto"/>
              </w:rPr>
              <w:t>3</w:t>
            </w:r>
          </w:p>
        </w:tc>
        <w:tc>
          <w:tcPr>
            <w:tcW w:w="829" w:type="dxa"/>
            <w:gridSpan w:val="2"/>
            <w:shd w:val="clear" w:color="auto" w:fill="auto"/>
            <w:noWrap w:val="0"/>
            <w:vAlign w:val="center"/>
          </w:tcPr>
          <w:p w14:paraId="464C2371">
            <w:pPr>
              <w:spacing w:line="240" w:lineRule="exact"/>
              <w:jc w:val="center"/>
              <w:rPr>
                <w:rFonts w:ascii="仿宋" w:hAnsi="仿宋" w:eastAsia="仿宋" w:cs="仿宋"/>
                <w:color w:val="auto"/>
              </w:rPr>
            </w:pPr>
            <w:r>
              <w:rPr>
                <w:rFonts w:hint="eastAsia" w:ascii="仿宋" w:hAnsi="仿宋" w:eastAsia="仿宋" w:cs="仿宋"/>
                <w:color w:val="auto"/>
              </w:rPr>
              <w:t>3</w:t>
            </w:r>
          </w:p>
        </w:tc>
        <w:tc>
          <w:tcPr>
            <w:tcW w:w="1483" w:type="dxa"/>
            <w:gridSpan w:val="2"/>
            <w:noWrap w:val="0"/>
            <w:vAlign w:val="center"/>
          </w:tcPr>
          <w:p w14:paraId="4394E750">
            <w:pPr>
              <w:pStyle w:val="19"/>
              <w:spacing w:line="240" w:lineRule="exact"/>
              <w:jc w:val="center"/>
              <w:rPr>
                <w:color w:val="auto"/>
                <w:sz w:val="20"/>
              </w:rPr>
            </w:pPr>
          </w:p>
        </w:tc>
      </w:tr>
      <w:tr w14:paraId="5FB9E6B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9" w:hRule="atLeast"/>
          <w:jc w:val="center"/>
        </w:trPr>
        <w:tc>
          <w:tcPr>
            <w:tcW w:w="1681" w:type="dxa"/>
            <w:gridSpan w:val="3"/>
            <w:vMerge w:val="continue"/>
            <w:tcBorders>
              <w:top w:val="nil"/>
              <w:bottom w:val="nil"/>
            </w:tcBorders>
            <w:shd w:val="clear" w:color="auto" w:fill="auto"/>
            <w:noWrap w:val="0"/>
            <w:textDirection w:val="tbRlV"/>
            <w:vAlign w:val="center"/>
          </w:tcPr>
          <w:p w14:paraId="00435869">
            <w:pPr>
              <w:pStyle w:val="19"/>
              <w:jc w:val="center"/>
              <w:rPr>
                <w:color w:val="auto"/>
              </w:rPr>
            </w:pPr>
          </w:p>
        </w:tc>
        <w:tc>
          <w:tcPr>
            <w:tcW w:w="724" w:type="dxa"/>
            <w:vMerge w:val="continue"/>
            <w:tcBorders>
              <w:top w:val="nil"/>
              <w:bottom w:val="nil"/>
            </w:tcBorders>
            <w:shd w:val="clear" w:color="auto" w:fill="auto"/>
            <w:noWrap w:val="0"/>
            <w:vAlign w:val="center"/>
          </w:tcPr>
          <w:p w14:paraId="4A5429DC">
            <w:pPr>
              <w:pStyle w:val="19"/>
              <w:jc w:val="center"/>
              <w:rPr>
                <w:color w:val="auto"/>
              </w:rPr>
            </w:pPr>
          </w:p>
        </w:tc>
        <w:tc>
          <w:tcPr>
            <w:tcW w:w="1019" w:type="dxa"/>
            <w:gridSpan w:val="2"/>
            <w:vMerge w:val="continue"/>
            <w:shd w:val="clear" w:color="auto" w:fill="auto"/>
            <w:noWrap w:val="0"/>
            <w:vAlign w:val="center"/>
          </w:tcPr>
          <w:p w14:paraId="2FC74359">
            <w:pPr>
              <w:pStyle w:val="19"/>
              <w:jc w:val="center"/>
              <w:rPr>
                <w:color w:val="auto"/>
              </w:rPr>
            </w:pPr>
          </w:p>
        </w:tc>
        <w:tc>
          <w:tcPr>
            <w:tcW w:w="1643" w:type="dxa"/>
            <w:gridSpan w:val="2"/>
            <w:shd w:val="clear" w:color="auto" w:fill="auto"/>
            <w:noWrap w:val="0"/>
            <w:vAlign w:val="center"/>
          </w:tcPr>
          <w:p w14:paraId="387BB247">
            <w:pPr>
              <w:spacing w:line="239" w:lineRule="exact"/>
              <w:jc w:val="center"/>
              <w:rPr>
                <w:rFonts w:ascii="仿宋" w:hAnsi="仿宋" w:eastAsia="仿宋" w:cs="仿宋"/>
                <w:color w:val="auto"/>
                <w:lang w:eastAsia="zh-CN"/>
              </w:rPr>
            </w:pPr>
            <w:r>
              <w:rPr>
                <w:rFonts w:hint="eastAsia" w:ascii="仿宋" w:hAnsi="仿宋" w:eastAsia="仿宋" w:cs="仿宋"/>
                <w:color w:val="auto"/>
                <w:lang w:eastAsia="zh-CN"/>
              </w:rPr>
              <w:t>3、在建项目劳务实名制</w:t>
            </w:r>
          </w:p>
        </w:tc>
        <w:tc>
          <w:tcPr>
            <w:tcW w:w="925" w:type="dxa"/>
            <w:gridSpan w:val="2"/>
            <w:shd w:val="clear" w:color="auto" w:fill="auto"/>
            <w:noWrap w:val="0"/>
            <w:vAlign w:val="center"/>
          </w:tcPr>
          <w:p w14:paraId="321ACE16">
            <w:pPr>
              <w:spacing w:line="239" w:lineRule="exact"/>
              <w:jc w:val="center"/>
              <w:rPr>
                <w:rFonts w:ascii="仿宋" w:hAnsi="仿宋" w:eastAsia="仿宋" w:cs="仿宋"/>
                <w:color w:val="auto"/>
              </w:rPr>
            </w:pPr>
            <w:r>
              <w:rPr>
                <w:rFonts w:hint="eastAsia" w:ascii="仿宋" w:hAnsi="仿宋" w:eastAsia="仿宋" w:cs="仿宋"/>
                <w:color w:val="auto"/>
              </w:rPr>
              <w:t>全覆盖</w:t>
            </w:r>
          </w:p>
        </w:tc>
        <w:tc>
          <w:tcPr>
            <w:tcW w:w="1249" w:type="dxa"/>
            <w:gridSpan w:val="2"/>
            <w:shd w:val="clear" w:color="auto" w:fill="auto"/>
            <w:noWrap w:val="0"/>
            <w:vAlign w:val="center"/>
          </w:tcPr>
          <w:p w14:paraId="6DB81CE4">
            <w:pPr>
              <w:spacing w:line="239" w:lineRule="exact"/>
              <w:jc w:val="center"/>
              <w:rPr>
                <w:rFonts w:ascii="仿宋" w:hAnsi="仿宋" w:eastAsia="仿宋" w:cs="仿宋"/>
                <w:color w:val="auto"/>
              </w:rPr>
            </w:pPr>
            <w:r>
              <w:rPr>
                <w:rFonts w:hint="eastAsia" w:ascii="仿宋" w:hAnsi="仿宋" w:eastAsia="仿宋" w:cs="仿宋"/>
                <w:color w:val="auto"/>
              </w:rPr>
              <w:t>100%</w:t>
            </w:r>
          </w:p>
        </w:tc>
        <w:tc>
          <w:tcPr>
            <w:tcW w:w="719" w:type="dxa"/>
            <w:gridSpan w:val="2"/>
            <w:shd w:val="clear" w:color="auto" w:fill="auto"/>
            <w:noWrap w:val="0"/>
            <w:vAlign w:val="center"/>
          </w:tcPr>
          <w:p w14:paraId="636B79F2">
            <w:pPr>
              <w:spacing w:line="239" w:lineRule="exact"/>
              <w:jc w:val="center"/>
              <w:rPr>
                <w:rFonts w:ascii="仿宋" w:hAnsi="仿宋" w:eastAsia="仿宋" w:cs="仿宋"/>
                <w:color w:val="auto"/>
              </w:rPr>
            </w:pPr>
            <w:r>
              <w:rPr>
                <w:rFonts w:hint="eastAsia" w:ascii="仿宋" w:hAnsi="仿宋" w:eastAsia="仿宋" w:cs="仿宋"/>
                <w:color w:val="auto"/>
              </w:rPr>
              <w:t>3</w:t>
            </w:r>
          </w:p>
        </w:tc>
        <w:tc>
          <w:tcPr>
            <w:tcW w:w="829" w:type="dxa"/>
            <w:gridSpan w:val="2"/>
            <w:shd w:val="clear" w:color="auto" w:fill="auto"/>
            <w:noWrap w:val="0"/>
            <w:vAlign w:val="center"/>
          </w:tcPr>
          <w:p w14:paraId="57A010A3">
            <w:pPr>
              <w:spacing w:line="239" w:lineRule="exact"/>
              <w:jc w:val="center"/>
              <w:rPr>
                <w:rFonts w:ascii="仿宋" w:hAnsi="仿宋" w:eastAsia="仿宋" w:cs="仿宋"/>
                <w:color w:val="auto"/>
              </w:rPr>
            </w:pPr>
            <w:r>
              <w:rPr>
                <w:rFonts w:hint="eastAsia" w:ascii="仿宋" w:hAnsi="仿宋" w:eastAsia="仿宋" w:cs="仿宋"/>
                <w:color w:val="auto"/>
              </w:rPr>
              <w:t>3</w:t>
            </w:r>
          </w:p>
        </w:tc>
        <w:tc>
          <w:tcPr>
            <w:tcW w:w="1483" w:type="dxa"/>
            <w:gridSpan w:val="2"/>
            <w:noWrap w:val="0"/>
            <w:vAlign w:val="center"/>
          </w:tcPr>
          <w:p w14:paraId="054DEE01">
            <w:pPr>
              <w:pStyle w:val="19"/>
              <w:spacing w:line="229" w:lineRule="exact"/>
              <w:jc w:val="center"/>
              <w:rPr>
                <w:color w:val="auto"/>
                <w:sz w:val="19"/>
              </w:rPr>
            </w:pPr>
          </w:p>
        </w:tc>
      </w:tr>
      <w:tr w14:paraId="49169B5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9" w:hRule="atLeast"/>
          <w:jc w:val="center"/>
        </w:trPr>
        <w:tc>
          <w:tcPr>
            <w:tcW w:w="1681" w:type="dxa"/>
            <w:gridSpan w:val="3"/>
            <w:vMerge w:val="continue"/>
            <w:tcBorders>
              <w:top w:val="nil"/>
              <w:bottom w:val="nil"/>
            </w:tcBorders>
            <w:shd w:val="clear" w:color="auto" w:fill="auto"/>
            <w:noWrap w:val="0"/>
            <w:textDirection w:val="tbRlV"/>
            <w:vAlign w:val="center"/>
          </w:tcPr>
          <w:p w14:paraId="5597365E">
            <w:pPr>
              <w:pStyle w:val="19"/>
              <w:jc w:val="center"/>
              <w:rPr>
                <w:color w:val="auto"/>
              </w:rPr>
            </w:pPr>
          </w:p>
        </w:tc>
        <w:tc>
          <w:tcPr>
            <w:tcW w:w="724" w:type="dxa"/>
            <w:vMerge w:val="continue"/>
            <w:tcBorders>
              <w:top w:val="nil"/>
              <w:bottom w:val="nil"/>
            </w:tcBorders>
            <w:shd w:val="clear" w:color="auto" w:fill="auto"/>
            <w:noWrap w:val="0"/>
            <w:vAlign w:val="center"/>
          </w:tcPr>
          <w:p w14:paraId="751B5E50">
            <w:pPr>
              <w:pStyle w:val="19"/>
              <w:jc w:val="center"/>
              <w:rPr>
                <w:color w:val="auto"/>
              </w:rPr>
            </w:pPr>
          </w:p>
        </w:tc>
        <w:tc>
          <w:tcPr>
            <w:tcW w:w="1019" w:type="dxa"/>
            <w:gridSpan w:val="2"/>
            <w:vMerge w:val="continue"/>
            <w:shd w:val="clear" w:color="auto" w:fill="auto"/>
            <w:noWrap w:val="0"/>
            <w:vAlign w:val="center"/>
          </w:tcPr>
          <w:p w14:paraId="47330740">
            <w:pPr>
              <w:pStyle w:val="19"/>
              <w:jc w:val="center"/>
              <w:rPr>
                <w:color w:val="auto"/>
              </w:rPr>
            </w:pPr>
          </w:p>
        </w:tc>
        <w:tc>
          <w:tcPr>
            <w:tcW w:w="1643" w:type="dxa"/>
            <w:gridSpan w:val="2"/>
            <w:shd w:val="clear" w:color="auto" w:fill="auto"/>
            <w:noWrap w:val="0"/>
            <w:vAlign w:val="center"/>
          </w:tcPr>
          <w:p w14:paraId="4721D9D5">
            <w:pPr>
              <w:spacing w:line="239" w:lineRule="exact"/>
              <w:jc w:val="center"/>
              <w:rPr>
                <w:rFonts w:ascii="仿宋" w:hAnsi="仿宋" w:eastAsia="仿宋" w:cs="仿宋"/>
                <w:color w:val="auto"/>
                <w:lang w:eastAsia="zh-CN"/>
              </w:rPr>
            </w:pPr>
            <w:r>
              <w:rPr>
                <w:rFonts w:hint="eastAsia" w:ascii="仿宋" w:hAnsi="仿宋" w:eastAsia="仿宋" w:cs="仿宋"/>
                <w:color w:val="auto"/>
                <w:lang w:eastAsia="zh-CN"/>
              </w:rPr>
              <w:t>4、智慧工地视频监控等智慧模块覆盖率</w:t>
            </w:r>
          </w:p>
        </w:tc>
        <w:tc>
          <w:tcPr>
            <w:tcW w:w="925" w:type="dxa"/>
            <w:gridSpan w:val="2"/>
            <w:shd w:val="clear" w:color="auto" w:fill="auto"/>
            <w:noWrap w:val="0"/>
            <w:vAlign w:val="center"/>
          </w:tcPr>
          <w:p w14:paraId="2C810C36">
            <w:pPr>
              <w:spacing w:line="239" w:lineRule="exact"/>
              <w:jc w:val="center"/>
              <w:rPr>
                <w:rFonts w:ascii="仿宋" w:hAnsi="仿宋" w:eastAsia="仿宋" w:cs="仿宋"/>
                <w:color w:val="auto"/>
              </w:rPr>
            </w:pPr>
            <w:r>
              <w:rPr>
                <w:rFonts w:hint="eastAsia" w:ascii="仿宋" w:hAnsi="仿宋" w:eastAsia="仿宋" w:cs="仿宋"/>
                <w:color w:val="auto"/>
              </w:rPr>
              <w:t>10%</w:t>
            </w:r>
          </w:p>
        </w:tc>
        <w:tc>
          <w:tcPr>
            <w:tcW w:w="1249" w:type="dxa"/>
            <w:gridSpan w:val="2"/>
            <w:shd w:val="clear" w:color="auto" w:fill="auto"/>
            <w:noWrap w:val="0"/>
            <w:vAlign w:val="center"/>
          </w:tcPr>
          <w:p w14:paraId="0C1083AB">
            <w:pPr>
              <w:spacing w:line="239" w:lineRule="exact"/>
              <w:jc w:val="center"/>
              <w:rPr>
                <w:rFonts w:ascii="仿宋" w:hAnsi="仿宋" w:eastAsia="仿宋" w:cs="仿宋"/>
                <w:color w:val="auto"/>
              </w:rPr>
            </w:pPr>
            <w:r>
              <w:rPr>
                <w:rFonts w:hint="eastAsia" w:ascii="仿宋" w:hAnsi="仿宋" w:eastAsia="仿宋" w:cs="仿宋"/>
                <w:color w:val="auto"/>
              </w:rPr>
              <w:t>100%</w:t>
            </w:r>
          </w:p>
        </w:tc>
        <w:tc>
          <w:tcPr>
            <w:tcW w:w="719" w:type="dxa"/>
            <w:gridSpan w:val="2"/>
            <w:shd w:val="clear" w:color="auto" w:fill="auto"/>
            <w:noWrap w:val="0"/>
            <w:vAlign w:val="center"/>
          </w:tcPr>
          <w:p w14:paraId="5D4CB40E">
            <w:pPr>
              <w:spacing w:line="239" w:lineRule="exact"/>
              <w:jc w:val="center"/>
              <w:rPr>
                <w:rFonts w:ascii="仿宋" w:hAnsi="仿宋" w:eastAsia="仿宋" w:cs="仿宋"/>
                <w:color w:val="auto"/>
              </w:rPr>
            </w:pPr>
            <w:r>
              <w:rPr>
                <w:rFonts w:hint="eastAsia" w:ascii="仿宋" w:hAnsi="仿宋" w:eastAsia="仿宋" w:cs="仿宋"/>
                <w:color w:val="auto"/>
              </w:rPr>
              <w:t>3</w:t>
            </w:r>
          </w:p>
        </w:tc>
        <w:tc>
          <w:tcPr>
            <w:tcW w:w="829" w:type="dxa"/>
            <w:gridSpan w:val="2"/>
            <w:shd w:val="clear" w:color="auto" w:fill="auto"/>
            <w:noWrap w:val="0"/>
            <w:vAlign w:val="center"/>
          </w:tcPr>
          <w:p w14:paraId="2342329E">
            <w:pPr>
              <w:spacing w:line="239" w:lineRule="exact"/>
              <w:jc w:val="center"/>
              <w:rPr>
                <w:rFonts w:ascii="仿宋" w:hAnsi="仿宋" w:eastAsia="仿宋" w:cs="仿宋"/>
                <w:color w:val="auto"/>
              </w:rPr>
            </w:pPr>
            <w:r>
              <w:rPr>
                <w:rFonts w:hint="eastAsia" w:ascii="仿宋" w:hAnsi="仿宋" w:eastAsia="仿宋" w:cs="仿宋"/>
                <w:color w:val="auto"/>
              </w:rPr>
              <w:t>3</w:t>
            </w:r>
          </w:p>
        </w:tc>
        <w:tc>
          <w:tcPr>
            <w:tcW w:w="1483" w:type="dxa"/>
            <w:gridSpan w:val="2"/>
            <w:noWrap w:val="0"/>
            <w:vAlign w:val="center"/>
          </w:tcPr>
          <w:p w14:paraId="1304C95E">
            <w:pPr>
              <w:pStyle w:val="19"/>
              <w:spacing w:line="229" w:lineRule="exact"/>
              <w:jc w:val="center"/>
              <w:rPr>
                <w:color w:val="auto"/>
                <w:sz w:val="19"/>
              </w:rPr>
            </w:pPr>
          </w:p>
        </w:tc>
      </w:tr>
      <w:tr w14:paraId="659BD6B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9" w:hRule="atLeast"/>
          <w:jc w:val="center"/>
        </w:trPr>
        <w:tc>
          <w:tcPr>
            <w:tcW w:w="1681" w:type="dxa"/>
            <w:gridSpan w:val="3"/>
            <w:vMerge w:val="continue"/>
            <w:tcBorders>
              <w:top w:val="nil"/>
              <w:bottom w:val="nil"/>
            </w:tcBorders>
            <w:shd w:val="clear" w:color="auto" w:fill="auto"/>
            <w:noWrap w:val="0"/>
            <w:textDirection w:val="tbRlV"/>
            <w:vAlign w:val="center"/>
          </w:tcPr>
          <w:p w14:paraId="07085678">
            <w:pPr>
              <w:pStyle w:val="19"/>
              <w:jc w:val="center"/>
              <w:rPr>
                <w:color w:val="auto"/>
              </w:rPr>
            </w:pPr>
          </w:p>
        </w:tc>
        <w:tc>
          <w:tcPr>
            <w:tcW w:w="724" w:type="dxa"/>
            <w:vMerge w:val="continue"/>
            <w:tcBorders>
              <w:top w:val="nil"/>
              <w:bottom w:val="nil"/>
            </w:tcBorders>
            <w:shd w:val="clear" w:color="auto" w:fill="auto"/>
            <w:noWrap w:val="0"/>
            <w:vAlign w:val="center"/>
          </w:tcPr>
          <w:p w14:paraId="0BDAF30A">
            <w:pPr>
              <w:pStyle w:val="19"/>
              <w:jc w:val="center"/>
              <w:rPr>
                <w:color w:val="auto"/>
              </w:rPr>
            </w:pPr>
          </w:p>
        </w:tc>
        <w:tc>
          <w:tcPr>
            <w:tcW w:w="1019" w:type="dxa"/>
            <w:gridSpan w:val="2"/>
            <w:vMerge w:val="continue"/>
            <w:shd w:val="clear" w:color="auto" w:fill="auto"/>
            <w:noWrap w:val="0"/>
            <w:vAlign w:val="center"/>
          </w:tcPr>
          <w:p w14:paraId="4C1B171B">
            <w:pPr>
              <w:pStyle w:val="19"/>
              <w:jc w:val="center"/>
              <w:rPr>
                <w:color w:val="auto"/>
              </w:rPr>
            </w:pPr>
          </w:p>
        </w:tc>
        <w:tc>
          <w:tcPr>
            <w:tcW w:w="1643" w:type="dxa"/>
            <w:gridSpan w:val="2"/>
            <w:shd w:val="clear" w:color="auto" w:fill="auto"/>
            <w:noWrap w:val="0"/>
            <w:vAlign w:val="center"/>
          </w:tcPr>
          <w:p w14:paraId="0345E26C">
            <w:pPr>
              <w:spacing w:line="239" w:lineRule="exact"/>
              <w:jc w:val="center"/>
              <w:rPr>
                <w:rFonts w:ascii="仿宋" w:hAnsi="仿宋" w:eastAsia="仿宋" w:cs="仿宋"/>
                <w:color w:val="auto"/>
              </w:rPr>
            </w:pPr>
            <w:r>
              <w:rPr>
                <w:rFonts w:hint="eastAsia" w:ascii="仿宋" w:hAnsi="仿宋" w:eastAsia="仿宋" w:cs="仿宋"/>
                <w:color w:val="auto"/>
              </w:rPr>
              <w:t>5、扬尘防治责任公示</w:t>
            </w:r>
          </w:p>
        </w:tc>
        <w:tc>
          <w:tcPr>
            <w:tcW w:w="925" w:type="dxa"/>
            <w:gridSpan w:val="2"/>
            <w:shd w:val="clear" w:color="auto" w:fill="auto"/>
            <w:noWrap w:val="0"/>
            <w:vAlign w:val="center"/>
          </w:tcPr>
          <w:p w14:paraId="1E2ECBF3">
            <w:pPr>
              <w:spacing w:line="239" w:lineRule="exact"/>
              <w:jc w:val="center"/>
              <w:rPr>
                <w:rFonts w:ascii="仿宋" w:hAnsi="仿宋" w:eastAsia="仿宋" w:cs="仿宋"/>
                <w:color w:val="auto"/>
              </w:rPr>
            </w:pPr>
            <w:r>
              <w:rPr>
                <w:rFonts w:hint="eastAsia" w:ascii="仿宋" w:hAnsi="仿宋" w:eastAsia="仿宋" w:cs="仿宋"/>
                <w:color w:val="auto"/>
              </w:rPr>
              <w:t>全覆盖</w:t>
            </w:r>
          </w:p>
        </w:tc>
        <w:tc>
          <w:tcPr>
            <w:tcW w:w="1249" w:type="dxa"/>
            <w:gridSpan w:val="2"/>
            <w:shd w:val="clear" w:color="auto" w:fill="auto"/>
            <w:noWrap w:val="0"/>
            <w:vAlign w:val="center"/>
          </w:tcPr>
          <w:p w14:paraId="5251A13A">
            <w:pPr>
              <w:spacing w:line="239" w:lineRule="exact"/>
              <w:jc w:val="center"/>
              <w:rPr>
                <w:rFonts w:ascii="仿宋" w:hAnsi="仿宋" w:eastAsia="仿宋" w:cs="仿宋"/>
                <w:color w:val="auto"/>
              </w:rPr>
            </w:pPr>
            <w:r>
              <w:rPr>
                <w:rFonts w:hint="eastAsia" w:ascii="仿宋" w:hAnsi="仿宋" w:eastAsia="仿宋" w:cs="仿宋"/>
                <w:color w:val="auto"/>
              </w:rPr>
              <w:t>100%</w:t>
            </w:r>
          </w:p>
        </w:tc>
        <w:tc>
          <w:tcPr>
            <w:tcW w:w="719" w:type="dxa"/>
            <w:gridSpan w:val="2"/>
            <w:shd w:val="clear" w:color="auto" w:fill="auto"/>
            <w:noWrap w:val="0"/>
            <w:vAlign w:val="center"/>
          </w:tcPr>
          <w:p w14:paraId="2C726199">
            <w:pPr>
              <w:spacing w:line="239" w:lineRule="exact"/>
              <w:jc w:val="center"/>
              <w:rPr>
                <w:rFonts w:ascii="仿宋" w:hAnsi="仿宋" w:eastAsia="仿宋" w:cs="仿宋"/>
                <w:color w:val="auto"/>
                <w:lang w:eastAsia="zh-CN"/>
              </w:rPr>
            </w:pPr>
            <w:r>
              <w:rPr>
                <w:rFonts w:hint="eastAsia" w:ascii="仿宋" w:hAnsi="仿宋" w:eastAsia="仿宋" w:cs="仿宋"/>
                <w:color w:val="auto"/>
                <w:lang w:eastAsia="zh-CN"/>
              </w:rPr>
              <w:t>3</w:t>
            </w:r>
          </w:p>
        </w:tc>
        <w:tc>
          <w:tcPr>
            <w:tcW w:w="829" w:type="dxa"/>
            <w:gridSpan w:val="2"/>
            <w:shd w:val="clear" w:color="auto" w:fill="auto"/>
            <w:noWrap w:val="0"/>
            <w:vAlign w:val="center"/>
          </w:tcPr>
          <w:p w14:paraId="75E6BCBE">
            <w:pPr>
              <w:spacing w:line="239" w:lineRule="exact"/>
              <w:jc w:val="center"/>
              <w:rPr>
                <w:rFonts w:ascii="仿宋" w:hAnsi="仿宋" w:eastAsia="仿宋" w:cs="仿宋"/>
                <w:color w:val="auto"/>
                <w:lang w:eastAsia="zh-CN"/>
              </w:rPr>
            </w:pPr>
            <w:r>
              <w:rPr>
                <w:rFonts w:hint="eastAsia" w:ascii="仿宋" w:hAnsi="仿宋" w:eastAsia="仿宋" w:cs="仿宋"/>
                <w:color w:val="auto"/>
                <w:lang w:eastAsia="zh-CN"/>
              </w:rPr>
              <w:t>3</w:t>
            </w:r>
          </w:p>
        </w:tc>
        <w:tc>
          <w:tcPr>
            <w:tcW w:w="1483" w:type="dxa"/>
            <w:gridSpan w:val="2"/>
            <w:noWrap w:val="0"/>
            <w:vAlign w:val="center"/>
          </w:tcPr>
          <w:p w14:paraId="19324FE0">
            <w:pPr>
              <w:pStyle w:val="19"/>
              <w:spacing w:line="229" w:lineRule="exact"/>
              <w:jc w:val="center"/>
              <w:rPr>
                <w:color w:val="auto"/>
                <w:sz w:val="19"/>
              </w:rPr>
            </w:pPr>
          </w:p>
        </w:tc>
      </w:tr>
      <w:tr w14:paraId="6EEE41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9" w:hRule="atLeast"/>
          <w:jc w:val="center"/>
        </w:trPr>
        <w:tc>
          <w:tcPr>
            <w:tcW w:w="1681" w:type="dxa"/>
            <w:gridSpan w:val="3"/>
            <w:vMerge w:val="continue"/>
            <w:tcBorders>
              <w:top w:val="nil"/>
              <w:bottom w:val="nil"/>
            </w:tcBorders>
            <w:shd w:val="clear" w:color="auto" w:fill="auto"/>
            <w:noWrap w:val="0"/>
            <w:textDirection w:val="tbRlV"/>
            <w:vAlign w:val="center"/>
          </w:tcPr>
          <w:p w14:paraId="753BFA31">
            <w:pPr>
              <w:pStyle w:val="19"/>
              <w:jc w:val="center"/>
              <w:rPr>
                <w:color w:val="auto"/>
              </w:rPr>
            </w:pPr>
          </w:p>
        </w:tc>
        <w:tc>
          <w:tcPr>
            <w:tcW w:w="724" w:type="dxa"/>
            <w:vMerge w:val="continue"/>
            <w:tcBorders>
              <w:top w:val="nil"/>
              <w:bottom w:val="nil"/>
            </w:tcBorders>
            <w:shd w:val="clear" w:color="auto" w:fill="auto"/>
            <w:noWrap w:val="0"/>
            <w:vAlign w:val="center"/>
          </w:tcPr>
          <w:p w14:paraId="4230DC6B">
            <w:pPr>
              <w:pStyle w:val="19"/>
              <w:jc w:val="center"/>
              <w:rPr>
                <w:color w:val="auto"/>
              </w:rPr>
            </w:pPr>
          </w:p>
        </w:tc>
        <w:tc>
          <w:tcPr>
            <w:tcW w:w="1019" w:type="dxa"/>
            <w:gridSpan w:val="2"/>
            <w:vMerge w:val="continue"/>
            <w:shd w:val="clear" w:color="auto" w:fill="auto"/>
            <w:noWrap w:val="0"/>
            <w:vAlign w:val="center"/>
          </w:tcPr>
          <w:p w14:paraId="559F95FB">
            <w:pPr>
              <w:pStyle w:val="19"/>
              <w:jc w:val="center"/>
              <w:rPr>
                <w:color w:val="auto"/>
              </w:rPr>
            </w:pPr>
          </w:p>
        </w:tc>
        <w:tc>
          <w:tcPr>
            <w:tcW w:w="1643" w:type="dxa"/>
            <w:gridSpan w:val="2"/>
            <w:shd w:val="clear" w:color="auto" w:fill="auto"/>
            <w:noWrap w:val="0"/>
            <w:vAlign w:val="center"/>
          </w:tcPr>
          <w:p w14:paraId="680783CD">
            <w:pPr>
              <w:spacing w:line="239" w:lineRule="exact"/>
              <w:jc w:val="center"/>
              <w:rPr>
                <w:rFonts w:ascii="仿宋" w:hAnsi="仿宋" w:eastAsia="仿宋" w:cs="仿宋"/>
                <w:color w:val="auto"/>
              </w:rPr>
            </w:pPr>
            <w:r>
              <w:rPr>
                <w:rFonts w:hint="eastAsia" w:ascii="仿宋" w:hAnsi="仿宋" w:eastAsia="仿宋" w:cs="仿宋"/>
                <w:color w:val="auto"/>
              </w:rPr>
              <w:t>6、房屋质量</w:t>
            </w:r>
          </w:p>
        </w:tc>
        <w:tc>
          <w:tcPr>
            <w:tcW w:w="925" w:type="dxa"/>
            <w:gridSpan w:val="2"/>
            <w:shd w:val="clear" w:color="auto" w:fill="auto"/>
            <w:noWrap w:val="0"/>
            <w:vAlign w:val="center"/>
          </w:tcPr>
          <w:p w14:paraId="59F866E8">
            <w:pPr>
              <w:spacing w:line="239" w:lineRule="exact"/>
              <w:jc w:val="center"/>
              <w:rPr>
                <w:rFonts w:ascii="仿宋" w:hAnsi="仿宋" w:eastAsia="仿宋" w:cs="仿宋"/>
                <w:color w:val="auto"/>
                <w:lang w:eastAsia="zh-CN"/>
              </w:rPr>
            </w:pPr>
            <w:r>
              <w:rPr>
                <w:rFonts w:hint="eastAsia" w:ascii="仿宋" w:hAnsi="仿宋" w:eastAsia="仿宋" w:cs="仿宋"/>
                <w:color w:val="auto"/>
                <w:lang w:eastAsia="zh-CN"/>
              </w:rPr>
              <w:t>无较重大房屋坍塌事故</w:t>
            </w:r>
          </w:p>
        </w:tc>
        <w:tc>
          <w:tcPr>
            <w:tcW w:w="1249" w:type="dxa"/>
            <w:gridSpan w:val="2"/>
            <w:shd w:val="clear" w:color="auto" w:fill="auto"/>
            <w:noWrap w:val="0"/>
            <w:vAlign w:val="center"/>
          </w:tcPr>
          <w:p w14:paraId="21D01BFC">
            <w:pPr>
              <w:spacing w:line="239" w:lineRule="exact"/>
              <w:jc w:val="center"/>
              <w:rPr>
                <w:rFonts w:ascii="仿宋" w:hAnsi="仿宋" w:eastAsia="仿宋" w:cs="仿宋"/>
                <w:color w:val="auto"/>
              </w:rPr>
            </w:pPr>
            <w:r>
              <w:rPr>
                <w:rFonts w:hint="eastAsia" w:ascii="仿宋" w:hAnsi="仿宋" w:eastAsia="仿宋" w:cs="仿宋"/>
                <w:color w:val="auto"/>
              </w:rPr>
              <w:t>100%</w:t>
            </w:r>
          </w:p>
        </w:tc>
        <w:tc>
          <w:tcPr>
            <w:tcW w:w="719" w:type="dxa"/>
            <w:gridSpan w:val="2"/>
            <w:shd w:val="clear" w:color="auto" w:fill="auto"/>
            <w:noWrap w:val="0"/>
            <w:vAlign w:val="center"/>
          </w:tcPr>
          <w:p w14:paraId="311E4887">
            <w:pPr>
              <w:spacing w:line="239" w:lineRule="exact"/>
              <w:jc w:val="center"/>
              <w:rPr>
                <w:rFonts w:ascii="仿宋" w:hAnsi="仿宋" w:eastAsia="仿宋" w:cs="仿宋"/>
                <w:color w:val="auto"/>
              </w:rPr>
            </w:pPr>
            <w:r>
              <w:rPr>
                <w:rFonts w:hint="eastAsia" w:ascii="仿宋" w:hAnsi="仿宋" w:eastAsia="仿宋" w:cs="仿宋"/>
                <w:color w:val="auto"/>
              </w:rPr>
              <w:t>3</w:t>
            </w:r>
          </w:p>
        </w:tc>
        <w:tc>
          <w:tcPr>
            <w:tcW w:w="829" w:type="dxa"/>
            <w:gridSpan w:val="2"/>
            <w:shd w:val="clear" w:color="auto" w:fill="auto"/>
            <w:noWrap w:val="0"/>
            <w:vAlign w:val="center"/>
          </w:tcPr>
          <w:p w14:paraId="7598895D">
            <w:pPr>
              <w:spacing w:line="239" w:lineRule="exact"/>
              <w:jc w:val="center"/>
              <w:rPr>
                <w:rFonts w:ascii="仿宋" w:hAnsi="仿宋" w:eastAsia="仿宋" w:cs="仿宋"/>
                <w:color w:val="auto"/>
              </w:rPr>
            </w:pPr>
            <w:r>
              <w:rPr>
                <w:rFonts w:hint="eastAsia" w:ascii="仿宋" w:hAnsi="仿宋" w:eastAsia="仿宋" w:cs="仿宋"/>
                <w:color w:val="auto"/>
              </w:rPr>
              <w:t>3</w:t>
            </w:r>
          </w:p>
        </w:tc>
        <w:tc>
          <w:tcPr>
            <w:tcW w:w="1483" w:type="dxa"/>
            <w:gridSpan w:val="2"/>
            <w:noWrap w:val="0"/>
            <w:vAlign w:val="center"/>
          </w:tcPr>
          <w:p w14:paraId="1617C8D0">
            <w:pPr>
              <w:pStyle w:val="19"/>
              <w:spacing w:line="229" w:lineRule="exact"/>
              <w:jc w:val="center"/>
              <w:rPr>
                <w:color w:val="auto"/>
                <w:sz w:val="19"/>
              </w:rPr>
            </w:pPr>
          </w:p>
        </w:tc>
      </w:tr>
      <w:tr w14:paraId="4077884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9" w:hRule="atLeast"/>
          <w:jc w:val="center"/>
        </w:trPr>
        <w:tc>
          <w:tcPr>
            <w:tcW w:w="1681" w:type="dxa"/>
            <w:gridSpan w:val="3"/>
            <w:vMerge w:val="continue"/>
            <w:tcBorders>
              <w:top w:val="nil"/>
              <w:bottom w:val="nil"/>
            </w:tcBorders>
            <w:shd w:val="clear" w:color="auto" w:fill="auto"/>
            <w:noWrap w:val="0"/>
            <w:textDirection w:val="tbRlV"/>
            <w:vAlign w:val="center"/>
          </w:tcPr>
          <w:p w14:paraId="07B8F297">
            <w:pPr>
              <w:pStyle w:val="19"/>
              <w:jc w:val="center"/>
              <w:rPr>
                <w:color w:val="auto"/>
              </w:rPr>
            </w:pPr>
          </w:p>
        </w:tc>
        <w:tc>
          <w:tcPr>
            <w:tcW w:w="724" w:type="dxa"/>
            <w:vMerge w:val="continue"/>
            <w:tcBorders>
              <w:top w:val="nil"/>
              <w:bottom w:val="nil"/>
            </w:tcBorders>
            <w:shd w:val="clear" w:color="auto" w:fill="auto"/>
            <w:noWrap w:val="0"/>
            <w:vAlign w:val="center"/>
          </w:tcPr>
          <w:p w14:paraId="49C5483A">
            <w:pPr>
              <w:pStyle w:val="19"/>
              <w:jc w:val="center"/>
              <w:rPr>
                <w:color w:val="auto"/>
              </w:rPr>
            </w:pPr>
          </w:p>
        </w:tc>
        <w:tc>
          <w:tcPr>
            <w:tcW w:w="1019" w:type="dxa"/>
            <w:gridSpan w:val="2"/>
            <w:vMerge w:val="continue"/>
            <w:shd w:val="clear" w:color="auto" w:fill="auto"/>
            <w:noWrap w:val="0"/>
            <w:vAlign w:val="center"/>
          </w:tcPr>
          <w:p w14:paraId="252434A8">
            <w:pPr>
              <w:pStyle w:val="19"/>
              <w:jc w:val="center"/>
              <w:rPr>
                <w:color w:val="auto"/>
              </w:rPr>
            </w:pPr>
          </w:p>
        </w:tc>
        <w:tc>
          <w:tcPr>
            <w:tcW w:w="1643" w:type="dxa"/>
            <w:gridSpan w:val="2"/>
            <w:shd w:val="clear" w:color="auto" w:fill="auto"/>
            <w:noWrap w:val="0"/>
            <w:vAlign w:val="center"/>
          </w:tcPr>
          <w:p w14:paraId="4053D7C5">
            <w:pPr>
              <w:spacing w:line="239" w:lineRule="exact"/>
              <w:jc w:val="center"/>
              <w:rPr>
                <w:rFonts w:ascii="仿宋" w:hAnsi="仿宋" w:eastAsia="仿宋" w:cs="仿宋"/>
                <w:color w:val="auto"/>
              </w:rPr>
            </w:pPr>
            <w:r>
              <w:rPr>
                <w:rFonts w:hint="eastAsia" w:ascii="仿宋" w:hAnsi="仿宋" w:eastAsia="仿宋" w:cs="仿宋"/>
                <w:color w:val="auto"/>
              </w:rPr>
              <w:t>7、工程建设消防安全</w:t>
            </w:r>
          </w:p>
        </w:tc>
        <w:tc>
          <w:tcPr>
            <w:tcW w:w="925" w:type="dxa"/>
            <w:gridSpan w:val="2"/>
            <w:shd w:val="clear" w:color="auto" w:fill="auto"/>
            <w:noWrap w:val="0"/>
            <w:vAlign w:val="center"/>
          </w:tcPr>
          <w:p w14:paraId="63BBF5D4">
            <w:pPr>
              <w:spacing w:line="239" w:lineRule="exact"/>
              <w:jc w:val="center"/>
              <w:rPr>
                <w:rFonts w:ascii="仿宋" w:hAnsi="仿宋" w:eastAsia="仿宋" w:cs="仿宋"/>
                <w:color w:val="auto"/>
                <w:lang w:eastAsia="zh-CN"/>
              </w:rPr>
            </w:pPr>
            <w:r>
              <w:rPr>
                <w:rFonts w:hint="eastAsia" w:ascii="仿宋" w:hAnsi="仿宋" w:eastAsia="仿宋" w:cs="仿宋"/>
                <w:color w:val="auto"/>
                <w:lang w:eastAsia="zh-CN"/>
              </w:rPr>
              <w:t>不发生较大消防生产事故</w:t>
            </w:r>
          </w:p>
        </w:tc>
        <w:tc>
          <w:tcPr>
            <w:tcW w:w="1249" w:type="dxa"/>
            <w:gridSpan w:val="2"/>
            <w:shd w:val="clear" w:color="auto" w:fill="auto"/>
            <w:noWrap w:val="0"/>
            <w:vAlign w:val="center"/>
          </w:tcPr>
          <w:p w14:paraId="5F529E93">
            <w:pPr>
              <w:spacing w:line="239" w:lineRule="exact"/>
              <w:jc w:val="center"/>
              <w:rPr>
                <w:rFonts w:ascii="仿宋" w:hAnsi="仿宋" w:eastAsia="仿宋" w:cs="仿宋"/>
                <w:color w:val="auto"/>
              </w:rPr>
            </w:pPr>
            <w:r>
              <w:rPr>
                <w:rFonts w:hint="eastAsia" w:ascii="仿宋" w:hAnsi="仿宋" w:eastAsia="仿宋" w:cs="仿宋"/>
                <w:color w:val="auto"/>
              </w:rPr>
              <w:t>100%</w:t>
            </w:r>
          </w:p>
        </w:tc>
        <w:tc>
          <w:tcPr>
            <w:tcW w:w="719" w:type="dxa"/>
            <w:gridSpan w:val="2"/>
            <w:shd w:val="clear" w:color="auto" w:fill="auto"/>
            <w:noWrap w:val="0"/>
            <w:vAlign w:val="center"/>
          </w:tcPr>
          <w:p w14:paraId="0A3226F7">
            <w:pPr>
              <w:spacing w:line="239" w:lineRule="exact"/>
              <w:jc w:val="center"/>
              <w:rPr>
                <w:rFonts w:ascii="仿宋" w:hAnsi="仿宋" w:eastAsia="仿宋" w:cs="仿宋"/>
                <w:color w:val="auto"/>
                <w:lang w:eastAsia="zh-CN"/>
              </w:rPr>
            </w:pPr>
            <w:r>
              <w:rPr>
                <w:rFonts w:hint="eastAsia" w:ascii="仿宋" w:hAnsi="仿宋" w:eastAsia="仿宋" w:cs="仿宋"/>
                <w:color w:val="auto"/>
                <w:lang w:eastAsia="zh-CN"/>
              </w:rPr>
              <w:t>3</w:t>
            </w:r>
          </w:p>
        </w:tc>
        <w:tc>
          <w:tcPr>
            <w:tcW w:w="829" w:type="dxa"/>
            <w:gridSpan w:val="2"/>
            <w:shd w:val="clear" w:color="auto" w:fill="auto"/>
            <w:noWrap w:val="0"/>
            <w:vAlign w:val="center"/>
          </w:tcPr>
          <w:p w14:paraId="73B4D703">
            <w:pPr>
              <w:spacing w:line="239" w:lineRule="exact"/>
              <w:jc w:val="center"/>
              <w:rPr>
                <w:rFonts w:ascii="仿宋" w:hAnsi="仿宋" w:eastAsia="仿宋" w:cs="仿宋"/>
                <w:color w:val="auto"/>
                <w:lang w:eastAsia="zh-CN"/>
              </w:rPr>
            </w:pPr>
            <w:r>
              <w:rPr>
                <w:rFonts w:hint="eastAsia" w:ascii="仿宋" w:hAnsi="仿宋" w:eastAsia="仿宋" w:cs="仿宋"/>
                <w:color w:val="auto"/>
                <w:lang w:eastAsia="zh-CN"/>
              </w:rPr>
              <w:t>3</w:t>
            </w:r>
          </w:p>
        </w:tc>
        <w:tc>
          <w:tcPr>
            <w:tcW w:w="1483" w:type="dxa"/>
            <w:gridSpan w:val="2"/>
            <w:noWrap w:val="0"/>
            <w:vAlign w:val="center"/>
          </w:tcPr>
          <w:p w14:paraId="49853F57">
            <w:pPr>
              <w:pStyle w:val="19"/>
              <w:spacing w:line="229" w:lineRule="exact"/>
              <w:jc w:val="center"/>
              <w:rPr>
                <w:color w:val="auto"/>
                <w:sz w:val="19"/>
              </w:rPr>
            </w:pPr>
          </w:p>
        </w:tc>
      </w:tr>
      <w:tr w14:paraId="10932A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40" w:hRule="atLeast"/>
          <w:jc w:val="center"/>
        </w:trPr>
        <w:tc>
          <w:tcPr>
            <w:tcW w:w="1681" w:type="dxa"/>
            <w:gridSpan w:val="3"/>
            <w:vMerge w:val="continue"/>
            <w:tcBorders>
              <w:top w:val="nil"/>
              <w:bottom w:val="nil"/>
            </w:tcBorders>
            <w:shd w:val="clear" w:color="auto" w:fill="auto"/>
            <w:noWrap w:val="0"/>
            <w:textDirection w:val="tbRlV"/>
            <w:vAlign w:val="center"/>
          </w:tcPr>
          <w:p w14:paraId="71548568">
            <w:pPr>
              <w:pStyle w:val="19"/>
              <w:jc w:val="center"/>
              <w:rPr>
                <w:color w:val="auto"/>
              </w:rPr>
            </w:pPr>
          </w:p>
        </w:tc>
        <w:tc>
          <w:tcPr>
            <w:tcW w:w="724" w:type="dxa"/>
            <w:vMerge w:val="continue"/>
            <w:tcBorders>
              <w:top w:val="nil"/>
              <w:bottom w:val="nil"/>
            </w:tcBorders>
            <w:shd w:val="clear" w:color="auto" w:fill="auto"/>
            <w:noWrap w:val="0"/>
            <w:vAlign w:val="center"/>
          </w:tcPr>
          <w:p w14:paraId="5D50B50B">
            <w:pPr>
              <w:pStyle w:val="19"/>
              <w:jc w:val="center"/>
              <w:rPr>
                <w:color w:val="auto"/>
              </w:rPr>
            </w:pPr>
          </w:p>
        </w:tc>
        <w:tc>
          <w:tcPr>
            <w:tcW w:w="1019" w:type="dxa"/>
            <w:gridSpan w:val="2"/>
            <w:vMerge w:val="restart"/>
            <w:tcBorders>
              <w:bottom w:val="nil"/>
            </w:tcBorders>
            <w:shd w:val="clear" w:color="auto" w:fill="auto"/>
            <w:noWrap w:val="0"/>
            <w:vAlign w:val="center"/>
          </w:tcPr>
          <w:p w14:paraId="609450BB">
            <w:pPr>
              <w:spacing w:before="274" w:line="220" w:lineRule="auto"/>
              <w:ind w:left="122"/>
              <w:jc w:val="center"/>
              <w:rPr>
                <w:rFonts w:ascii="宋体" w:hAnsi="宋体" w:eastAsia="宋体" w:cs="宋体"/>
                <w:color w:val="auto"/>
                <w:sz w:val="19"/>
                <w:szCs w:val="19"/>
              </w:rPr>
            </w:pPr>
            <w:r>
              <w:rPr>
                <w:rFonts w:ascii="宋体" w:hAnsi="宋体" w:eastAsia="宋体" w:cs="宋体"/>
                <w:color w:val="auto"/>
                <w:spacing w:val="1"/>
                <w:sz w:val="19"/>
                <w:szCs w:val="19"/>
              </w:rPr>
              <w:t>时效指标</w:t>
            </w:r>
          </w:p>
        </w:tc>
        <w:tc>
          <w:tcPr>
            <w:tcW w:w="1643" w:type="dxa"/>
            <w:gridSpan w:val="2"/>
            <w:shd w:val="clear" w:color="auto" w:fill="auto"/>
            <w:noWrap w:val="0"/>
            <w:vAlign w:val="center"/>
          </w:tcPr>
          <w:p w14:paraId="36F5AED8">
            <w:pPr>
              <w:spacing w:line="240" w:lineRule="exact"/>
              <w:jc w:val="center"/>
              <w:rPr>
                <w:rFonts w:ascii="仿宋" w:hAnsi="仿宋" w:eastAsia="仿宋" w:cs="仿宋"/>
                <w:color w:val="auto"/>
                <w:lang w:eastAsia="zh-CN"/>
              </w:rPr>
            </w:pPr>
            <w:r>
              <w:rPr>
                <w:rFonts w:hint="eastAsia" w:ascii="仿宋" w:hAnsi="仿宋" w:eastAsia="仿宋" w:cs="仿宋"/>
                <w:color w:val="auto"/>
                <w:lang w:eastAsia="zh-CN"/>
              </w:rPr>
              <w:t>1、在年度计划时间内完成</w:t>
            </w:r>
          </w:p>
        </w:tc>
        <w:tc>
          <w:tcPr>
            <w:tcW w:w="925" w:type="dxa"/>
            <w:gridSpan w:val="2"/>
            <w:shd w:val="clear" w:color="auto" w:fill="auto"/>
            <w:noWrap w:val="0"/>
            <w:vAlign w:val="center"/>
          </w:tcPr>
          <w:p w14:paraId="44BC9F85">
            <w:pPr>
              <w:spacing w:line="240" w:lineRule="exact"/>
              <w:jc w:val="center"/>
              <w:rPr>
                <w:rFonts w:ascii="仿宋" w:hAnsi="仿宋" w:eastAsia="仿宋" w:cs="仿宋"/>
                <w:color w:val="auto"/>
              </w:rPr>
            </w:pPr>
            <w:r>
              <w:rPr>
                <w:rFonts w:hint="eastAsia" w:ascii="仿宋" w:hAnsi="仿宋" w:eastAsia="仿宋" w:cs="仿宋"/>
                <w:color w:val="auto"/>
              </w:rPr>
              <w:t>计划规定时间</w:t>
            </w:r>
          </w:p>
        </w:tc>
        <w:tc>
          <w:tcPr>
            <w:tcW w:w="1249" w:type="dxa"/>
            <w:gridSpan w:val="2"/>
            <w:shd w:val="clear" w:color="auto" w:fill="auto"/>
            <w:noWrap w:val="0"/>
            <w:vAlign w:val="center"/>
          </w:tcPr>
          <w:p w14:paraId="629793CF">
            <w:pPr>
              <w:spacing w:line="240" w:lineRule="exact"/>
              <w:jc w:val="center"/>
              <w:rPr>
                <w:rFonts w:ascii="仿宋" w:hAnsi="仿宋" w:eastAsia="仿宋" w:cs="仿宋"/>
                <w:color w:val="auto"/>
              </w:rPr>
            </w:pPr>
            <w:r>
              <w:rPr>
                <w:rFonts w:hint="eastAsia" w:ascii="仿宋" w:hAnsi="仿宋" w:eastAsia="仿宋" w:cs="仿宋"/>
                <w:color w:val="auto"/>
              </w:rPr>
              <w:t>100%</w:t>
            </w:r>
          </w:p>
        </w:tc>
        <w:tc>
          <w:tcPr>
            <w:tcW w:w="719" w:type="dxa"/>
            <w:gridSpan w:val="2"/>
            <w:shd w:val="clear" w:color="auto" w:fill="auto"/>
            <w:noWrap w:val="0"/>
            <w:vAlign w:val="center"/>
          </w:tcPr>
          <w:p w14:paraId="607F66A2">
            <w:pPr>
              <w:spacing w:line="240" w:lineRule="exact"/>
              <w:jc w:val="center"/>
              <w:rPr>
                <w:rFonts w:ascii="仿宋" w:hAnsi="仿宋" w:eastAsia="仿宋" w:cs="仿宋"/>
                <w:color w:val="auto"/>
              </w:rPr>
            </w:pPr>
            <w:r>
              <w:rPr>
                <w:rFonts w:hint="eastAsia" w:ascii="仿宋" w:hAnsi="仿宋" w:eastAsia="仿宋" w:cs="仿宋"/>
                <w:color w:val="auto"/>
              </w:rPr>
              <w:t>3</w:t>
            </w:r>
          </w:p>
        </w:tc>
        <w:tc>
          <w:tcPr>
            <w:tcW w:w="829" w:type="dxa"/>
            <w:gridSpan w:val="2"/>
            <w:shd w:val="clear" w:color="auto" w:fill="auto"/>
            <w:noWrap w:val="0"/>
            <w:vAlign w:val="center"/>
          </w:tcPr>
          <w:p w14:paraId="6DA5362D">
            <w:pPr>
              <w:spacing w:line="240" w:lineRule="exact"/>
              <w:jc w:val="center"/>
              <w:rPr>
                <w:rFonts w:ascii="仿宋" w:hAnsi="仿宋" w:eastAsia="仿宋" w:cs="仿宋"/>
                <w:color w:val="auto"/>
              </w:rPr>
            </w:pPr>
            <w:r>
              <w:rPr>
                <w:rFonts w:hint="eastAsia" w:ascii="仿宋" w:hAnsi="仿宋" w:eastAsia="仿宋" w:cs="仿宋"/>
                <w:color w:val="auto"/>
              </w:rPr>
              <w:t>3</w:t>
            </w:r>
          </w:p>
        </w:tc>
        <w:tc>
          <w:tcPr>
            <w:tcW w:w="1483" w:type="dxa"/>
            <w:gridSpan w:val="2"/>
            <w:noWrap w:val="0"/>
            <w:vAlign w:val="center"/>
          </w:tcPr>
          <w:p w14:paraId="5291E5D3">
            <w:pPr>
              <w:pStyle w:val="19"/>
              <w:spacing w:line="230" w:lineRule="exact"/>
              <w:jc w:val="center"/>
              <w:rPr>
                <w:color w:val="auto"/>
                <w:sz w:val="20"/>
              </w:rPr>
            </w:pPr>
          </w:p>
        </w:tc>
      </w:tr>
      <w:tr w14:paraId="6E2C46E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0" w:hRule="atLeast"/>
          <w:jc w:val="center"/>
        </w:trPr>
        <w:tc>
          <w:tcPr>
            <w:tcW w:w="1681" w:type="dxa"/>
            <w:gridSpan w:val="3"/>
            <w:vMerge w:val="continue"/>
            <w:tcBorders>
              <w:top w:val="nil"/>
              <w:bottom w:val="nil"/>
            </w:tcBorders>
            <w:shd w:val="clear" w:color="auto" w:fill="auto"/>
            <w:noWrap w:val="0"/>
            <w:textDirection w:val="tbRlV"/>
            <w:vAlign w:val="center"/>
          </w:tcPr>
          <w:p w14:paraId="42F62C52">
            <w:pPr>
              <w:pStyle w:val="19"/>
              <w:jc w:val="center"/>
              <w:rPr>
                <w:color w:val="auto"/>
              </w:rPr>
            </w:pPr>
          </w:p>
        </w:tc>
        <w:tc>
          <w:tcPr>
            <w:tcW w:w="724" w:type="dxa"/>
            <w:vMerge w:val="continue"/>
            <w:tcBorders>
              <w:top w:val="nil"/>
              <w:bottom w:val="nil"/>
            </w:tcBorders>
            <w:shd w:val="clear" w:color="auto" w:fill="auto"/>
            <w:noWrap w:val="0"/>
            <w:vAlign w:val="center"/>
          </w:tcPr>
          <w:p w14:paraId="4F820AE2">
            <w:pPr>
              <w:pStyle w:val="19"/>
              <w:jc w:val="center"/>
              <w:rPr>
                <w:color w:val="auto"/>
              </w:rPr>
            </w:pPr>
          </w:p>
        </w:tc>
        <w:tc>
          <w:tcPr>
            <w:tcW w:w="1019" w:type="dxa"/>
            <w:gridSpan w:val="2"/>
            <w:vMerge w:val="continue"/>
            <w:tcBorders>
              <w:top w:val="nil"/>
              <w:bottom w:val="nil"/>
            </w:tcBorders>
            <w:shd w:val="clear" w:color="auto" w:fill="auto"/>
            <w:noWrap w:val="0"/>
            <w:vAlign w:val="center"/>
          </w:tcPr>
          <w:p w14:paraId="661B3E4F">
            <w:pPr>
              <w:pStyle w:val="19"/>
              <w:jc w:val="center"/>
              <w:rPr>
                <w:color w:val="auto"/>
              </w:rPr>
            </w:pPr>
          </w:p>
        </w:tc>
        <w:tc>
          <w:tcPr>
            <w:tcW w:w="1643" w:type="dxa"/>
            <w:gridSpan w:val="2"/>
            <w:shd w:val="clear" w:color="auto" w:fill="auto"/>
            <w:noWrap w:val="0"/>
            <w:vAlign w:val="center"/>
          </w:tcPr>
          <w:p w14:paraId="084AD73D">
            <w:pPr>
              <w:jc w:val="center"/>
              <w:rPr>
                <w:rFonts w:ascii="仿宋" w:hAnsi="仿宋" w:eastAsia="仿宋" w:cs="仿宋"/>
                <w:color w:val="auto"/>
              </w:rPr>
            </w:pPr>
            <w:r>
              <w:rPr>
                <w:rFonts w:hint="eastAsia" w:ascii="仿宋" w:hAnsi="仿宋" w:eastAsia="仿宋" w:cs="仿宋"/>
                <w:color w:val="auto"/>
              </w:rPr>
              <w:t>2、突发事项即时完成</w:t>
            </w:r>
          </w:p>
        </w:tc>
        <w:tc>
          <w:tcPr>
            <w:tcW w:w="925" w:type="dxa"/>
            <w:gridSpan w:val="2"/>
            <w:shd w:val="clear" w:color="auto" w:fill="auto"/>
            <w:noWrap w:val="0"/>
            <w:vAlign w:val="center"/>
          </w:tcPr>
          <w:p w14:paraId="33A99055">
            <w:pPr>
              <w:jc w:val="center"/>
              <w:rPr>
                <w:rFonts w:ascii="仿宋" w:hAnsi="仿宋" w:eastAsia="仿宋" w:cs="仿宋"/>
                <w:color w:val="auto"/>
              </w:rPr>
            </w:pPr>
            <w:r>
              <w:rPr>
                <w:rFonts w:hint="eastAsia" w:ascii="仿宋" w:hAnsi="仿宋" w:eastAsia="仿宋" w:cs="仿宋"/>
                <w:color w:val="auto"/>
              </w:rPr>
              <w:t>3-5个工作日</w:t>
            </w:r>
          </w:p>
        </w:tc>
        <w:tc>
          <w:tcPr>
            <w:tcW w:w="1249" w:type="dxa"/>
            <w:gridSpan w:val="2"/>
            <w:shd w:val="clear" w:color="auto" w:fill="auto"/>
            <w:noWrap w:val="0"/>
            <w:vAlign w:val="center"/>
          </w:tcPr>
          <w:p w14:paraId="42B3C4E1">
            <w:pPr>
              <w:jc w:val="center"/>
              <w:rPr>
                <w:rFonts w:ascii="仿宋" w:hAnsi="仿宋" w:eastAsia="仿宋" w:cs="仿宋"/>
                <w:color w:val="auto"/>
              </w:rPr>
            </w:pPr>
            <w:r>
              <w:rPr>
                <w:rFonts w:hint="eastAsia" w:ascii="仿宋" w:hAnsi="仿宋" w:eastAsia="仿宋" w:cs="仿宋"/>
                <w:color w:val="auto"/>
              </w:rPr>
              <w:t>100%</w:t>
            </w:r>
          </w:p>
        </w:tc>
        <w:tc>
          <w:tcPr>
            <w:tcW w:w="719" w:type="dxa"/>
            <w:gridSpan w:val="2"/>
            <w:shd w:val="clear" w:color="auto" w:fill="auto"/>
            <w:noWrap w:val="0"/>
            <w:vAlign w:val="center"/>
          </w:tcPr>
          <w:p w14:paraId="18EBC479">
            <w:pPr>
              <w:jc w:val="center"/>
              <w:rPr>
                <w:rFonts w:ascii="仿宋" w:hAnsi="仿宋" w:eastAsia="仿宋" w:cs="仿宋"/>
                <w:color w:val="auto"/>
              </w:rPr>
            </w:pPr>
            <w:r>
              <w:rPr>
                <w:rFonts w:hint="eastAsia" w:ascii="仿宋" w:hAnsi="仿宋" w:eastAsia="仿宋" w:cs="仿宋"/>
                <w:color w:val="auto"/>
              </w:rPr>
              <w:t>3</w:t>
            </w:r>
          </w:p>
        </w:tc>
        <w:tc>
          <w:tcPr>
            <w:tcW w:w="829" w:type="dxa"/>
            <w:gridSpan w:val="2"/>
            <w:shd w:val="clear" w:color="auto" w:fill="auto"/>
            <w:noWrap w:val="0"/>
            <w:vAlign w:val="center"/>
          </w:tcPr>
          <w:p w14:paraId="4A00AF23">
            <w:pPr>
              <w:jc w:val="center"/>
              <w:rPr>
                <w:rFonts w:ascii="仿宋" w:hAnsi="仿宋" w:eastAsia="仿宋" w:cs="仿宋"/>
                <w:color w:val="auto"/>
              </w:rPr>
            </w:pPr>
            <w:r>
              <w:rPr>
                <w:rFonts w:hint="eastAsia" w:ascii="仿宋" w:hAnsi="仿宋" w:eastAsia="仿宋" w:cs="仿宋"/>
                <w:color w:val="auto"/>
              </w:rPr>
              <w:t>3</w:t>
            </w:r>
          </w:p>
        </w:tc>
        <w:tc>
          <w:tcPr>
            <w:tcW w:w="1483" w:type="dxa"/>
            <w:gridSpan w:val="2"/>
            <w:noWrap w:val="0"/>
            <w:vAlign w:val="center"/>
          </w:tcPr>
          <w:p w14:paraId="1D0AB99C">
            <w:pPr>
              <w:pStyle w:val="19"/>
              <w:spacing w:line="220" w:lineRule="exact"/>
              <w:jc w:val="center"/>
              <w:rPr>
                <w:color w:val="auto"/>
                <w:sz w:val="19"/>
              </w:rPr>
            </w:pPr>
          </w:p>
        </w:tc>
      </w:tr>
      <w:tr w14:paraId="3D44781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0" w:hRule="atLeast"/>
          <w:jc w:val="center"/>
        </w:trPr>
        <w:tc>
          <w:tcPr>
            <w:tcW w:w="1681" w:type="dxa"/>
            <w:gridSpan w:val="3"/>
            <w:vMerge w:val="continue"/>
            <w:tcBorders>
              <w:top w:val="nil"/>
              <w:bottom w:val="nil"/>
            </w:tcBorders>
            <w:shd w:val="clear" w:color="auto" w:fill="auto"/>
            <w:noWrap w:val="0"/>
            <w:textDirection w:val="tbRlV"/>
            <w:vAlign w:val="center"/>
          </w:tcPr>
          <w:p w14:paraId="6E4C7963">
            <w:pPr>
              <w:pStyle w:val="19"/>
              <w:jc w:val="center"/>
              <w:rPr>
                <w:color w:val="auto"/>
              </w:rPr>
            </w:pPr>
          </w:p>
        </w:tc>
        <w:tc>
          <w:tcPr>
            <w:tcW w:w="724" w:type="dxa"/>
            <w:vMerge w:val="continue"/>
            <w:tcBorders>
              <w:top w:val="nil"/>
              <w:bottom w:val="nil"/>
            </w:tcBorders>
            <w:shd w:val="clear" w:color="auto" w:fill="auto"/>
            <w:noWrap w:val="0"/>
            <w:vAlign w:val="center"/>
          </w:tcPr>
          <w:p w14:paraId="0DBEBC5F">
            <w:pPr>
              <w:pStyle w:val="19"/>
              <w:jc w:val="center"/>
              <w:rPr>
                <w:color w:val="auto"/>
              </w:rPr>
            </w:pPr>
          </w:p>
        </w:tc>
        <w:tc>
          <w:tcPr>
            <w:tcW w:w="1019" w:type="dxa"/>
            <w:gridSpan w:val="2"/>
            <w:tcBorders>
              <w:bottom w:val="nil"/>
            </w:tcBorders>
            <w:shd w:val="clear" w:color="auto" w:fill="auto"/>
            <w:noWrap w:val="0"/>
            <w:vAlign w:val="center"/>
          </w:tcPr>
          <w:p w14:paraId="3DC416B5">
            <w:pPr>
              <w:spacing w:before="273" w:line="219" w:lineRule="auto"/>
              <w:ind w:left="122"/>
              <w:jc w:val="center"/>
              <w:rPr>
                <w:rFonts w:ascii="宋体" w:hAnsi="宋体" w:eastAsia="宋体" w:cs="宋体"/>
                <w:color w:val="auto"/>
                <w:sz w:val="19"/>
                <w:szCs w:val="19"/>
              </w:rPr>
            </w:pPr>
            <w:r>
              <w:rPr>
                <w:rFonts w:ascii="宋体" w:hAnsi="宋体" w:eastAsia="宋体" w:cs="宋体"/>
                <w:color w:val="auto"/>
                <w:spacing w:val="-2"/>
                <w:sz w:val="19"/>
                <w:szCs w:val="19"/>
              </w:rPr>
              <w:t>成本指标</w:t>
            </w:r>
          </w:p>
        </w:tc>
        <w:tc>
          <w:tcPr>
            <w:tcW w:w="1643" w:type="dxa"/>
            <w:gridSpan w:val="2"/>
            <w:shd w:val="clear" w:color="auto" w:fill="auto"/>
            <w:noWrap w:val="0"/>
            <w:vAlign w:val="center"/>
          </w:tcPr>
          <w:p w14:paraId="56D7F3F9">
            <w:pPr>
              <w:pStyle w:val="19"/>
              <w:spacing w:line="220" w:lineRule="exact"/>
              <w:jc w:val="center"/>
              <w:rPr>
                <w:color w:val="auto"/>
                <w:sz w:val="19"/>
              </w:rPr>
            </w:pPr>
            <w:r>
              <w:rPr>
                <w:rFonts w:hint="eastAsia" w:ascii="仿宋" w:hAnsi="仿宋" w:eastAsia="仿宋" w:cs="仿宋"/>
                <w:color w:val="auto"/>
              </w:rPr>
              <w:t>控制在预算成本以内</w:t>
            </w:r>
          </w:p>
        </w:tc>
        <w:tc>
          <w:tcPr>
            <w:tcW w:w="925" w:type="dxa"/>
            <w:gridSpan w:val="2"/>
            <w:shd w:val="clear" w:color="auto" w:fill="auto"/>
            <w:noWrap w:val="0"/>
            <w:vAlign w:val="center"/>
          </w:tcPr>
          <w:p w14:paraId="4B5BDA03">
            <w:pPr>
              <w:pStyle w:val="19"/>
              <w:spacing w:line="220" w:lineRule="exact"/>
              <w:jc w:val="center"/>
              <w:rPr>
                <w:color w:val="auto"/>
                <w:sz w:val="19"/>
              </w:rPr>
            </w:pPr>
            <w:r>
              <w:rPr>
                <w:rFonts w:hint="eastAsia" w:ascii="宋体" w:hAnsi="宋体" w:eastAsia="宋体"/>
                <w:color w:val="auto"/>
                <w:sz w:val="19"/>
                <w:lang w:eastAsia="zh-CN"/>
              </w:rPr>
              <w:t>2096.96</w:t>
            </w:r>
          </w:p>
        </w:tc>
        <w:tc>
          <w:tcPr>
            <w:tcW w:w="1249" w:type="dxa"/>
            <w:gridSpan w:val="2"/>
            <w:shd w:val="clear" w:color="auto" w:fill="auto"/>
            <w:noWrap w:val="0"/>
            <w:vAlign w:val="center"/>
          </w:tcPr>
          <w:p w14:paraId="0DE7A860">
            <w:pPr>
              <w:spacing w:line="240" w:lineRule="exact"/>
              <w:jc w:val="center"/>
              <w:rPr>
                <w:rFonts w:ascii="仿宋" w:hAnsi="仿宋" w:eastAsia="仿宋" w:cs="仿宋"/>
                <w:color w:val="auto"/>
              </w:rPr>
            </w:pPr>
            <w:r>
              <w:rPr>
                <w:rFonts w:hint="eastAsia" w:ascii="仿宋" w:hAnsi="仿宋" w:eastAsia="仿宋" w:cs="仿宋"/>
                <w:color w:val="auto"/>
              </w:rPr>
              <w:t>100%</w:t>
            </w:r>
          </w:p>
        </w:tc>
        <w:tc>
          <w:tcPr>
            <w:tcW w:w="719" w:type="dxa"/>
            <w:gridSpan w:val="2"/>
            <w:shd w:val="clear" w:color="auto" w:fill="auto"/>
            <w:noWrap w:val="0"/>
            <w:vAlign w:val="center"/>
          </w:tcPr>
          <w:p w14:paraId="7206ED7D">
            <w:pPr>
              <w:spacing w:line="240" w:lineRule="exact"/>
              <w:jc w:val="center"/>
              <w:rPr>
                <w:rFonts w:ascii="仿宋" w:hAnsi="仿宋" w:eastAsia="仿宋" w:cs="仿宋"/>
                <w:color w:val="auto"/>
                <w:lang w:eastAsia="zh-CN"/>
              </w:rPr>
            </w:pPr>
            <w:r>
              <w:rPr>
                <w:rFonts w:hint="eastAsia" w:ascii="仿宋" w:hAnsi="仿宋" w:eastAsia="仿宋" w:cs="仿宋"/>
                <w:color w:val="auto"/>
                <w:lang w:eastAsia="zh-CN"/>
              </w:rPr>
              <w:t>5</w:t>
            </w:r>
          </w:p>
        </w:tc>
        <w:tc>
          <w:tcPr>
            <w:tcW w:w="829" w:type="dxa"/>
            <w:gridSpan w:val="2"/>
            <w:shd w:val="clear" w:color="auto" w:fill="auto"/>
            <w:noWrap w:val="0"/>
            <w:vAlign w:val="center"/>
          </w:tcPr>
          <w:p w14:paraId="02EE3BA3">
            <w:pPr>
              <w:spacing w:line="240" w:lineRule="exact"/>
              <w:jc w:val="center"/>
              <w:rPr>
                <w:rFonts w:ascii="仿宋" w:hAnsi="仿宋" w:eastAsia="仿宋" w:cs="仿宋"/>
                <w:color w:val="auto"/>
                <w:lang w:eastAsia="zh-CN"/>
              </w:rPr>
            </w:pPr>
            <w:r>
              <w:rPr>
                <w:rFonts w:hint="eastAsia" w:ascii="仿宋" w:hAnsi="仿宋" w:eastAsia="仿宋" w:cs="仿宋"/>
                <w:color w:val="auto"/>
                <w:lang w:eastAsia="zh-CN"/>
              </w:rPr>
              <w:t>5</w:t>
            </w:r>
          </w:p>
        </w:tc>
        <w:tc>
          <w:tcPr>
            <w:tcW w:w="1483" w:type="dxa"/>
            <w:gridSpan w:val="2"/>
            <w:noWrap w:val="0"/>
            <w:vAlign w:val="center"/>
          </w:tcPr>
          <w:p w14:paraId="3C0398E5">
            <w:pPr>
              <w:pStyle w:val="19"/>
              <w:spacing w:line="220" w:lineRule="exact"/>
              <w:jc w:val="center"/>
              <w:rPr>
                <w:color w:val="auto"/>
                <w:sz w:val="19"/>
              </w:rPr>
            </w:pPr>
          </w:p>
        </w:tc>
      </w:tr>
      <w:tr w14:paraId="59E9A91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99" w:hRule="atLeast"/>
          <w:jc w:val="center"/>
        </w:trPr>
        <w:tc>
          <w:tcPr>
            <w:tcW w:w="1681" w:type="dxa"/>
            <w:gridSpan w:val="3"/>
            <w:vMerge w:val="continue"/>
            <w:tcBorders>
              <w:top w:val="nil"/>
              <w:bottom w:val="nil"/>
            </w:tcBorders>
            <w:shd w:val="clear" w:color="auto" w:fill="auto"/>
            <w:noWrap w:val="0"/>
            <w:textDirection w:val="tbRlV"/>
            <w:vAlign w:val="center"/>
          </w:tcPr>
          <w:p w14:paraId="592DB239">
            <w:pPr>
              <w:pStyle w:val="19"/>
              <w:jc w:val="center"/>
              <w:rPr>
                <w:color w:val="auto"/>
              </w:rPr>
            </w:pPr>
          </w:p>
        </w:tc>
        <w:tc>
          <w:tcPr>
            <w:tcW w:w="724" w:type="dxa"/>
            <w:vMerge w:val="restart"/>
            <w:tcBorders>
              <w:bottom w:val="nil"/>
            </w:tcBorders>
            <w:shd w:val="clear" w:color="auto" w:fill="auto"/>
            <w:noWrap w:val="0"/>
            <w:vAlign w:val="center"/>
          </w:tcPr>
          <w:p w14:paraId="54ED902D">
            <w:pPr>
              <w:spacing w:before="62" w:line="220" w:lineRule="auto"/>
              <w:ind w:left="141"/>
              <w:jc w:val="center"/>
              <w:rPr>
                <w:rFonts w:ascii="宋体" w:hAnsi="宋体" w:eastAsia="宋体" w:cs="宋体"/>
                <w:color w:val="auto"/>
                <w:sz w:val="19"/>
                <w:szCs w:val="19"/>
              </w:rPr>
            </w:pPr>
            <w:r>
              <w:rPr>
                <w:rFonts w:ascii="宋体" w:hAnsi="宋体" w:eastAsia="宋体" w:cs="宋体"/>
                <w:color w:val="auto"/>
                <w:spacing w:val="-3"/>
                <w:sz w:val="19"/>
                <w:szCs w:val="19"/>
              </w:rPr>
              <w:t>效益指标</w:t>
            </w:r>
          </w:p>
          <w:p w14:paraId="46ED3BAE">
            <w:pPr>
              <w:spacing w:before="283" w:line="220" w:lineRule="auto"/>
              <w:ind w:left="241"/>
              <w:jc w:val="center"/>
              <w:rPr>
                <w:rFonts w:ascii="宋体" w:hAnsi="宋体" w:eastAsia="宋体" w:cs="宋体"/>
                <w:color w:val="auto"/>
                <w:sz w:val="19"/>
                <w:szCs w:val="19"/>
              </w:rPr>
            </w:pPr>
            <w:r>
              <w:rPr>
                <w:rFonts w:ascii="宋体" w:hAnsi="宋体" w:eastAsia="宋体" w:cs="宋体"/>
                <w:color w:val="auto"/>
                <w:spacing w:val="8"/>
                <w:sz w:val="19"/>
                <w:szCs w:val="19"/>
              </w:rPr>
              <w:t>(30分)</w:t>
            </w:r>
          </w:p>
        </w:tc>
        <w:tc>
          <w:tcPr>
            <w:tcW w:w="1019" w:type="dxa"/>
            <w:gridSpan w:val="2"/>
            <w:tcBorders>
              <w:bottom w:val="nil"/>
            </w:tcBorders>
            <w:shd w:val="clear" w:color="auto" w:fill="auto"/>
            <w:noWrap w:val="0"/>
            <w:vAlign w:val="center"/>
          </w:tcPr>
          <w:p w14:paraId="15386E27">
            <w:pPr>
              <w:spacing w:before="166" w:line="231" w:lineRule="auto"/>
              <w:ind w:left="212" w:right="235"/>
              <w:jc w:val="center"/>
              <w:rPr>
                <w:rFonts w:ascii="宋体" w:hAnsi="宋体" w:eastAsia="宋体" w:cs="宋体"/>
                <w:color w:val="auto"/>
                <w:sz w:val="19"/>
                <w:szCs w:val="19"/>
              </w:rPr>
            </w:pPr>
            <w:r>
              <w:rPr>
                <w:rFonts w:ascii="宋体" w:hAnsi="宋体" w:eastAsia="宋体" w:cs="宋体"/>
                <w:color w:val="auto"/>
                <w:spacing w:val="-3"/>
                <w:sz w:val="19"/>
                <w:szCs w:val="19"/>
              </w:rPr>
              <w:t>经济效</w:t>
            </w:r>
            <w:r>
              <w:rPr>
                <w:rFonts w:ascii="宋体" w:hAnsi="宋体" w:eastAsia="宋体" w:cs="宋体"/>
                <w:color w:val="auto"/>
                <w:sz w:val="19"/>
                <w:szCs w:val="19"/>
              </w:rPr>
              <w:t xml:space="preserve"> </w:t>
            </w:r>
            <w:r>
              <w:rPr>
                <w:rFonts w:ascii="宋体" w:hAnsi="宋体" w:eastAsia="宋体" w:cs="宋体"/>
                <w:color w:val="auto"/>
                <w:spacing w:val="-3"/>
                <w:sz w:val="19"/>
                <w:szCs w:val="19"/>
              </w:rPr>
              <w:t>益指标</w:t>
            </w:r>
          </w:p>
        </w:tc>
        <w:tc>
          <w:tcPr>
            <w:tcW w:w="1643" w:type="dxa"/>
            <w:gridSpan w:val="2"/>
            <w:shd w:val="clear" w:color="auto" w:fill="auto"/>
            <w:noWrap w:val="0"/>
            <w:vAlign w:val="center"/>
          </w:tcPr>
          <w:p w14:paraId="673052D1">
            <w:pPr>
              <w:jc w:val="center"/>
              <w:rPr>
                <w:rFonts w:ascii="仿宋" w:hAnsi="仿宋" w:eastAsia="仿宋" w:cs="仿宋"/>
                <w:color w:val="auto"/>
              </w:rPr>
            </w:pPr>
            <w:r>
              <w:rPr>
                <w:rFonts w:hint="eastAsia" w:ascii="仿宋" w:hAnsi="仿宋" w:eastAsia="仿宋" w:cs="仿宋"/>
                <w:color w:val="auto"/>
              </w:rPr>
              <w:t>提高人居生活质量</w:t>
            </w:r>
          </w:p>
          <w:p w14:paraId="70E6EF77">
            <w:pPr>
              <w:spacing w:line="240" w:lineRule="exact"/>
              <w:jc w:val="center"/>
              <w:rPr>
                <w:rFonts w:ascii="仿宋" w:hAnsi="仿宋" w:eastAsia="仿宋" w:cs="仿宋"/>
                <w:color w:val="auto"/>
              </w:rPr>
            </w:pPr>
          </w:p>
        </w:tc>
        <w:tc>
          <w:tcPr>
            <w:tcW w:w="925" w:type="dxa"/>
            <w:gridSpan w:val="2"/>
            <w:shd w:val="clear" w:color="auto" w:fill="auto"/>
            <w:noWrap w:val="0"/>
            <w:vAlign w:val="center"/>
          </w:tcPr>
          <w:p w14:paraId="33F18DCE">
            <w:pPr>
              <w:spacing w:line="240" w:lineRule="exact"/>
              <w:jc w:val="center"/>
              <w:rPr>
                <w:rFonts w:ascii="仿宋" w:hAnsi="仿宋" w:eastAsia="仿宋" w:cs="仿宋"/>
                <w:color w:val="auto"/>
              </w:rPr>
            </w:pPr>
            <w:r>
              <w:rPr>
                <w:rFonts w:hint="eastAsia" w:ascii="仿宋" w:hAnsi="仿宋" w:eastAsia="仿宋" w:cs="仿宋"/>
                <w:color w:val="auto"/>
              </w:rPr>
              <w:t>不形成负面影响</w:t>
            </w:r>
          </w:p>
        </w:tc>
        <w:tc>
          <w:tcPr>
            <w:tcW w:w="1249" w:type="dxa"/>
            <w:gridSpan w:val="2"/>
            <w:shd w:val="clear" w:color="auto" w:fill="auto"/>
            <w:noWrap w:val="0"/>
            <w:vAlign w:val="center"/>
          </w:tcPr>
          <w:p w14:paraId="2918AB9A">
            <w:pPr>
              <w:spacing w:line="240" w:lineRule="exact"/>
              <w:jc w:val="center"/>
              <w:rPr>
                <w:rFonts w:ascii="仿宋" w:hAnsi="仿宋" w:eastAsia="仿宋" w:cs="仿宋"/>
                <w:color w:val="auto"/>
              </w:rPr>
            </w:pPr>
            <w:r>
              <w:rPr>
                <w:rFonts w:hint="eastAsia" w:ascii="仿宋" w:hAnsi="仿宋" w:eastAsia="仿宋" w:cs="仿宋"/>
                <w:color w:val="auto"/>
              </w:rPr>
              <w:t>100%</w:t>
            </w:r>
          </w:p>
        </w:tc>
        <w:tc>
          <w:tcPr>
            <w:tcW w:w="719" w:type="dxa"/>
            <w:gridSpan w:val="2"/>
            <w:shd w:val="clear" w:color="auto" w:fill="auto"/>
            <w:noWrap w:val="0"/>
            <w:vAlign w:val="center"/>
          </w:tcPr>
          <w:p w14:paraId="191B8BDE">
            <w:pPr>
              <w:spacing w:line="240" w:lineRule="exact"/>
              <w:jc w:val="center"/>
              <w:rPr>
                <w:rFonts w:ascii="仿宋" w:hAnsi="仿宋" w:eastAsia="仿宋" w:cs="仿宋"/>
                <w:color w:val="auto"/>
                <w:lang w:eastAsia="zh-CN"/>
              </w:rPr>
            </w:pPr>
            <w:r>
              <w:rPr>
                <w:rFonts w:hint="eastAsia" w:ascii="仿宋" w:hAnsi="仿宋" w:eastAsia="仿宋" w:cs="仿宋"/>
                <w:color w:val="auto"/>
                <w:lang w:eastAsia="zh-CN"/>
              </w:rPr>
              <w:t>2</w:t>
            </w:r>
          </w:p>
        </w:tc>
        <w:tc>
          <w:tcPr>
            <w:tcW w:w="829" w:type="dxa"/>
            <w:gridSpan w:val="2"/>
            <w:shd w:val="clear" w:color="auto" w:fill="auto"/>
            <w:noWrap w:val="0"/>
            <w:vAlign w:val="center"/>
          </w:tcPr>
          <w:p w14:paraId="7930952C">
            <w:pPr>
              <w:spacing w:line="240" w:lineRule="exact"/>
              <w:jc w:val="center"/>
              <w:rPr>
                <w:rFonts w:ascii="仿宋" w:hAnsi="仿宋" w:eastAsia="仿宋" w:cs="仿宋"/>
                <w:color w:val="auto"/>
              </w:rPr>
            </w:pPr>
            <w:r>
              <w:rPr>
                <w:rFonts w:hint="eastAsia" w:ascii="仿宋" w:hAnsi="仿宋" w:eastAsia="仿宋" w:cs="仿宋"/>
                <w:color w:val="auto"/>
                <w:lang w:eastAsia="zh-CN"/>
              </w:rPr>
              <w:t>2</w:t>
            </w:r>
          </w:p>
        </w:tc>
        <w:tc>
          <w:tcPr>
            <w:tcW w:w="1483" w:type="dxa"/>
            <w:gridSpan w:val="2"/>
            <w:shd w:val="clear" w:color="auto" w:fill="FEFEFE"/>
            <w:noWrap w:val="0"/>
            <w:vAlign w:val="center"/>
          </w:tcPr>
          <w:p w14:paraId="086CB6BC">
            <w:pPr>
              <w:spacing w:line="240" w:lineRule="exact"/>
              <w:jc w:val="center"/>
              <w:rPr>
                <w:rFonts w:ascii="仿宋" w:hAnsi="仿宋" w:eastAsia="仿宋" w:cs="仿宋"/>
                <w:color w:val="auto"/>
              </w:rPr>
            </w:pPr>
          </w:p>
        </w:tc>
      </w:tr>
      <w:tr w14:paraId="7A94FA5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49" w:hRule="atLeast"/>
          <w:jc w:val="center"/>
        </w:trPr>
        <w:tc>
          <w:tcPr>
            <w:tcW w:w="1681" w:type="dxa"/>
            <w:gridSpan w:val="3"/>
            <w:vMerge w:val="continue"/>
            <w:tcBorders>
              <w:top w:val="nil"/>
              <w:bottom w:val="nil"/>
            </w:tcBorders>
            <w:shd w:val="clear" w:color="auto" w:fill="auto"/>
            <w:noWrap w:val="0"/>
            <w:textDirection w:val="tbRlV"/>
            <w:vAlign w:val="center"/>
          </w:tcPr>
          <w:p w14:paraId="2D700A6C">
            <w:pPr>
              <w:pStyle w:val="19"/>
              <w:jc w:val="center"/>
              <w:rPr>
                <w:color w:val="auto"/>
              </w:rPr>
            </w:pPr>
          </w:p>
        </w:tc>
        <w:tc>
          <w:tcPr>
            <w:tcW w:w="724" w:type="dxa"/>
            <w:vMerge w:val="continue"/>
            <w:tcBorders>
              <w:top w:val="nil"/>
              <w:bottom w:val="nil"/>
            </w:tcBorders>
            <w:shd w:val="clear" w:color="auto" w:fill="auto"/>
            <w:noWrap w:val="0"/>
            <w:vAlign w:val="center"/>
          </w:tcPr>
          <w:p w14:paraId="7743C38F">
            <w:pPr>
              <w:pStyle w:val="19"/>
              <w:jc w:val="center"/>
              <w:rPr>
                <w:color w:val="auto"/>
              </w:rPr>
            </w:pPr>
          </w:p>
        </w:tc>
        <w:tc>
          <w:tcPr>
            <w:tcW w:w="1019" w:type="dxa"/>
            <w:gridSpan w:val="2"/>
            <w:vMerge w:val="restart"/>
            <w:tcBorders>
              <w:bottom w:val="nil"/>
            </w:tcBorders>
            <w:shd w:val="clear" w:color="auto" w:fill="auto"/>
            <w:noWrap w:val="0"/>
            <w:vAlign w:val="center"/>
          </w:tcPr>
          <w:p w14:paraId="7E1D0A1E">
            <w:pPr>
              <w:spacing w:before="173" w:line="251" w:lineRule="auto"/>
              <w:ind w:left="212" w:right="235"/>
              <w:jc w:val="center"/>
              <w:rPr>
                <w:rFonts w:ascii="宋体" w:hAnsi="宋体" w:eastAsia="宋体" w:cs="宋体"/>
                <w:color w:val="auto"/>
                <w:sz w:val="19"/>
                <w:szCs w:val="19"/>
              </w:rPr>
            </w:pPr>
            <w:r>
              <w:rPr>
                <w:rFonts w:ascii="宋体" w:hAnsi="宋体" w:eastAsia="宋体" w:cs="宋体"/>
                <w:color w:val="auto"/>
                <w:spacing w:val="-3"/>
                <w:sz w:val="19"/>
                <w:szCs w:val="19"/>
              </w:rPr>
              <w:t>社会效</w:t>
            </w:r>
            <w:r>
              <w:rPr>
                <w:rFonts w:ascii="宋体" w:hAnsi="宋体" w:eastAsia="宋体" w:cs="宋体"/>
                <w:color w:val="auto"/>
                <w:sz w:val="19"/>
                <w:szCs w:val="19"/>
              </w:rPr>
              <w:t xml:space="preserve"> </w:t>
            </w:r>
            <w:r>
              <w:rPr>
                <w:rFonts w:ascii="宋体" w:hAnsi="宋体" w:eastAsia="宋体" w:cs="宋体"/>
                <w:color w:val="auto"/>
                <w:spacing w:val="-3"/>
                <w:sz w:val="19"/>
                <w:szCs w:val="19"/>
              </w:rPr>
              <w:t>益指标</w:t>
            </w:r>
          </w:p>
        </w:tc>
        <w:tc>
          <w:tcPr>
            <w:tcW w:w="1643" w:type="dxa"/>
            <w:gridSpan w:val="2"/>
            <w:shd w:val="clear" w:color="auto" w:fill="auto"/>
            <w:noWrap w:val="0"/>
            <w:vAlign w:val="center"/>
          </w:tcPr>
          <w:p w14:paraId="1F126012">
            <w:pPr>
              <w:spacing w:line="240" w:lineRule="exact"/>
              <w:jc w:val="center"/>
              <w:rPr>
                <w:rFonts w:ascii="仿宋" w:hAnsi="仿宋" w:eastAsia="仿宋" w:cs="仿宋"/>
                <w:color w:val="auto"/>
              </w:rPr>
            </w:pPr>
            <w:r>
              <w:rPr>
                <w:rFonts w:hint="eastAsia" w:ascii="仿宋" w:hAnsi="仿宋" w:eastAsia="仿宋" w:cs="仿宋"/>
                <w:color w:val="auto"/>
              </w:rPr>
              <w:t>1、工程质量安全形势</w:t>
            </w:r>
          </w:p>
        </w:tc>
        <w:tc>
          <w:tcPr>
            <w:tcW w:w="925" w:type="dxa"/>
            <w:gridSpan w:val="2"/>
            <w:shd w:val="clear" w:color="auto" w:fill="auto"/>
            <w:noWrap w:val="0"/>
            <w:vAlign w:val="center"/>
          </w:tcPr>
          <w:p w14:paraId="6111C94D">
            <w:pPr>
              <w:spacing w:line="240" w:lineRule="exact"/>
              <w:jc w:val="center"/>
              <w:rPr>
                <w:rFonts w:ascii="仿宋" w:hAnsi="仿宋" w:eastAsia="仿宋" w:cs="仿宋"/>
                <w:color w:val="auto"/>
              </w:rPr>
            </w:pPr>
            <w:r>
              <w:rPr>
                <w:rFonts w:hint="eastAsia" w:ascii="仿宋" w:hAnsi="仿宋" w:eastAsia="仿宋" w:cs="仿宋"/>
                <w:color w:val="auto"/>
              </w:rPr>
              <w:t>整体平稳</w:t>
            </w:r>
          </w:p>
        </w:tc>
        <w:tc>
          <w:tcPr>
            <w:tcW w:w="1249" w:type="dxa"/>
            <w:gridSpan w:val="2"/>
            <w:shd w:val="clear" w:color="auto" w:fill="auto"/>
            <w:noWrap w:val="0"/>
            <w:vAlign w:val="center"/>
          </w:tcPr>
          <w:p w14:paraId="014C503D">
            <w:pPr>
              <w:spacing w:line="240" w:lineRule="exact"/>
              <w:jc w:val="center"/>
              <w:rPr>
                <w:rFonts w:ascii="仿宋" w:hAnsi="仿宋" w:eastAsia="仿宋" w:cs="仿宋"/>
                <w:color w:val="auto"/>
              </w:rPr>
            </w:pPr>
            <w:r>
              <w:rPr>
                <w:rFonts w:hint="eastAsia" w:ascii="仿宋" w:hAnsi="仿宋" w:eastAsia="仿宋" w:cs="仿宋"/>
                <w:color w:val="auto"/>
              </w:rPr>
              <w:t>100%</w:t>
            </w:r>
          </w:p>
        </w:tc>
        <w:tc>
          <w:tcPr>
            <w:tcW w:w="719" w:type="dxa"/>
            <w:gridSpan w:val="2"/>
            <w:shd w:val="clear" w:color="auto" w:fill="auto"/>
            <w:noWrap w:val="0"/>
            <w:vAlign w:val="center"/>
          </w:tcPr>
          <w:p w14:paraId="4ABDC47B">
            <w:pPr>
              <w:spacing w:line="240" w:lineRule="exact"/>
              <w:jc w:val="center"/>
              <w:rPr>
                <w:rFonts w:ascii="仿宋" w:hAnsi="仿宋" w:eastAsia="仿宋" w:cs="仿宋"/>
                <w:color w:val="auto"/>
                <w:lang w:eastAsia="zh-CN"/>
              </w:rPr>
            </w:pPr>
            <w:r>
              <w:rPr>
                <w:rFonts w:hint="eastAsia" w:ascii="仿宋" w:hAnsi="仿宋" w:eastAsia="仿宋" w:cs="仿宋"/>
                <w:color w:val="auto"/>
                <w:lang w:eastAsia="zh-CN"/>
              </w:rPr>
              <w:t>3</w:t>
            </w:r>
          </w:p>
        </w:tc>
        <w:tc>
          <w:tcPr>
            <w:tcW w:w="829" w:type="dxa"/>
            <w:gridSpan w:val="2"/>
            <w:shd w:val="clear" w:color="auto" w:fill="auto"/>
            <w:noWrap w:val="0"/>
            <w:vAlign w:val="center"/>
          </w:tcPr>
          <w:p w14:paraId="51393221">
            <w:pPr>
              <w:spacing w:line="240" w:lineRule="exact"/>
              <w:jc w:val="center"/>
              <w:rPr>
                <w:rFonts w:ascii="仿宋" w:hAnsi="仿宋" w:eastAsia="仿宋" w:cs="仿宋"/>
                <w:color w:val="auto"/>
              </w:rPr>
            </w:pPr>
            <w:r>
              <w:rPr>
                <w:rFonts w:hint="eastAsia" w:ascii="仿宋" w:hAnsi="仿宋" w:eastAsia="仿宋" w:cs="仿宋"/>
                <w:color w:val="auto"/>
                <w:lang w:eastAsia="zh-CN"/>
              </w:rPr>
              <w:t>3</w:t>
            </w:r>
          </w:p>
        </w:tc>
        <w:tc>
          <w:tcPr>
            <w:tcW w:w="1483" w:type="dxa"/>
            <w:gridSpan w:val="2"/>
            <w:noWrap w:val="0"/>
            <w:vAlign w:val="center"/>
          </w:tcPr>
          <w:p w14:paraId="52DB52BD">
            <w:pPr>
              <w:pStyle w:val="19"/>
              <w:spacing w:line="239" w:lineRule="exact"/>
              <w:jc w:val="center"/>
              <w:rPr>
                <w:color w:val="auto"/>
                <w:sz w:val="20"/>
              </w:rPr>
            </w:pPr>
          </w:p>
        </w:tc>
      </w:tr>
      <w:tr w14:paraId="5D4185C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8" w:hRule="atLeast"/>
          <w:jc w:val="center"/>
        </w:trPr>
        <w:tc>
          <w:tcPr>
            <w:tcW w:w="1681" w:type="dxa"/>
            <w:gridSpan w:val="3"/>
            <w:vMerge w:val="continue"/>
            <w:tcBorders>
              <w:top w:val="nil"/>
              <w:bottom w:val="nil"/>
            </w:tcBorders>
            <w:shd w:val="clear" w:color="auto" w:fill="auto"/>
            <w:noWrap w:val="0"/>
            <w:textDirection w:val="tbRlV"/>
            <w:vAlign w:val="center"/>
          </w:tcPr>
          <w:p w14:paraId="06E78742">
            <w:pPr>
              <w:pStyle w:val="19"/>
              <w:jc w:val="center"/>
              <w:rPr>
                <w:color w:val="auto"/>
              </w:rPr>
            </w:pPr>
          </w:p>
        </w:tc>
        <w:tc>
          <w:tcPr>
            <w:tcW w:w="724" w:type="dxa"/>
            <w:vMerge w:val="continue"/>
            <w:tcBorders>
              <w:top w:val="nil"/>
              <w:bottom w:val="nil"/>
            </w:tcBorders>
            <w:shd w:val="clear" w:color="auto" w:fill="auto"/>
            <w:noWrap w:val="0"/>
            <w:vAlign w:val="center"/>
          </w:tcPr>
          <w:p w14:paraId="712D63AB">
            <w:pPr>
              <w:pStyle w:val="19"/>
              <w:jc w:val="center"/>
              <w:rPr>
                <w:color w:val="auto"/>
              </w:rPr>
            </w:pPr>
          </w:p>
        </w:tc>
        <w:tc>
          <w:tcPr>
            <w:tcW w:w="1019" w:type="dxa"/>
            <w:gridSpan w:val="2"/>
            <w:vMerge w:val="continue"/>
            <w:tcBorders>
              <w:top w:val="nil"/>
              <w:bottom w:val="nil"/>
            </w:tcBorders>
            <w:shd w:val="clear" w:color="auto" w:fill="auto"/>
            <w:noWrap w:val="0"/>
            <w:vAlign w:val="center"/>
          </w:tcPr>
          <w:p w14:paraId="68680247">
            <w:pPr>
              <w:pStyle w:val="19"/>
              <w:jc w:val="center"/>
              <w:rPr>
                <w:color w:val="auto"/>
              </w:rPr>
            </w:pPr>
          </w:p>
        </w:tc>
        <w:tc>
          <w:tcPr>
            <w:tcW w:w="1643" w:type="dxa"/>
            <w:gridSpan w:val="2"/>
            <w:shd w:val="clear" w:color="auto" w:fill="auto"/>
            <w:noWrap w:val="0"/>
            <w:vAlign w:val="center"/>
          </w:tcPr>
          <w:p w14:paraId="0B453894">
            <w:pPr>
              <w:spacing w:line="239" w:lineRule="exact"/>
              <w:jc w:val="center"/>
              <w:rPr>
                <w:rFonts w:ascii="仿宋" w:hAnsi="仿宋" w:eastAsia="仿宋" w:cs="仿宋"/>
                <w:color w:val="auto"/>
                <w:lang w:eastAsia="zh-CN"/>
              </w:rPr>
            </w:pPr>
            <w:r>
              <w:rPr>
                <w:rFonts w:hint="eastAsia" w:ascii="仿宋" w:hAnsi="仿宋" w:eastAsia="仿宋" w:cs="仿宋"/>
                <w:color w:val="auto"/>
                <w:lang w:eastAsia="zh-CN"/>
              </w:rPr>
              <w:t>2、群众对建设质量安全的认识</w:t>
            </w:r>
          </w:p>
        </w:tc>
        <w:tc>
          <w:tcPr>
            <w:tcW w:w="925" w:type="dxa"/>
            <w:gridSpan w:val="2"/>
            <w:shd w:val="clear" w:color="auto" w:fill="auto"/>
            <w:noWrap w:val="0"/>
            <w:vAlign w:val="center"/>
          </w:tcPr>
          <w:p w14:paraId="57EEC396">
            <w:pPr>
              <w:spacing w:line="239" w:lineRule="exact"/>
              <w:jc w:val="center"/>
              <w:rPr>
                <w:rFonts w:ascii="仿宋" w:hAnsi="仿宋" w:eastAsia="仿宋" w:cs="仿宋"/>
                <w:color w:val="auto"/>
                <w:lang w:eastAsia="zh-CN"/>
              </w:rPr>
            </w:pPr>
            <w:r>
              <w:rPr>
                <w:rFonts w:hint="eastAsia" w:ascii="仿宋" w:hAnsi="仿宋" w:eastAsia="仿宋" w:cs="仿宋"/>
                <w:color w:val="auto"/>
                <w:lang w:eastAsia="zh-CN"/>
              </w:rPr>
              <w:t>让质量安全更加深入人心</w:t>
            </w:r>
          </w:p>
        </w:tc>
        <w:tc>
          <w:tcPr>
            <w:tcW w:w="1249" w:type="dxa"/>
            <w:gridSpan w:val="2"/>
            <w:shd w:val="clear" w:color="auto" w:fill="auto"/>
            <w:noWrap w:val="0"/>
            <w:vAlign w:val="center"/>
          </w:tcPr>
          <w:p w14:paraId="1F1B200A">
            <w:pPr>
              <w:spacing w:line="239" w:lineRule="exact"/>
              <w:jc w:val="center"/>
              <w:rPr>
                <w:rFonts w:ascii="仿宋" w:hAnsi="仿宋" w:eastAsia="仿宋" w:cs="仿宋"/>
                <w:color w:val="auto"/>
              </w:rPr>
            </w:pPr>
            <w:r>
              <w:rPr>
                <w:rFonts w:hint="eastAsia" w:ascii="仿宋" w:hAnsi="仿宋" w:eastAsia="仿宋" w:cs="仿宋"/>
                <w:color w:val="auto"/>
              </w:rPr>
              <w:t>100%</w:t>
            </w:r>
          </w:p>
        </w:tc>
        <w:tc>
          <w:tcPr>
            <w:tcW w:w="719" w:type="dxa"/>
            <w:gridSpan w:val="2"/>
            <w:shd w:val="clear" w:color="auto" w:fill="auto"/>
            <w:noWrap w:val="0"/>
            <w:vAlign w:val="center"/>
          </w:tcPr>
          <w:p w14:paraId="3550F720">
            <w:pPr>
              <w:spacing w:line="239" w:lineRule="exact"/>
              <w:jc w:val="center"/>
              <w:rPr>
                <w:rFonts w:ascii="仿宋" w:hAnsi="仿宋" w:eastAsia="仿宋" w:cs="仿宋"/>
                <w:color w:val="auto"/>
                <w:lang w:eastAsia="zh-CN"/>
              </w:rPr>
            </w:pPr>
            <w:r>
              <w:rPr>
                <w:rFonts w:hint="eastAsia" w:ascii="仿宋" w:hAnsi="仿宋" w:eastAsia="仿宋" w:cs="仿宋"/>
                <w:color w:val="auto"/>
                <w:lang w:eastAsia="zh-CN"/>
              </w:rPr>
              <w:t>3</w:t>
            </w:r>
          </w:p>
        </w:tc>
        <w:tc>
          <w:tcPr>
            <w:tcW w:w="829" w:type="dxa"/>
            <w:gridSpan w:val="2"/>
            <w:shd w:val="clear" w:color="auto" w:fill="auto"/>
            <w:noWrap w:val="0"/>
            <w:vAlign w:val="center"/>
          </w:tcPr>
          <w:p w14:paraId="4EF599EC">
            <w:pPr>
              <w:spacing w:line="239" w:lineRule="exact"/>
              <w:jc w:val="center"/>
              <w:rPr>
                <w:rFonts w:ascii="仿宋" w:hAnsi="仿宋" w:eastAsia="仿宋" w:cs="仿宋"/>
                <w:color w:val="auto"/>
                <w:lang w:eastAsia="zh-CN"/>
              </w:rPr>
            </w:pPr>
            <w:r>
              <w:rPr>
                <w:rFonts w:hint="eastAsia" w:ascii="仿宋" w:hAnsi="仿宋" w:eastAsia="仿宋" w:cs="仿宋"/>
                <w:color w:val="auto"/>
                <w:lang w:eastAsia="zh-CN"/>
              </w:rPr>
              <w:t>3</w:t>
            </w:r>
          </w:p>
        </w:tc>
        <w:tc>
          <w:tcPr>
            <w:tcW w:w="1483" w:type="dxa"/>
            <w:gridSpan w:val="2"/>
            <w:noWrap w:val="0"/>
            <w:vAlign w:val="center"/>
          </w:tcPr>
          <w:p w14:paraId="47E966EE">
            <w:pPr>
              <w:pStyle w:val="19"/>
              <w:spacing w:line="230" w:lineRule="exact"/>
              <w:jc w:val="center"/>
              <w:rPr>
                <w:color w:val="auto"/>
                <w:sz w:val="20"/>
              </w:rPr>
            </w:pPr>
          </w:p>
        </w:tc>
      </w:tr>
      <w:tr w14:paraId="166B7D8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0" w:hRule="atLeast"/>
          <w:jc w:val="center"/>
        </w:trPr>
        <w:tc>
          <w:tcPr>
            <w:tcW w:w="1681" w:type="dxa"/>
            <w:gridSpan w:val="3"/>
            <w:vMerge w:val="continue"/>
            <w:tcBorders>
              <w:top w:val="nil"/>
              <w:bottom w:val="nil"/>
            </w:tcBorders>
            <w:shd w:val="clear" w:color="auto" w:fill="auto"/>
            <w:noWrap w:val="0"/>
            <w:textDirection w:val="tbRlV"/>
            <w:vAlign w:val="center"/>
          </w:tcPr>
          <w:p w14:paraId="57E04940">
            <w:pPr>
              <w:pStyle w:val="19"/>
              <w:jc w:val="center"/>
              <w:rPr>
                <w:color w:val="auto"/>
              </w:rPr>
            </w:pPr>
          </w:p>
        </w:tc>
        <w:tc>
          <w:tcPr>
            <w:tcW w:w="724" w:type="dxa"/>
            <w:vMerge w:val="continue"/>
            <w:tcBorders>
              <w:top w:val="nil"/>
              <w:bottom w:val="nil"/>
            </w:tcBorders>
            <w:shd w:val="clear" w:color="auto" w:fill="auto"/>
            <w:noWrap w:val="0"/>
            <w:vAlign w:val="center"/>
          </w:tcPr>
          <w:p w14:paraId="57E2F2C9">
            <w:pPr>
              <w:pStyle w:val="19"/>
              <w:jc w:val="center"/>
              <w:rPr>
                <w:color w:val="auto"/>
              </w:rPr>
            </w:pPr>
          </w:p>
        </w:tc>
        <w:tc>
          <w:tcPr>
            <w:tcW w:w="1019" w:type="dxa"/>
            <w:gridSpan w:val="2"/>
            <w:vMerge w:val="continue"/>
            <w:tcBorders>
              <w:top w:val="nil"/>
            </w:tcBorders>
            <w:shd w:val="clear" w:color="auto" w:fill="auto"/>
            <w:noWrap w:val="0"/>
            <w:vAlign w:val="center"/>
          </w:tcPr>
          <w:p w14:paraId="32512E3B">
            <w:pPr>
              <w:pStyle w:val="19"/>
              <w:jc w:val="center"/>
              <w:rPr>
                <w:color w:val="auto"/>
              </w:rPr>
            </w:pPr>
          </w:p>
        </w:tc>
        <w:tc>
          <w:tcPr>
            <w:tcW w:w="1643" w:type="dxa"/>
            <w:gridSpan w:val="2"/>
            <w:shd w:val="clear" w:color="auto" w:fill="auto"/>
            <w:noWrap w:val="0"/>
            <w:vAlign w:val="center"/>
          </w:tcPr>
          <w:p w14:paraId="4630438D">
            <w:pPr>
              <w:jc w:val="center"/>
              <w:rPr>
                <w:rFonts w:ascii="仿宋" w:hAnsi="仿宋" w:eastAsia="仿宋" w:cs="仿宋"/>
                <w:color w:val="auto"/>
                <w:lang w:eastAsia="zh-CN"/>
              </w:rPr>
            </w:pPr>
            <w:r>
              <w:rPr>
                <w:rFonts w:hint="eastAsia" w:ascii="仿宋" w:hAnsi="仿宋" w:eastAsia="仿宋" w:cs="仿宋"/>
                <w:color w:val="auto"/>
                <w:lang w:eastAsia="zh-CN"/>
              </w:rPr>
              <w:t>3、优化、简化监督注册流程</w:t>
            </w:r>
          </w:p>
        </w:tc>
        <w:tc>
          <w:tcPr>
            <w:tcW w:w="925" w:type="dxa"/>
            <w:gridSpan w:val="2"/>
            <w:shd w:val="clear" w:color="auto" w:fill="auto"/>
            <w:noWrap w:val="0"/>
            <w:vAlign w:val="center"/>
          </w:tcPr>
          <w:p w14:paraId="70CE0E0E">
            <w:pPr>
              <w:jc w:val="center"/>
              <w:rPr>
                <w:rFonts w:ascii="仿宋" w:hAnsi="仿宋" w:eastAsia="仿宋" w:cs="仿宋"/>
                <w:color w:val="auto"/>
              </w:rPr>
            </w:pPr>
            <w:r>
              <w:rPr>
                <w:rFonts w:hint="eastAsia" w:ascii="仿宋" w:hAnsi="仿宋" w:eastAsia="仿宋" w:cs="仿宋"/>
                <w:color w:val="auto"/>
              </w:rPr>
              <w:t>让群众省心省力</w:t>
            </w:r>
          </w:p>
        </w:tc>
        <w:tc>
          <w:tcPr>
            <w:tcW w:w="1249" w:type="dxa"/>
            <w:gridSpan w:val="2"/>
            <w:shd w:val="clear" w:color="auto" w:fill="auto"/>
            <w:noWrap w:val="0"/>
            <w:vAlign w:val="center"/>
          </w:tcPr>
          <w:p w14:paraId="4F76834E">
            <w:pPr>
              <w:jc w:val="center"/>
              <w:rPr>
                <w:rFonts w:ascii="仿宋" w:hAnsi="仿宋" w:eastAsia="仿宋" w:cs="仿宋"/>
                <w:color w:val="auto"/>
              </w:rPr>
            </w:pPr>
            <w:r>
              <w:rPr>
                <w:rFonts w:hint="eastAsia" w:ascii="仿宋" w:hAnsi="仿宋" w:eastAsia="仿宋" w:cs="仿宋"/>
                <w:color w:val="auto"/>
              </w:rPr>
              <w:t>100%</w:t>
            </w:r>
          </w:p>
        </w:tc>
        <w:tc>
          <w:tcPr>
            <w:tcW w:w="719" w:type="dxa"/>
            <w:gridSpan w:val="2"/>
            <w:shd w:val="clear" w:color="auto" w:fill="auto"/>
            <w:noWrap w:val="0"/>
            <w:vAlign w:val="center"/>
          </w:tcPr>
          <w:p w14:paraId="6408E385">
            <w:pPr>
              <w:jc w:val="center"/>
              <w:rPr>
                <w:rFonts w:ascii="仿宋" w:hAnsi="仿宋" w:eastAsia="仿宋" w:cs="仿宋"/>
                <w:color w:val="auto"/>
                <w:lang w:eastAsia="zh-CN"/>
              </w:rPr>
            </w:pPr>
            <w:r>
              <w:rPr>
                <w:rFonts w:hint="eastAsia" w:ascii="仿宋" w:hAnsi="仿宋" w:eastAsia="仿宋" w:cs="仿宋"/>
                <w:color w:val="auto"/>
                <w:lang w:eastAsia="zh-CN"/>
              </w:rPr>
              <w:t>2</w:t>
            </w:r>
          </w:p>
        </w:tc>
        <w:tc>
          <w:tcPr>
            <w:tcW w:w="829" w:type="dxa"/>
            <w:gridSpan w:val="2"/>
            <w:shd w:val="clear" w:color="auto" w:fill="auto"/>
            <w:noWrap w:val="0"/>
            <w:vAlign w:val="center"/>
          </w:tcPr>
          <w:p w14:paraId="39773E26">
            <w:pPr>
              <w:jc w:val="center"/>
              <w:rPr>
                <w:rFonts w:ascii="仿宋" w:hAnsi="仿宋" w:eastAsia="仿宋" w:cs="仿宋"/>
                <w:color w:val="auto"/>
                <w:lang w:eastAsia="zh-CN"/>
              </w:rPr>
            </w:pPr>
            <w:r>
              <w:rPr>
                <w:rFonts w:hint="eastAsia" w:ascii="仿宋" w:hAnsi="仿宋" w:eastAsia="仿宋" w:cs="仿宋"/>
                <w:color w:val="auto"/>
                <w:lang w:eastAsia="zh-CN"/>
              </w:rPr>
              <w:t>2</w:t>
            </w:r>
          </w:p>
        </w:tc>
        <w:tc>
          <w:tcPr>
            <w:tcW w:w="1483" w:type="dxa"/>
            <w:gridSpan w:val="2"/>
            <w:noWrap w:val="0"/>
            <w:vAlign w:val="center"/>
          </w:tcPr>
          <w:p w14:paraId="3BBFC2CF">
            <w:pPr>
              <w:pStyle w:val="19"/>
              <w:spacing w:line="230" w:lineRule="exact"/>
              <w:jc w:val="center"/>
              <w:rPr>
                <w:color w:val="auto"/>
                <w:sz w:val="20"/>
              </w:rPr>
            </w:pPr>
          </w:p>
        </w:tc>
      </w:tr>
      <w:tr w14:paraId="22B73F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40" w:hRule="atLeast"/>
          <w:jc w:val="center"/>
        </w:trPr>
        <w:tc>
          <w:tcPr>
            <w:tcW w:w="1681" w:type="dxa"/>
            <w:gridSpan w:val="3"/>
            <w:vMerge w:val="continue"/>
            <w:tcBorders>
              <w:top w:val="nil"/>
              <w:bottom w:val="nil"/>
            </w:tcBorders>
            <w:shd w:val="clear" w:color="auto" w:fill="auto"/>
            <w:noWrap w:val="0"/>
            <w:textDirection w:val="tbRlV"/>
            <w:vAlign w:val="center"/>
          </w:tcPr>
          <w:p w14:paraId="3BA245B4">
            <w:pPr>
              <w:pStyle w:val="19"/>
              <w:jc w:val="center"/>
              <w:rPr>
                <w:color w:val="auto"/>
              </w:rPr>
            </w:pPr>
          </w:p>
        </w:tc>
        <w:tc>
          <w:tcPr>
            <w:tcW w:w="724" w:type="dxa"/>
            <w:vMerge w:val="continue"/>
            <w:tcBorders>
              <w:top w:val="nil"/>
              <w:bottom w:val="nil"/>
            </w:tcBorders>
            <w:shd w:val="clear" w:color="auto" w:fill="auto"/>
            <w:noWrap w:val="0"/>
            <w:vAlign w:val="center"/>
          </w:tcPr>
          <w:p w14:paraId="1F2F095C">
            <w:pPr>
              <w:pStyle w:val="19"/>
              <w:jc w:val="center"/>
              <w:rPr>
                <w:color w:val="auto"/>
              </w:rPr>
            </w:pPr>
          </w:p>
        </w:tc>
        <w:tc>
          <w:tcPr>
            <w:tcW w:w="1019" w:type="dxa"/>
            <w:gridSpan w:val="2"/>
            <w:vMerge w:val="restart"/>
            <w:tcBorders>
              <w:top w:val="nil"/>
            </w:tcBorders>
            <w:shd w:val="clear" w:color="auto" w:fill="auto"/>
            <w:noWrap w:val="0"/>
            <w:vAlign w:val="center"/>
          </w:tcPr>
          <w:p w14:paraId="24FB8367">
            <w:pPr>
              <w:pStyle w:val="19"/>
              <w:jc w:val="center"/>
              <w:rPr>
                <w:color w:val="auto"/>
              </w:rPr>
            </w:pPr>
          </w:p>
        </w:tc>
        <w:tc>
          <w:tcPr>
            <w:tcW w:w="1643" w:type="dxa"/>
            <w:gridSpan w:val="2"/>
            <w:shd w:val="clear" w:color="auto" w:fill="auto"/>
            <w:noWrap w:val="0"/>
            <w:vAlign w:val="center"/>
          </w:tcPr>
          <w:p w14:paraId="281BA530">
            <w:pPr>
              <w:jc w:val="center"/>
              <w:rPr>
                <w:rFonts w:hint="eastAsia" w:ascii="仿宋" w:hAnsi="仿宋" w:eastAsia="仿宋" w:cs="仿宋"/>
                <w:color w:val="auto"/>
                <w:lang w:eastAsia="zh-CN"/>
              </w:rPr>
            </w:pPr>
            <w:r>
              <w:rPr>
                <w:rFonts w:ascii="仿宋" w:hAnsi="仿宋" w:eastAsia="仿宋" w:cs="仿宋"/>
                <w:color w:val="auto"/>
                <w:lang w:eastAsia="zh-CN"/>
              </w:rPr>
              <w:t>4</w:t>
            </w:r>
            <w:r>
              <w:rPr>
                <w:rFonts w:hint="eastAsia" w:ascii="仿宋" w:hAnsi="仿宋" w:eastAsia="仿宋" w:cs="仿宋"/>
                <w:color w:val="auto"/>
                <w:lang w:eastAsia="zh-CN"/>
              </w:rPr>
              <w:t>、承接市委市政府指示的重要工作，加强整治</w:t>
            </w:r>
          </w:p>
        </w:tc>
        <w:tc>
          <w:tcPr>
            <w:tcW w:w="925" w:type="dxa"/>
            <w:gridSpan w:val="2"/>
            <w:shd w:val="clear" w:color="auto" w:fill="auto"/>
            <w:noWrap w:val="0"/>
            <w:vAlign w:val="center"/>
          </w:tcPr>
          <w:p w14:paraId="2B3C7064">
            <w:pPr>
              <w:jc w:val="center"/>
              <w:rPr>
                <w:rFonts w:hint="eastAsia" w:ascii="仿宋" w:hAnsi="仿宋" w:eastAsia="仿宋" w:cs="仿宋"/>
                <w:color w:val="auto"/>
                <w:lang w:eastAsia="zh-CN"/>
              </w:rPr>
            </w:pPr>
            <w:r>
              <w:rPr>
                <w:rFonts w:hint="eastAsia" w:ascii="仿宋" w:hAnsi="仿宋" w:eastAsia="仿宋" w:cs="仿宋"/>
                <w:color w:val="auto"/>
                <w:lang w:eastAsia="zh-CN"/>
              </w:rPr>
              <w:t>助力建设岳阳大城市新格局</w:t>
            </w:r>
          </w:p>
        </w:tc>
        <w:tc>
          <w:tcPr>
            <w:tcW w:w="1249" w:type="dxa"/>
            <w:gridSpan w:val="2"/>
            <w:shd w:val="clear" w:color="auto" w:fill="auto"/>
            <w:noWrap w:val="0"/>
            <w:vAlign w:val="center"/>
          </w:tcPr>
          <w:p w14:paraId="4B8977D2">
            <w:pPr>
              <w:jc w:val="center"/>
              <w:rPr>
                <w:rFonts w:hint="eastAsia" w:ascii="仿宋" w:hAnsi="仿宋" w:eastAsia="仿宋" w:cs="仿宋"/>
                <w:color w:val="auto"/>
                <w:lang w:eastAsia="zh-CN"/>
              </w:rPr>
            </w:pPr>
            <w:r>
              <w:rPr>
                <w:rFonts w:hint="eastAsia" w:ascii="仿宋" w:hAnsi="仿宋" w:eastAsia="仿宋" w:cs="仿宋"/>
                <w:color w:val="auto"/>
                <w:lang w:eastAsia="zh-CN"/>
              </w:rPr>
              <w:t>100%</w:t>
            </w:r>
          </w:p>
        </w:tc>
        <w:tc>
          <w:tcPr>
            <w:tcW w:w="719" w:type="dxa"/>
            <w:gridSpan w:val="2"/>
            <w:shd w:val="clear" w:color="auto" w:fill="auto"/>
            <w:noWrap w:val="0"/>
            <w:vAlign w:val="center"/>
          </w:tcPr>
          <w:p w14:paraId="648EF1D6">
            <w:pPr>
              <w:jc w:val="center"/>
              <w:rPr>
                <w:rFonts w:hint="eastAsia" w:ascii="仿宋" w:hAnsi="仿宋" w:eastAsia="仿宋" w:cs="仿宋"/>
                <w:color w:val="auto"/>
                <w:lang w:eastAsia="zh-CN"/>
              </w:rPr>
            </w:pPr>
            <w:r>
              <w:rPr>
                <w:rFonts w:hint="eastAsia" w:ascii="仿宋" w:hAnsi="仿宋" w:eastAsia="仿宋" w:cs="仿宋"/>
                <w:color w:val="auto"/>
                <w:lang w:eastAsia="zh-CN"/>
              </w:rPr>
              <w:t>3</w:t>
            </w:r>
          </w:p>
        </w:tc>
        <w:tc>
          <w:tcPr>
            <w:tcW w:w="829" w:type="dxa"/>
            <w:gridSpan w:val="2"/>
            <w:shd w:val="clear" w:color="auto" w:fill="auto"/>
            <w:noWrap w:val="0"/>
            <w:vAlign w:val="center"/>
          </w:tcPr>
          <w:p w14:paraId="2EAA05B1">
            <w:pPr>
              <w:jc w:val="center"/>
              <w:rPr>
                <w:rFonts w:hint="eastAsia" w:ascii="仿宋" w:hAnsi="仿宋" w:eastAsia="仿宋" w:cs="仿宋"/>
                <w:color w:val="auto"/>
                <w:lang w:eastAsia="zh-CN"/>
              </w:rPr>
            </w:pPr>
            <w:r>
              <w:rPr>
                <w:rFonts w:hint="eastAsia" w:ascii="仿宋" w:hAnsi="仿宋" w:eastAsia="仿宋" w:cs="仿宋"/>
                <w:color w:val="auto"/>
                <w:lang w:eastAsia="zh-CN"/>
              </w:rPr>
              <w:t>3</w:t>
            </w:r>
          </w:p>
        </w:tc>
        <w:tc>
          <w:tcPr>
            <w:tcW w:w="1483" w:type="dxa"/>
            <w:gridSpan w:val="2"/>
            <w:noWrap w:val="0"/>
            <w:vAlign w:val="center"/>
          </w:tcPr>
          <w:p w14:paraId="78427469">
            <w:pPr>
              <w:pStyle w:val="19"/>
              <w:spacing w:line="230" w:lineRule="exact"/>
              <w:jc w:val="center"/>
              <w:rPr>
                <w:color w:val="auto"/>
                <w:sz w:val="20"/>
                <w:lang w:eastAsia="zh-CN"/>
              </w:rPr>
            </w:pPr>
          </w:p>
        </w:tc>
      </w:tr>
      <w:tr w14:paraId="0F74E0B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40" w:hRule="atLeast"/>
          <w:jc w:val="center"/>
        </w:trPr>
        <w:tc>
          <w:tcPr>
            <w:tcW w:w="1681" w:type="dxa"/>
            <w:gridSpan w:val="3"/>
            <w:vMerge w:val="continue"/>
            <w:tcBorders>
              <w:top w:val="nil"/>
              <w:bottom w:val="nil"/>
            </w:tcBorders>
            <w:shd w:val="clear" w:color="auto" w:fill="auto"/>
            <w:noWrap w:val="0"/>
            <w:textDirection w:val="tbRlV"/>
            <w:vAlign w:val="center"/>
          </w:tcPr>
          <w:p w14:paraId="11374A1E">
            <w:pPr>
              <w:pStyle w:val="19"/>
              <w:jc w:val="center"/>
              <w:rPr>
                <w:color w:val="auto"/>
              </w:rPr>
            </w:pPr>
          </w:p>
        </w:tc>
        <w:tc>
          <w:tcPr>
            <w:tcW w:w="724" w:type="dxa"/>
            <w:vMerge w:val="continue"/>
            <w:tcBorders>
              <w:top w:val="nil"/>
              <w:bottom w:val="nil"/>
            </w:tcBorders>
            <w:shd w:val="clear" w:color="auto" w:fill="auto"/>
            <w:noWrap w:val="0"/>
            <w:vAlign w:val="center"/>
          </w:tcPr>
          <w:p w14:paraId="636BF3F3">
            <w:pPr>
              <w:pStyle w:val="19"/>
              <w:jc w:val="center"/>
              <w:rPr>
                <w:color w:val="auto"/>
              </w:rPr>
            </w:pPr>
          </w:p>
        </w:tc>
        <w:tc>
          <w:tcPr>
            <w:tcW w:w="1019" w:type="dxa"/>
            <w:gridSpan w:val="2"/>
            <w:vMerge w:val="continue"/>
            <w:shd w:val="clear" w:color="auto" w:fill="auto"/>
            <w:noWrap w:val="0"/>
            <w:vAlign w:val="center"/>
          </w:tcPr>
          <w:p w14:paraId="7117BE8A">
            <w:pPr>
              <w:pStyle w:val="19"/>
              <w:jc w:val="center"/>
              <w:rPr>
                <w:color w:val="auto"/>
              </w:rPr>
            </w:pPr>
          </w:p>
        </w:tc>
        <w:tc>
          <w:tcPr>
            <w:tcW w:w="1643" w:type="dxa"/>
            <w:gridSpan w:val="2"/>
            <w:shd w:val="clear" w:color="auto" w:fill="auto"/>
            <w:noWrap w:val="0"/>
            <w:vAlign w:val="center"/>
          </w:tcPr>
          <w:p w14:paraId="565FA34B">
            <w:pPr>
              <w:jc w:val="center"/>
              <w:rPr>
                <w:rFonts w:ascii="仿宋" w:hAnsi="仿宋" w:eastAsia="仿宋" w:cs="仿宋"/>
                <w:color w:val="auto"/>
                <w:lang w:eastAsia="zh-CN"/>
              </w:rPr>
            </w:pPr>
            <w:r>
              <w:rPr>
                <w:rFonts w:ascii="仿宋" w:hAnsi="仿宋" w:eastAsia="仿宋" w:cs="仿宋"/>
                <w:color w:val="auto"/>
                <w:lang w:eastAsia="zh-CN"/>
              </w:rPr>
              <w:t>5</w:t>
            </w:r>
            <w:r>
              <w:rPr>
                <w:rFonts w:hint="eastAsia" w:ascii="仿宋" w:hAnsi="仿宋" w:eastAsia="仿宋" w:cs="仿宋"/>
                <w:color w:val="auto"/>
                <w:lang w:eastAsia="zh-CN"/>
              </w:rPr>
              <w:t>、提高群众消防意识</w:t>
            </w:r>
          </w:p>
        </w:tc>
        <w:tc>
          <w:tcPr>
            <w:tcW w:w="925" w:type="dxa"/>
            <w:gridSpan w:val="2"/>
            <w:shd w:val="clear" w:color="auto" w:fill="auto"/>
            <w:noWrap w:val="0"/>
            <w:vAlign w:val="center"/>
          </w:tcPr>
          <w:p w14:paraId="281006BE">
            <w:pPr>
              <w:jc w:val="center"/>
              <w:rPr>
                <w:rFonts w:hint="eastAsia" w:ascii="仿宋" w:hAnsi="仿宋" w:eastAsia="仿宋" w:cs="仿宋"/>
                <w:color w:val="auto"/>
                <w:lang w:eastAsia="zh-CN"/>
              </w:rPr>
            </w:pPr>
            <w:r>
              <w:rPr>
                <w:rFonts w:hint="eastAsia" w:ascii="仿宋" w:hAnsi="仿宋" w:eastAsia="仿宋" w:cs="仿宋"/>
                <w:color w:val="auto"/>
                <w:lang w:eastAsia="zh-CN"/>
              </w:rPr>
              <w:t>社会效益好</w:t>
            </w:r>
          </w:p>
        </w:tc>
        <w:tc>
          <w:tcPr>
            <w:tcW w:w="1249" w:type="dxa"/>
            <w:gridSpan w:val="2"/>
            <w:shd w:val="clear" w:color="auto" w:fill="auto"/>
            <w:noWrap w:val="0"/>
            <w:vAlign w:val="center"/>
          </w:tcPr>
          <w:p w14:paraId="3A75D0FD">
            <w:pPr>
              <w:jc w:val="center"/>
              <w:rPr>
                <w:rFonts w:hint="eastAsia" w:ascii="仿宋" w:hAnsi="仿宋" w:eastAsia="仿宋" w:cs="仿宋"/>
                <w:color w:val="auto"/>
                <w:lang w:eastAsia="zh-CN"/>
              </w:rPr>
            </w:pPr>
            <w:r>
              <w:rPr>
                <w:rFonts w:hint="eastAsia" w:ascii="仿宋" w:hAnsi="仿宋" w:eastAsia="仿宋" w:cs="仿宋"/>
                <w:color w:val="auto"/>
              </w:rPr>
              <w:t>100%</w:t>
            </w:r>
          </w:p>
        </w:tc>
        <w:tc>
          <w:tcPr>
            <w:tcW w:w="719" w:type="dxa"/>
            <w:gridSpan w:val="2"/>
            <w:shd w:val="clear" w:color="auto" w:fill="auto"/>
            <w:noWrap w:val="0"/>
            <w:vAlign w:val="center"/>
          </w:tcPr>
          <w:p w14:paraId="46545D31">
            <w:pPr>
              <w:jc w:val="center"/>
              <w:rPr>
                <w:rFonts w:hint="eastAsia" w:ascii="仿宋" w:hAnsi="仿宋" w:eastAsia="仿宋" w:cs="仿宋"/>
                <w:color w:val="auto"/>
                <w:lang w:eastAsia="zh-CN"/>
              </w:rPr>
            </w:pPr>
            <w:r>
              <w:rPr>
                <w:rFonts w:hint="eastAsia" w:ascii="仿宋" w:hAnsi="仿宋" w:eastAsia="仿宋" w:cs="仿宋"/>
                <w:color w:val="auto"/>
                <w:lang w:eastAsia="zh-CN"/>
              </w:rPr>
              <w:t>3</w:t>
            </w:r>
          </w:p>
        </w:tc>
        <w:tc>
          <w:tcPr>
            <w:tcW w:w="829" w:type="dxa"/>
            <w:gridSpan w:val="2"/>
            <w:shd w:val="clear" w:color="auto" w:fill="auto"/>
            <w:noWrap w:val="0"/>
            <w:vAlign w:val="center"/>
          </w:tcPr>
          <w:p w14:paraId="47276545">
            <w:pPr>
              <w:jc w:val="center"/>
              <w:rPr>
                <w:rFonts w:hint="eastAsia" w:ascii="仿宋" w:hAnsi="仿宋" w:eastAsia="仿宋" w:cs="仿宋"/>
                <w:color w:val="auto"/>
                <w:lang w:eastAsia="zh-CN"/>
              </w:rPr>
            </w:pPr>
            <w:r>
              <w:rPr>
                <w:rFonts w:hint="eastAsia" w:ascii="仿宋" w:hAnsi="仿宋" w:eastAsia="仿宋" w:cs="仿宋"/>
                <w:color w:val="auto"/>
                <w:lang w:eastAsia="zh-CN"/>
              </w:rPr>
              <w:t>3</w:t>
            </w:r>
          </w:p>
        </w:tc>
        <w:tc>
          <w:tcPr>
            <w:tcW w:w="1483" w:type="dxa"/>
            <w:gridSpan w:val="2"/>
            <w:noWrap w:val="0"/>
            <w:vAlign w:val="center"/>
          </w:tcPr>
          <w:p w14:paraId="3E70CE27">
            <w:pPr>
              <w:pStyle w:val="19"/>
              <w:spacing w:line="230" w:lineRule="exact"/>
              <w:jc w:val="center"/>
              <w:rPr>
                <w:color w:val="auto"/>
                <w:sz w:val="20"/>
                <w:lang w:eastAsia="zh-CN"/>
              </w:rPr>
            </w:pPr>
          </w:p>
        </w:tc>
      </w:tr>
      <w:tr w14:paraId="161376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0" w:hRule="atLeast"/>
          <w:jc w:val="center"/>
        </w:trPr>
        <w:tc>
          <w:tcPr>
            <w:tcW w:w="1681" w:type="dxa"/>
            <w:gridSpan w:val="3"/>
            <w:vMerge w:val="continue"/>
            <w:tcBorders>
              <w:top w:val="nil"/>
              <w:bottom w:val="nil"/>
            </w:tcBorders>
            <w:shd w:val="clear" w:color="auto" w:fill="auto"/>
            <w:noWrap w:val="0"/>
            <w:textDirection w:val="tbRlV"/>
            <w:vAlign w:val="center"/>
          </w:tcPr>
          <w:p w14:paraId="01D517F9">
            <w:pPr>
              <w:pStyle w:val="19"/>
              <w:jc w:val="center"/>
              <w:rPr>
                <w:color w:val="auto"/>
                <w:lang w:eastAsia="zh-CN"/>
              </w:rPr>
            </w:pPr>
          </w:p>
        </w:tc>
        <w:tc>
          <w:tcPr>
            <w:tcW w:w="724" w:type="dxa"/>
            <w:vMerge w:val="continue"/>
            <w:tcBorders>
              <w:top w:val="nil"/>
              <w:bottom w:val="nil"/>
            </w:tcBorders>
            <w:shd w:val="clear" w:color="auto" w:fill="auto"/>
            <w:noWrap w:val="0"/>
            <w:vAlign w:val="center"/>
          </w:tcPr>
          <w:p w14:paraId="3F57D940">
            <w:pPr>
              <w:pStyle w:val="19"/>
              <w:jc w:val="center"/>
              <w:rPr>
                <w:color w:val="auto"/>
                <w:lang w:eastAsia="zh-CN"/>
              </w:rPr>
            </w:pPr>
          </w:p>
        </w:tc>
        <w:tc>
          <w:tcPr>
            <w:tcW w:w="1019" w:type="dxa"/>
            <w:gridSpan w:val="2"/>
            <w:tcBorders>
              <w:bottom w:val="nil"/>
            </w:tcBorders>
            <w:shd w:val="clear" w:color="auto" w:fill="auto"/>
            <w:noWrap w:val="0"/>
            <w:vAlign w:val="center"/>
          </w:tcPr>
          <w:p w14:paraId="13D3C56E">
            <w:pPr>
              <w:spacing w:before="177" w:line="231" w:lineRule="auto"/>
              <w:ind w:left="212" w:right="235"/>
              <w:jc w:val="center"/>
              <w:rPr>
                <w:rFonts w:ascii="宋体" w:hAnsi="宋体" w:eastAsia="宋体" w:cs="宋体"/>
                <w:color w:val="auto"/>
                <w:sz w:val="19"/>
                <w:szCs w:val="19"/>
              </w:rPr>
            </w:pPr>
            <w:r>
              <w:rPr>
                <w:rFonts w:ascii="宋体" w:hAnsi="宋体" w:eastAsia="宋体" w:cs="宋体"/>
                <w:color w:val="auto"/>
                <w:spacing w:val="-3"/>
                <w:sz w:val="19"/>
                <w:szCs w:val="19"/>
              </w:rPr>
              <w:t>生态效</w:t>
            </w:r>
            <w:r>
              <w:rPr>
                <w:rFonts w:ascii="宋体" w:hAnsi="宋体" w:eastAsia="宋体" w:cs="宋体"/>
                <w:color w:val="auto"/>
                <w:sz w:val="19"/>
                <w:szCs w:val="19"/>
              </w:rPr>
              <w:t xml:space="preserve"> </w:t>
            </w:r>
            <w:r>
              <w:rPr>
                <w:rFonts w:ascii="宋体" w:hAnsi="宋体" w:eastAsia="宋体" w:cs="宋体"/>
                <w:color w:val="auto"/>
                <w:spacing w:val="-3"/>
                <w:sz w:val="19"/>
                <w:szCs w:val="19"/>
              </w:rPr>
              <w:t>益指标</w:t>
            </w:r>
          </w:p>
        </w:tc>
        <w:tc>
          <w:tcPr>
            <w:tcW w:w="1643" w:type="dxa"/>
            <w:gridSpan w:val="2"/>
            <w:shd w:val="clear" w:color="auto" w:fill="auto"/>
            <w:noWrap w:val="0"/>
            <w:vAlign w:val="center"/>
          </w:tcPr>
          <w:p w14:paraId="3DC58662">
            <w:pPr>
              <w:spacing w:line="240" w:lineRule="exact"/>
              <w:jc w:val="center"/>
              <w:rPr>
                <w:rFonts w:ascii="仿宋" w:hAnsi="仿宋" w:eastAsia="仿宋" w:cs="仿宋"/>
                <w:color w:val="auto"/>
                <w:lang w:eastAsia="zh-CN"/>
              </w:rPr>
            </w:pPr>
            <w:r>
              <w:rPr>
                <w:rFonts w:hint="eastAsia" w:ascii="仿宋" w:hAnsi="仿宋" w:eastAsia="仿宋" w:cs="仿宋"/>
                <w:color w:val="auto"/>
                <w:lang w:eastAsia="zh-CN"/>
              </w:rPr>
              <w:t>严格控制建筑施工扬尘</w:t>
            </w:r>
          </w:p>
        </w:tc>
        <w:tc>
          <w:tcPr>
            <w:tcW w:w="925" w:type="dxa"/>
            <w:gridSpan w:val="2"/>
            <w:shd w:val="clear" w:color="auto" w:fill="auto"/>
            <w:noWrap w:val="0"/>
            <w:vAlign w:val="center"/>
          </w:tcPr>
          <w:p w14:paraId="4D05CC1B">
            <w:pPr>
              <w:spacing w:line="240" w:lineRule="exact"/>
              <w:jc w:val="center"/>
              <w:rPr>
                <w:rFonts w:ascii="仿宋" w:hAnsi="仿宋" w:eastAsia="仿宋" w:cs="仿宋"/>
                <w:color w:val="auto"/>
              </w:rPr>
            </w:pPr>
            <w:r>
              <w:rPr>
                <w:rFonts w:hint="eastAsia" w:ascii="仿宋" w:hAnsi="仿宋" w:eastAsia="仿宋" w:cs="仿宋"/>
                <w:color w:val="auto"/>
              </w:rPr>
              <w:t>良好的生态环境效益</w:t>
            </w:r>
          </w:p>
        </w:tc>
        <w:tc>
          <w:tcPr>
            <w:tcW w:w="1249" w:type="dxa"/>
            <w:gridSpan w:val="2"/>
            <w:shd w:val="clear" w:color="auto" w:fill="auto"/>
            <w:noWrap w:val="0"/>
            <w:vAlign w:val="center"/>
          </w:tcPr>
          <w:p w14:paraId="339B27AA">
            <w:pPr>
              <w:spacing w:line="240" w:lineRule="exact"/>
              <w:jc w:val="center"/>
              <w:rPr>
                <w:rFonts w:ascii="仿宋" w:hAnsi="仿宋" w:eastAsia="仿宋" w:cs="仿宋"/>
                <w:color w:val="auto"/>
              </w:rPr>
            </w:pPr>
            <w:r>
              <w:rPr>
                <w:rFonts w:hint="eastAsia" w:ascii="仿宋" w:hAnsi="仿宋" w:eastAsia="仿宋" w:cs="仿宋"/>
                <w:color w:val="auto"/>
              </w:rPr>
              <w:t>100%</w:t>
            </w:r>
          </w:p>
        </w:tc>
        <w:tc>
          <w:tcPr>
            <w:tcW w:w="719" w:type="dxa"/>
            <w:gridSpan w:val="2"/>
            <w:shd w:val="clear" w:color="auto" w:fill="auto"/>
            <w:noWrap w:val="0"/>
            <w:vAlign w:val="center"/>
          </w:tcPr>
          <w:p w14:paraId="313568E9">
            <w:pPr>
              <w:spacing w:line="240" w:lineRule="exact"/>
              <w:jc w:val="center"/>
              <w:rPr>
                <w:rFonts w:ascii="仿宋" w:hAnsi="仿宋" w:eastAsia="仿宋" w:cs="仿宋"/>
                <w:color w:val="auto"/>
                <w:lang w:eastAsia="zh-CN"/>
              </w:rPr>
            </w:pPr>
            <w:r>
              <w:rPr>
                <w:rFonts w:hint="eastAsia" w:ascii="仿宋" w:hAnsi="仿宋" w:eastAsia="仿宋" w:cs="仿宋"/>
                <w:color w:val="auto"/>
                <w:lang w:eastAsia="zh-CN"/>
              </w:rPr>
              <w:t>2</w:t>
            </w:r>
          </w:p>
        </w:tc>
        <w:tc>
          <w:tcPr>
            <w:tcW w:w="829" w:type="dxa"/>
            <w:gridSpan w:val="2"/>
            <w:shd w:val="clear" w:color="auto" w:fill="auto"/>
            <w:noWrap w:val="0"/>
            <w:vAlign w:val="center"/>
          </w:tcPr>
          <w:p w14:paraId="223331A0">
            <w:pPr>
              <w:spacing w:line="240" w:lineRule="exact"/>
              <w:jc w:val="center"/>
              <w:rPr>
                <w:rFonts w:ascii="仿宋" w:hAnsi="仿宋" w:eastAsia="仿宋" w:cs="仿宋"/>
                <w:color w:val="auto"/>
                <w:lang w:eastAsia="zh-CN"/>
              </w:rPr>
            </w:pPr>
            <w:r>
              <w:rPr>
                <w:rFonts w:hint="eastAsia" w:ascii="仿宋" w:hAnsi="仿宋" w:eastAsia="仿宋" w:cs="仿宋"/>
                <w:color w:val="auto"/>
                <w:lang w:eastAsia="zh-CN"/>
              </w:rPr>
              <w:t>2</w:t>
            </w:r>
          </w:p>
        </w:tc>
        <w:tc>
          <w:tcPr>
            <w:tcW w:w="1483" w:type="dxa"/>
            <w:gridSpan w:val="2"/>
            <w:noWrap w:val="0"/>
            <w:vAlign w:val="center"/>
          </w:tcPr>
          <w:p w14:paraId="4F462E2E">
            <w:pPr>
              <w:pStyle w:val="19"/>
              <w:spacing w:line="220" w:lineRule="exact"/>
              <w:jc w:val="center"/>
              <w:rPr>
                <w:color w:val="auto"/>
                <w:sz w:val="19"/>
              </w:rPr>
            </w:pPr>
          </w:p>
        </w:tc>
      </w:tr>
      <w:tr w14:paraId="6888F0B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0" w:hRule="atLeast"/>
          <w:jc w:val="center"/>
        </w:trPr>
        <w:tc>
          <w:tcPr>
            <w:tcW w:w="1681" w:type="dxa"/>
            <w:gridSpan w:val="3"/>
            <w:vMerge w:val="continue"/>
            <w:tcBorders>
              <w:top w:val="nil"/>
              <w:bottom w:val="nil"/>
            </w:tcBorders>
            <w:shd w:val="clear" w:color="auto" w:fill="auto"/>
            <w:noWrap w:val="0"/>
            <w:textDirection w:val="tbRlV"/>
            <w:vAlign w:val="center"/>
          </w:tcPr>
          <w:p w14:paraId="43A1DF0F">
            <w:pPr>
              <w:pStyle w:val="19"/>
              <w:jc w:val="center"/>
              <w:rPr>
                <w:color w:val="auto"/>
              </w:rPr>
            </w:pPr>
          </w:p>
        </w:tc>
        <w:tc>
          <w:tcPr>
            <w:tcW w:w="724" w:type="dxa"/>
            <w:vMerge w:val="continue"/>
            <w:tcBorders>
              <w:top w:val="nil"/>
              <w:bottom w:val="nil"/>
            </w:tcBorders>
            <w:shd w:val="clear" w:color="auto" w:fill="auto"/>
            <w:noWrap w:val="0"/>
            <w:vAlign w:val="center"/>
          </w:tcPr>
          <w:p w14:paraId="4A20F878">
            <w:pPr>
              <w:pStyle w:val="19"/>
              <w:jc w:val="center"/>
              <w:rPr>
                <w:color w:val="auto"/>
              </w:rPr>
            </w:pPr>
          </w:p>
        </w:tc>
        <w:tc>
          <w:tcPr>
            <w:tcW w:w="1019" w:type="dxa"/>
            <w:gridSpan w:val="2"/>
            <w:tcBorders>
              <w:bottom w:val="nil"/>
            </w:tcBorders>
            <w:shd w:val="clear" w:color="auto" w:fill="auto"/>
            <w:noWrap w:val="0"/>
            <w:vAlign w:val="center"/>
          </w:tcPr>
          <w:p w14:paraId="4F1CCFE1">
            <w:pPr>
              <w:spacing w:before="235" w:line="227" w:lineRule="auto"/>
              <w:ind w:left="211" w:right="135" w:hanging="89"/>
              <w:jc w:val="center"/>
              <w:rPr>
                <w:rFonts w:ascii="宋体" w:hAnsi="宋体" w:eastAsia="宋体" w:cs="宋体"/>
                <w:color w:val="auto"/>
                <w:sz w:val="19"/>
                <w:szCs w:val="19"/>
              </w:rPr>
            </w:pPr>
            <w:r>
              <w:rPr>
                <w:rFonts w:ascii="宋体" w:hAnsi="宋体" w:eastAsia="宋体" w:cs="宋体"/>
                <w:color w:val="auto"/>
                <w:spacing w:val="-3"/>
                <w:sz w:val="19"/>
                <w:szCs w:val="19"/>
              </w:rPr>
              <w:t>可持续影</w:t>
            </w:r>
            <w:r>
              <w:rPr>
                <w:rFonts w:ascii="宋体" w:hAnsi="宋体" w:eastAsia="宋体" w:cs="宋体"/>
                <w:color w:val="auto"/>
                <w:spacing w:val="2"/>
                <w:sz w:val="19"/>
                <w:szCs w:val="19"/>
              </w:rPr>
              <w:t xml:space="preserve"> 响指标</w:t>
            </w:r>
          </w:p>
        </w:tc>
        <w:tc>
          <w:tcPr>
            <w:tcW w:w="1643" w:type="dxa"/>
            <w:gridSpan w:val="2"/>
            <w:shd w:val="clear" w:color="auto" w:fill="auto"/>
            <w:noWrap w:val="0"/>
            <w:vAlign w:val="center"/>
          </w:tcPr>
          <w:p w14:paraId="4BEDEC87">
            <w:pPr>
              <w:jc w:val="center"/>
              <w:rPr>
                <w:rFonts w:ascii="仿宋" w:hAnsi="仿宋" w:eastAsia="仿宋" w:cs="仿宋"/>
                <w:color w:val="auto"/>
                <w:lang w:eastAsia="zh-CN"/>
              </w:rPr>
            </w:pPr>
            <w:r>
              <w:rPr>
                <w:rFonts w:hint="eastAsia" w:ascii="仿宋" w:hAnsi="仿宋" w:eastAsia="仿宋" w:cs="仿宋"/>
                <w:color w:val="auto"/>
                <w:lang w:eastAsia="zh-CN"/>
              </w:rPr>
              <w:t>形成良好的建筑建设人居环境</w:t>
            </w:r>
          </w:p>
        </w:tc>
        <w:tc>
          <w:tcPr>
            <w:tcW w:w="925" w:type="dxa"/>
            <w:gridSpan w:val="2"/>
            <w:shd w:val="clear" w:color="auto" w:fill="auto"/>
            <w:noWrap w:val="0"/>
            <w:vAlign w:val="center"/>
          </w:tcPr>
          <w:p w14:paraId="7F8B937C">
            <w:pPr>
              <w:jc w:val="center"/>
              <w:rPr>
                <w:rFonts w:ascii="仿宋" w:hAnsi="仿宋" w:eastAsia="仿宋" w:cs="仿宋"/>
                <w:color w:val="auto"/>
              </w:rPr>
            </w:pPr>
            <w:r>
              <w:rPr>
                <w:rFonts w:hint="eastAsia" w:ascii="仿宋" w:hAnsi="仿宋" w:eastAsia="仿宋" w:cs="仿宋"/>
                <w:color w:val="auto"/>
              </w:rPr>
              <w:t>提升建筑环境</w:t>
            </w:r>
          </w:p>
        </w:tc>
        <w:tc>
          <w:tcPr>
            <w:tcW w:w="1249" w:type="dxa"/>
            <w:gridSpan w:val="2"/>
            <w:shd w:val="clear" w:color="auto" w:fill="auto"/>
            <w:noWrap w:val="0"/>
            <w:vAlign w:val="center"/>
          </w:tcPr>
          <w:p w14:paraId="615A7A6C">
            <w:pPr>
              <w:jc w:val="center"/>
              <w:rPr>
                <w:rFonts w:ascii="仿宋" w:hAnsi="仿宋" w:eastAsia="仿宋" w:cs="仿宋"/>
                <w:color w:val="auto"/>
              </w:rPr>
            </w:pPr>
            <w:r>
              <w:rPr>
                <w:rFonts w:hint="eastAsia" w:ascii="仿宋" w:hAnsi="仿宋" w:eastAsia="仿宋" w:cs="仿宋"/>
                <w:color w:val="auto"/>
              </w:rPr>
              <w:t>100%</w:t>
            </w:r>
          </w:p>
        </w:tc>
        <w:tc>
          <w:tcPr>
            <w:tcW w:w="719" w:type="dxa"/>
            <w:gridSpan w:val="2"/>
            <w:shd w:val="clear" w:color="auto" w:fill="auto"/>
            <w:noWrap w:val="0"/>
            <w:vAlign w:val="center"/>
          </w:tcPr>
          <w:p w14:paraId="5C03090F">
            <w:pPr>
              <w:jc w:val="center"/>
              <w:rPr>
                <w:rFonts w:ascii="仿宋" w:hAnsi="仿宋" w:eastAsia="仿宋" w:cs="仿宋"/>
                <w:color w:val="auto"/>
                <w:lang w:eastAsia="zh-CN"/>
              </w:rPr>
            </w:pPr>
            <w:r>
              <w:rPr>
                <w:rFonts w:hint="eastAsia" w:ascii="仿宋" w:hAnsi="仿宋" w:eastAsia="仿宋" w:cs="仿宋"/>
                <w:color w:val="auto"/>
                <w:lang w:eastAsia="zh-CN"/>
              </w:rPr>
              <w:t>2</w:t>
            </w:r>
          </w:p>
        </w:tc>
        <w:tc>
          <w:tcPr>
            <w:tcW w:w="829" w:type="dxa"/>
            <w:gridSpan w:val="2"/>
            <w:shd w:val="clear" w:color="auto" w:fill="auto"/>
            <w:noWrap w:val="0"/>
            <w:vAlign w:val="center"/>
          </w:tcPr>
          <w:p w14:paraId="4719995F">
            <w:pPr>
              <w:jc w:val="center"/>
              <w:rPr>
                <w:rFonts w:ascii="仿宋" w:hAnsi="仿宋" w:eastAsia="仿宋" w:cs="仿宋"/>
                <w:color w:val="auto"/>
                <w:lang w:eastAsia="zh-CN"/>
              </w:rPr>
            </w:pPr>
            <w:r>
              <w:rPr>
                <w:rFonts w:hint="eastAsia" w:ascii="仿宋" w:hAnsi="仿宋" w:eastAsia="仿宋" w:cs="仿宋"/>
                <w:color w:val="auto"/>
                <w:lang w:eastAsia="zh-CN"/>
              </w:rPr>
              <w:t>2</w:t>
            </w:r>
          </w:p>
        </w:tc>
        <w:tc>
          <w:tcPr>
            <w:tcW w:w="1483" w:type="dxa"/>
            <w:gridSpan w:val="2"/>
            <w:noWrap w:val="0"/>
            <w:vAlign w:val="center"/>
          </w:tcPr>
          <w:p w14:paraId="6C069214">
            <w:pPr>
              <w:pStyle w:val="19"/>
              <w:jc w:val="center"/>
              <w:rPr>
                <w:color w:val="auto"/>
              </w:rPr>
            </w:pPr>
          </w:p>
        </w:tc>
      </w:tr>
      <w:tr w14:paraId="200A460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0" w:hRule="atLeast"/>
          <w:jc w:val="center"/>
        </w:trPr>
        <w:tc>
          <w:tcPr>
            <w:tcW w:w="1681" w:type="dxa"/>
            <w:gridSpan w:val="3"/>
            <w:vMerge w:val="continue"/>
            <w:tcBorders>
              <w:top w:val="nil"/>
              <w:bottom w:val="nil"/>
            </w:tcBorders>
            <w:shd w:val="clear" w:color="auto" w:fill="auto"/>
            <w:noWrap w:val="0"/>
            <w:textDirection w:val="tbRlV"/>
            <w:vAlign w:val="center"/>
          </w:tcPr>
          <w:p w14:paraId="44CD8BBC">
            <w:pPr>
              <w:pStyle w:val="19"/>
              <w:jc w:val="center"/>
              <w:rPr>
                <w:color w:val="auto"/>
              </w:rPr>
            </w:pPr>
          </w:p>
        </w:tc>
        <w:tc>
          <w:tcPr>
            <w:tcW w:w="724" w:type="dxa"/>
            <w:tcBorders>
              <w:bottom w:val="nil"/>
            </w:tcBorders>
            <w:shd w:val="clear" w:color="auto" w:fill="auto"/>
            <w:noWrap w:val="0"/>
            <w:vAlign w:val="center"/>
          </w:tcPr>
          <w:p w14:paraId="645B32F7">
            <w:pPr>
              <w:spacing w:before="146" w:line="226" w:lineRule="auto"/>
              <w:ind w:left="241" w:right="206"/>
              <w:jc w:val="center"/>
              <w:rPr>
                <w:rFonts w:ascii="宋体" w:hAnsi="宋体" w:eastAsia="宋体" w:cs="宋体"/>
                <w:color w:val="auto"/>
                <w:sz w:val="19"/>
                <w:szCs w:val="19"/>
              </w:rPr>
            </w:pPr>
            <w:r>
              <w:rPr>
                <w:rFonts w:ascii="宋体" w:hAnsi="宋体" w:eastAsia="宋体" w:cs="宋体"/>
                <w:color w:val="auto"/>
                <w:spacing w:val="-3"/>
                <w:sz w:val="19"/>
                <w:szCs w:val="19"/>
              </w:rPr>
              <w:t>满意度</w:t>
            </w:r>
            <w:r>
              <w:rPr>
                <w:rFonts w:ascii="宋体" w:hAnsi="宋体" w:eastAsia="宋体" w:cs="宋体"/>
                <w:color w:val="auto"/>
                <w:sz w:val="19"/>
                <w:szCs w:val="19"/>
              </w:rPr>
              <w:t xml:space="preserve"> </w:t>
            </w:r>
            <w:r>
              <w:rPr>
                <w:rFonts w:ascii="宋体" w:hAnsi="宋体" w:eastAsia="宋体" w:cs="宋体"/>
                <w:color w:val="auto"/>
                <w:spacing w:val="40"/>
                <w:sz w:val="19"/>
                <w:szCs w:val="19"/>
              </w:rPr>
              <w:t>指标</w:t>
            </w:r>
            <w:r>
              <w:rPr>
                <w:rFonts w:ascii="宋体" w:hAnsi="宋体" w:eastAsia="宋体" w:cs="宋体"/>
                <w:color w:val="auto"/>
                <w:spacing w:val="8"/>
                <w:sz w:val="19"/>
                <w:szCs w:val="19"/>
              </w:rPr>
              <w:t>(10分)</w:t>
            </w:r>
          </w:p>
        </w:tc>
        <w:tc>
          <w:tcPr>
            <w:tcW w:w="1019" w:type="dxa"/>
            <w:gridSpan w:val="2"/>
            <w:tcBorders>
              <w:bottom w:val="nil"/>
            </w:tcBorders>
            <w:shd w:val="clear" w:color="auto" w:fill="auto"/>
            <w:noWrap w:val="0"/>
            <w:vAlign w:val="center"/>
          </w:tcPr>
          <w:p w14:paraId="236191AD">
            <w:pPr>
              <w:spacing w:before="146" w:line="214" w:lineRule="auto"/>
              <w:ind w:left="122"/>
              <w:jc w:val="center"/>
              <w:rPr>
                <w:rFonts w:ascii="宋体" w:hAnsi="宋体" w:eastAsia="宋体" w:cs="宋体"/>
                <w:color w:val="auto"/>
                <w:sz w:val="19"/>
                <w:szCs w:val="19"/>
              </w:rPr>
            </w:pPr>
            <w:r>
              <w:rPr>
                <w:rFonts w:ascii="宋体" w:hAnsi="宋体" w:eastAsia="宋体" w:cs="宋体"/>
                <w:color w:val="auto"/>
                <w:spacing w:val="-2"/>
                <w:sz w:val="19"/>
                <w:szCs w:val="19"/>
              </w:rPr>
              <w:t>服务对象</w:t>
            </w:r>
          </w:p>
          <w:p w14:paraId="3D113795">
            <w:pPr>
              <w:spacing w:line="219" w:lineRule="auto"/>
              <w:ind w:left="122"/>
              <w:jc w:val="center"/>
              <w:rPr>
                <w:rFonts w:ascii="宋体" w:hAnsi="宋体" w:eastAsia="宋体" w:cs="宋体"/>
                <w:color w:val="auto"/>
                <w:sz w:val="19"/>
                <w:szCs w:val="19"/>
              </w:rPr>
            </w:pPr>
            <w:r>
              <w:rPr>
                <w:rFonts w:ascii="宋体" w:hAnsi="宋体" w:eastAsia="宋体" w:cs="宋体"/>
                <w:color w:val="auto"/>
                <w:spacing w:val="-2"/>
                <w:sz w:val="19"/>
                <w:szCs w:val="19"/>
              </w:rPr>
              <w:t>满意度指</w:t>
            </w:r>
          </w:p>
          <w:p w14:paraId="577992BD">
            <w:pPr>
              <w:spacing w:before="15" w:line="220" w:lineRule="auto"/>
              <w:ind w:left="402"/>
              <w:jc w:val="center"/>
              <w:rPr>
                <w:rFonts w:ascii="宋体" w:hAnsi="宋体" w:eastAsia="宋体" w:cs="宋体"/>
                <w:color w:val="auto"/>
                <w:sz w:val="19"/>
                <w:szCs w:val="19"/>
              </w:rPr>
            </w:pPr>
            <w:r>
              <w:rPr>
                <w:rFonts w:ascii="宋体" w:hAnsi="宋体" w:eastAsia="宋体" w:cs="宋体"/>
                <w:color w:val="auto"/>
                <w:sz w:val="19"/>
                <w:szCs w:val="19"/>
              </w:rPr>
              <w:t>标</w:t>
            </w:r>
          </w:p>
        </w:tc>
        <w:tc>
          <w:tcPr>
            <w:tcW w:w="1643" w:type="dxa"/>
            <w:gridSpan w:val="2"/>
            <w:shd w:val="clear" w:color="auto" w:fill="auto"/>
            <w:noWrap w:val="0"/>
            <w:vAlign w:val="center"/>
          </w:tcPr>
          <w:p w14:paraId="33D6C012">
            <w:pPr>
              <w:jc w:val="center"/>
              <w:rPr>
                <w:rFonts w:ascii="仿宋" w:hAnsi="仿宋" w:eastAsia="仿宋" w:cs="仿宋"/>
                <w:color w:val="auto"/>
                <w:lang w:eastAsia="zh-CN"/>
              </w:rPr>
            </w:pPr>
            <w:r>
              <w:rPr>
                <w:rFonts w:hint="eastAsia" w:ascii="仿宋" w:hAnsi="仿宋" w:eastAsia="仿宋" w:cs="仿宋"/>
                <w:color w:val="auto"/>
                <w:lang w:eastAsia="zh-CN"/>
              </w:rPr>
              <w:t>施工企业方、业主方满意度高</w:t>
            </w:r>
          </w:p>
        </w:tc>
        <w:tc>
          <w:tcPr>
            <w:tcW w:w="925" w:type="dxa"/>
            <w:gridSpan w:val="2"/>
            <w:shd w:val="clear" w:color="auto" w:fill="auto"/>
            <w:noWrap w:val="0"/>
            <w:vAlign w:val="center"/>
          </w:tcPr>
          <w:p w14:paraId="05F19401">
            <w:pPr>
              <w:jc w:val="center"/>
              <w:rPr>
                <w:rFonts w:ascii="仿宋" w:hAnsi="仿宋" w:eastAsia="仿宋" w:cs="仿宋"/>
                <w:color w:val="auto"/>
              </w:rPr>
            </w:pPr>
            <w:r>
              <w:rPr>
                <w:rFonts w:hint="eastAsia" w:ascii="仿宋" w:hAnsi="仿宋" w:eastAsia="仿宋" w:cs="仿宋"/>
                <w:color w:val="auto"/>
              </w:rPr>
              <w:t>98%以上</w:t>
            </w:r>
          </w:p>
        </w:tc>
        <w:tc>
          <w:tcPr>
            <w:tcW w:w="1249" w:type="dxa"/>
            <w:gridSpan w:val="2"/>
            <w:shd w:val="clear" w:color="auto" w:fill="auto"/>
            <w:noWrap w:val="0"/>
            <w:vAlign w:val="center"/>
          </w:tcPr>
          <w:p w14:paraId="72076771">
            <w:pPr>
              <w:jc w:val="center"/>
              <w:rPr>
                <w:rFonts w:ascii="仿宋" w:hAnsi="仿宋" w:eastAsia="仿宋" w:cs="仿宋"/>
                <w:color w:val="auto"/>
              </w:rPr>
            </w:pPr>
            <w:r>
              <w:rPr>
                <w:rFonts w:hint="eastAsia" w:ascii="仿宋" w:hAnsi="仿宋" w:eastAsia="仿宋" w:cs="仿宋"/>
                <w:color w:val="auto"/>
              </w:rPr>
              <w:t>100%</w:t>
            </w:r>
          </w:p>
        </w:tc>
        <w:tc>
          <w:tcPr>
            <w:tcW w:w="719" w:type="dxa"/>
            <w:gridSpan w:val="2"/>
            <w:shd w:val="clear" w:color="auto" w:fill="auto"/>
            <w:noWrap w:val="0"/>
            <w:vAlign w:val="center"/>
          </w:tcPr>
          <w:p w14:paraId="42CF5853">
            <w:pPr>
              <w:jc w:val="center"/>
              <w:rPr>
                <w:rFonts w:ascii="仿宋" w:hAnsi="仿宋" w:eastAsia="仿宋" w:cs="仿宋"/>
                <w:color w:val="auto"/>
              </w:rPr>
            </w:pPr>
            <w:r>
              <w:rPr>
                <w:rFonts w:hint="eastAsia" w:ascii="仿宋" w:hAnsi="仿宋" w:eastAsia="仿宋" w:cs="仿宋"/>
                <w:color w:val="auto"/>
                <w:lang w:eastAsia="zh-CN"/>
              </w:rPr>
              <w:t>2</w:t>
            </w:r>
          </w:p>
        </w:tc>
        <w:tc>
          <w:tcPr>
            <w:tcW w:w="829" w:type="dxa"/>
            <w:gridSpan w:val="2"/>
            <w:shd w:val="clear" w:color="auto" w:fill="auto"/>
            <w:noWrap w:val="0"/>
            <w:vAlign w:val="center"/>
          </w:tcPr>
          <w:p w14:paraId="182CF7F1">
            <w:pPr>
              <w:jc w:val="center"/>
              <w:rPr>
                <w:rFonts w:ascii="仿宋" w:hAnsi="仿宋" w:eastAsia="仿宋" w:cs="仿宋"/>
                <w:color w:val="auto"/>
                <w:lang w:eastAsia="zh-CN"/>
              </w:rPr>
            </w:pPr>
            <w:r>
              <w:rPr>
                <w:rFonts w:hint="eastAsia" w:ascii="仿宋" w:hAnsi="仿宋" w:eastAsia="仿宋" w:cs="仿宋"/>
                <w:color w:val="auto"/>
                <w:lang w:eastAsia="zh-CN"/>
              </w:rPr>
              <w:t>2</w:t>
            </w:r>
          </w:p>
        </w:tc>
        <w:tc>
          <w:tcPr>
            <w:tcW w:w="1483" w:type="dxa"/>
            <w:gridSpan w:val="2"/>
            <w:noWrap w:val="0"/>
            <w:vAlign w:val="center"/>
          </w:tcPr>
          <w:p w14:paraId="35860D61">
            <w:pPr>
              <w:pStyle w:val="19"/>
              <w:jc w:val="center"/>
              <w:rPr>
                <w:color w:val="auto"/>
              </w:rPr>
            </w:pPr>
          </w:p>
        </w:tc>
      </w:tr>
      <w:tr w14:paraId="610FAE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4" w:hRule="atLeast"/>
          <w:jc w:val="center"/>
        </w:trPr>
        <w:tc>
          <w:tcPr>
            <w:tcW w:w="7241" w:type="dxa"/>
            <w:gridSpan w:val="12"/>
            <w:noWrap w:val="0"/>
            <w:vAlign w:val="center"/>
          </w:tcPr>
          <w:p w14:paraId="30E705BD">
            <w:pPr>
              <w:spacing w:before="47" w:line="210" w:lineRule="auto"/>
              <w:ind w:left="3315"/>
              <w:jc w:val="center"/>
              <w:rPr>
                <w:rFonts w:ascii="宋体" w:hAnsi="宋体" w:eastAsia="宋体" w:cs="宋体"/>
                <w:color w:val="auto"/>
                <w:sz w:val="19"/>
                <w:szCs w:val="19"/>
              </w:rPr>
            </w:pPr>
            <w:r>
              <w:rPr>
                <w:rFonts w:ascii="宋体" w:hAnsi="宋体" w:eastAsia="宋体" w:cs="宋体"/>
                <w:color w:val="auto"/>
                <w:spacing w:val="4"/>
                <w:sz w:val="19"/>
                <w:szCs w:val="19"/>
              </w:rPr>
              <w:t>总分</w:t>
            </w:r>
          </w:p>
        </w:tc>
        <w:tc>
          <w:tcPr>
            <w:tcW w:w="719" w:type="dxa"/>
            <w:gridSpan w:val="2"/>
            <w:noWrap w:val="0"/>
            <w:vAlign w:val="center"/>
          </w:tcPr>
          <w:p w14:paraId="5DEF1237">
            <w:pPr>
              <w:spacing w:before="96" w:line="163" w:lineRule="auto"/>
              <w:ind w:left="206"/>
              <w:jc w:val="center"/>
              <w:rPr>
                <w:rFonts w:ascii="宋体" w:hAnsi="宋体" w:eastAsia="宋体" w:cs="宋体"/>
                <w:color w:val="auto"/>
                <w:sz w:val="19"/>
                <w:szCs w:val="19"/>
              </w:rPr>
            </w:pPr>
            <w:r>
              <w:rPr>
                <w:rFonts w:ascii="宋体" w:hAnsi="宋体" w:eastAsia="宋体" w:cs="宋体"/>
                <w:color w:val="auto"/>
                <w:spacing w:val="-5"/>
                <w:sz w:val="19"/>
                <w:szCs w:val="19"/>
              </w:rPr>
              <w:t>100</w:t>
            </w:r>
          </w:p>
        </w:tc>
        <w:tc>
          <w:tcPr>
            <w:tcW w:w="829" w:type="dxa"/>
            <w:gridSpan w:val="2"/>
            <w:noWrap w:val="0"/>
            <w:vAlign w:val="center"/>
          </w:tcPr>
          <w:p w14:paraId="4CFA41AB">
            <w:pPr>
              <w:pStyle w:val="19"/>
              <w:jc w:val="center"/>
              <w:rPr>
                <w:rFonts w:eastAsia="宋体"/>
                <w:color w:val="auto"/>
                <w:lang w:eastAsia="zh-CN"/>
              </w:rPr>
            </w:pPr>
            <w:r>
              <w:rPr>
                <w:rFonts w:hint="eastAsia" w:eastAsia="宋体"/>
                <w:color w:val="auto"/>
                <w:lang w:eastAsia="zh-CN"/>
              </w:rPr>
              <w:t>99.27</w:t>
            </w:r>
          </w:p>
        </w:tc>
        <w:tc>
          <w:tcPr>
            <w:tcW w:w="1483" w:type="dxa"/>
            <w:gridSpan w:val="2"/>
            <w:noWrap w:val="0"/>
            <w:vAlign w:val="center"/>
          </w:tcPr>
          <w:p w14:paraId="1ABC460D">
            <w:pPr>
              <w:pStyle w:val="19"/>
              <w:jc w:val="center"/>
              <w:rPr>
                <w:color w:val="auto"/>
              </w:rPr>
            </w:pPr>
          </w:p>
        </w:tc>
      </w:tr>
    </w:tbl>
    <w:p w14:paraId="5AE19591">
      <w:pPr>
        <w:pStyle w:val="4"/>
        <w:spacing w:before="61" w:line="233" w:lineRule="auto"/>
        <w:rPr>
          <w:rFonts w:hint="eastAsia" w:ascii="宋体" w:hAnsi="宋体" w:eastAsia="宋体" w:cs="宋体"/>
          <w:color w:val="auto"/>
          <w:spacing w:val="5"/>
          <w:sz w:val="21"/>
          <w:szCs w:val="21"/>
          <w:lang w:eastAsia="zh-CN"/>
        </w:rPr>
      </w:pPr>
    </w:p>
    <w:p w14:paraId="10632190">
      <w:pPr>
        <w:pStyle w:val="4"/>
        <w:spacing w:before="61" w:line="233" w:lineRule="auto"/>
        <w:rPr>
          <w:rFonts w:hint="eastAsia" w:ascii="宋体" w:hAnsi="宋体" w:eastAsia="宋体" w:cs="宋体"/>
          <w:color w:val="auto"/>
          <w:spacing w:val="5"/>
          <w:sz w:val="21"/>
          <w:szCs w:val="21"/>
          <w:lang w:eastAsia="zh-CN"/>
        </w:rPr>
      </w:pPr>
    </w:p>
    <w:p w14:paraId="126F62B7">
      <w:pPr>
        <w:pStyle w:val="4"/>
        <w:spacing w:before="61" w:line="233" w:lineRule="auto"/>
        <w:rPr>
          <w:rFonts w:hint="eastAsia" w:ascii="宋体" w:hAnsi="宋体" w:eastAsia="宋体" w:cs="宋体"/>
          <w:color w:val="auto"/>
          <w:sz w:val="21"/>
          <w:szCs w:val="21"/>
          <w:lang w:eastAsia="zh-CN"/>
        </w:rPr>
      </w:pPr>
      <w:r>
        <w:rPr>
          <w:rFonts w:hint="eastAsia" w:ascii="宋体" w:hAnsi="宋体" w:eastAsia="宋体" w:cs="宋体"/>
          <w:color w:val="auto"/>
          <w:spacing w:val="5"/>
          <w:sz w:val="21"/>
          <w:szCs w:val="21"/>
          <w:lang w:eastAsia="zh-CN"/>
        </w:rPr>
        <w:t>填表人：周利华</w:t>
      </w:r>
      <w:r>
        <w:rPr>
          <w:rFonts w:hint="eastAsia" w:ascii="宋体" w:hAnsi="宋体" w:eastAsia="宋体" w:cs="宋体"/>
          <w:color w:val="auto"/>
          <w:spacing w:val="4"/>
          <w:sz w:val="21"/>
          <w:szCs w:val="21"/>
          <w:lang w:eastAsia="zh-CN"/>
        </w:rPr>
        <w:t xml:space="preserve">     </w:t>
      </w:r>
      <w:r>
        <w:rPr>
          <w:rFonts w:hint="eastAsia" w:ascii="宋体" w:hAnsi="宋体" w:eastAsia="宋体" w:cs="宋体"/>
          <w:color w:val="auto"/>
          <w:spacing w:val="5"/>
          <w:sz w:val="21"/>
          <w:szCs w:val="21"/>
          <w:lang w:eastAsia="zh-CN"/>
        </w:rPr>
        <w:t>填报日期：2025.3.1</w:t>
      </w:r>
      <w:r>
        <w:rPr>
          <w:rFonts w:hint="eastAsia" w:ascii="宋体" w:hAnsi="宋体" w:eastAsia="宋体" w:cs="宋体"/>
          <w:color w:val="auto"/>
          <w:spacing w:val="5"/>
          <w:sz w:val="21"/>
          <w:szCs w:val="21"/>
          <w:lang w:val="en-US" w:eastAsia="zh-CN"/>
        </w:rPr>
        <w:t>7</w:t>
      </w:r>
      <w:r>
        <w:rPr>
          <w:rFonts w:hint="eastAsia" w:ascii="宋体" w:hAnsi="宋体" w:eastAsia="宋体" w:cs="宋体"/>
          <w:color w:val="auto"/>
          <w:sz w:val="21"/>
          <w:szCs w:val="21"/>
          <w:lang w:eastAsia="zh-CN"/>
        </w:rPr>
        <w:t xml:space="preserve">      </w:t>
      </w:r>
      <w:r>
        <w:rPr>
          <w:rFonts w:hint="eastAsia" w:ascii="宋体" w:hAnsi="宋体" w:eastAsia="宋体" w:cs="宋体"/>
          <w:color w:val="auto"/>
          <w:spacing w:val="5"/>
          <w:sz w:val="21"/>
          <w:szCs w:val="21"/>
          <w:lang w:eastAsia="zh-CN"/>
        </w:rPr>
        <w:t>联系电话：13873013810    单位负责人签字：廖亚辉</w:t>
      </w:r>
    </w:p>
    <w:p w14:paraId="55262CF6">
      <w:pPr>
        <w:spacing w:line="233" w:lineRule="auto"/>
        <w:rPr>
          <w:rFonts w:hint="eastAsia" w:ascii="宋体" w:hAnsi="宋体" w:eastAsia="宋体" w:cs="宋体"/>
          <w:color w:val="auto"/>
          <w:sz w:val="21"/>
          <w:szCs w:val="21"/>
          <w:lang w:eastAsia="zh-CN"/>
        </w:rPr>
        <w:sectPr>
          <w:footerReference r:id="rId3" w:type="default"/>
          <w:pgSz w:w="11770" w:h="16780"/>
          <w:pgMar w:top="1426" w:right="785" w:bottom="993" w:left="954" w:header="0" w:footer="934" w:gutter="0"/>
          <w:cols w:space="720" w:num="1"/>
        </w:sectPr>
      </w:pPr>
    </w:p>
    <w:p w14:paraId="6FF8855B">
      <w:pPr>
        <w:spacing w:before="315" w:line="224" w:lineRule="auto"/>
        <w:rPr>
          <w:rFonts w:ascii="黑体" w:hAnsi="黑体" w:eastAsia="黑体" w:cs="黑体"/>
          <w:color w:val="auto"/>
          <w:sz w:val="32"/>
          <w:szCs w:val="32"/>
          <w:lang w:eastAsia="zh-CN"/>
        </w:rPr>
      </w:pPr>
      <w:r>
        <w:rPr>
          <w:rFonts w:ascii="黑体" w:hAnsi="黑体" w:eastAsia="黑体" w:cs="黑体"/>
          <w:b/>
          <w:bCs/>
          <w:color w:val="auto"/>
          <w:spacing w:val="15"/>
          <w:sz w:val="32"/>
          <w:szCs w:val="32"/>
          <w:lang w:eastAsia="zh-CN"/>
        </w:rPr>
        <w:t>附件3</w:t>
      </w:r>
    </w:p>
    <w:p w14:paraId="36AACDDD">
      <w:pPr>
        <w:spacing w:before="104" w:line="219" w:lineRule="auto"/>
        <w:ind w:firstLine="1884" w:firstLineChars="600"/>
        <w:rPr>
          <w:rFonts w:ascii="宋体" w:hAnsi="宋体" w:eastAsia="宋体" w:cs="宋体"/>
          <w:b/>
          <w:bCs/>
          <w:color w:val="auto"/>
          <w:spacing w:val="-3"/>
          <w:sz w:val="32"/>
          <w:szCs w:val="32"/>
          <w:lang w:eastAsia="zh-CN"/>
        </w:rPr>
      </w:pPr>
      <w:r>
        <w:rPr>
          <w:rFonts w:ascii="宋体" w:hAnsi="宋体" w:eastAsia="宋体" w:cs="宋体"/>
          <w:b/>
          <w:bCs/>
          <w:color w:val="auto"/>
          <w:spacing w:val="-3"/>
          <w:sz w:val="32"/>
          <w:szCs w:val="32"/>
          <w:lang w:eastAsia="zh-CN"/>
        </w:rPr>
        <w:t>2024年度项目支出绩效自评表</w:t>
      </w:r>
    </w:p>
    <w:p w14:paraId="45F1E6E3">
      <w:pPr>
        <w:pStyle w:val="2"/>
        <w:rPr>
          <w:color w:val="auto"/>
          <w:lang w:eastAsia="zh-CN"/>
        </w:rPr>
      </w:pPr>
    </w:p>
    <w:p w14:paraId="19376E0C">
      <w:pPr>
        <w:spacing w:line="16" w:lineRule="exact"/>
        <w:rPr>
          <w:color w:val="auto"/>
          <w:lang w:eastAsia="zh-CN"/>
        </w:rPr>
      </w:pPr>
    </w:p>
    <w:tbl>
      <w:tblPr>
        <w:tblStyle w:val="9"/>
        <w:tblW w:w="958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064"/>
        <w:gridCol w:w="1049"/>
        <w:gridCol w:w="1049"/>
        <w:gridCol w:w="1198"/>
        <w:gridCol w:w="1089"/>
        <w:gridCol w:w="1109"/>
        <w:gridCol w:w="809"/>
        <w:gridCol w:w="849"/>
        <w:gridCol w:w="1373"/>
      </w:tblGrid>
      <w:tr w14:paraId="31CE575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24" w:hRule="atLeast"/>
        </w:trPr>
        <w:tc>
          <w:tcPr>
            <w:tcW w:w="1064" w:type="dxa"/>
            <w:noWrap w:val="0"/>
            <w:vAlign w:val="top"/>
          </w:tcPr>
          <w:p w14:paraId="43D3E286">
            <w:pPr>
              <w:spacing w:before="24" w:line="226" w:lineRule="auto"/>
              <w:ind w:left="224" w:right="218"/>
              <w:rPr>
                <w:rFonts w:ascii="宋体" w:hAnsi="宋体" w:eastAsia="宋体" w:cs="宋体"/>
                <w:color w:val="auto"/>
                <w:sz w:val="20"/>
                <w:szCs w:val="20"/>
              </w:rPr>
            </w:pPr>
            <w:r>
              <w:rPr>
                <w:rFonts w:ascii="宋体" w:hAnsi="宋体" w:eastAsia="宋体" w:cs="宋体"/>
                <w:color w:val="auto"/>
                <w:spacing w:val="3"/>
                <w:sz w:val="20"/>
                <w:szCs w:val="20"/>
              </w:rPr>
              <w:t>项目支</w:t>
            </w:r>
            <w:r>
              <w:rPr>
                <w:rFonts w:ascii="宋体" w:hAnsi="宋体" w:eastAsia="宋体" w:cs="宋体"/>
                <w:color w:val="auto"/>
                <w:spacing w:val="1"/>
                <w:sz w:val="20"/>
                <w:szCs w:val="20"/>
              </w:rPr>
              <w:t xml:space="preserve"> </w:t>
            </w:r>
            <w:r>
              <w:rPr>
                <w:rFonts w:ascii="宋体" w:hAnsi="宋体" w:eastAsia="宋体" w:cs="宋体"/>
                <w:color w:val="auto"/>
                <w:spacing w:val="3"/>
                <w:sz w:val="20"/>
                <w:szCs w:val="20"/>
              </w:rPr>
              <w:t>出名称</w:t>
            </w:r>
          </w:p>
        </w:tc>
        <w:tc>
          <w:tcPr>
            <w:tcW w:w="8525" w:type="dxa"/>
            <w:gridSpan w:val="8"/>
            <w:noWrap w:val="0"/>
            <w:vAlign w:val="center"/>
          </w:tcPr>
          <w:p w14:paraId="3F14A65A">
            <w:pPr>
              <w:pStyle w:val="19"/>
              <w:jc w:val="center"/>
              <w:rPr>
                <w:color w:val="auto"/>
                <w:lang w:eastAsia="zh-CN"/>
              </w:rPr>
            </w:pPr>
            <w:r>
              <w:rPr>
                <w:rFonts w:hint="eastAsia" w:ascii="仿宋" w:hAnsi="仿宋" w:eastAsia="仿宋" w:cs="仿宋"/>
                <w:color w:val="auto"/>
                <w:sz w:val="28"/>
                <w:szCs w:val="28"/>
                <w:lang w:eastAsia="zh-CN"/>
              </w:rPr>
              <w:t>建设质量安全监督事务管理经费</w:t>
            </w:r>
          </w:p>
        </w:tc>
      </w:tr>
      <w:tr w14:paraId="723582B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0" w:hRule="atLeast"/>
        </w:trPr>
        <w:tc>
          <w:tcPr>
            <w:tcW w:w="1064" w:type="dxa"/>
            <w:noWrap w:val="0"/>
            <w:vAlign w:val="top"/>
          </w:tcPr>
          <w:p w14:paraId="0BEC0F62">
            <w:pPr>
              <w:spacing w:before="28" w:line="204" w:lineRule="auto"/>
              <w:ind w:left="125"/>
              <w:rPr>
                <w:rFonts w:ascii="宋体" w:hAnsi="宋体" w:eastAsia="宋体" w:cs="宋体"/>
                <w:color w:val="auto"/>
                <w:sz w:val="20"/>
                <w:szCs w:val="20"/>
              </w:rPr>
            </w:pPr>
            <w:r>
              <w:rPr>
                <w:rFonts w:ascii="宋体" w:hAnsi="宋体" w:eastAsia="宋体" w:cs="宋体"/>
                <w:color w:val="auto"/>
                <w:spacing w:val="5"/>
                <w:sz w:val="20"/>
                <w:szCs w:val="20"/>
              </w:rPr>
              <w:t>主管部门</w:t>
            </w:r>
          </w:p>
        </w:tc>
        <w:tc>
          <w:tcPr>
            <w:tcW w:w="4385" w:type="dxa"/>
            <w:gridSpan w:val="4"/>
            <w:noWrap w:val="0"/>
            <w:vAlign w:val="top"/>
          </w:tcPr>
          <w:p w14:paraId="2BE273AB">
            <w:pPr>
              <w:pStyle w:val="19"/>
              <w:rPr>
                <w:rFonts w:hint="eastAsia" w:eastAsia="宋体"/>
                <w:color w:val="auto"/>
                <w:lang w:eastAsia="zh-CN"/>
              </w:rPr>
            </w:pPr>
            <w:r>
              <w:rPr>
                <w:rFonts w:hint="eastAsia" w:eastAsia="宋体"/>
                <w:color w:val="auto"/>
                <w:lang w:eastAsia="zh-CN"/>
              </w:rPr>
              <w:t>岳阳市住房城乡建设局</w:t>
            </w:r>
          </w:p>
        </w:tc>
        <w:tc>
          <w:tcPr>
            <w:tcW w:w="1109" w:type="dxa"/>
            <w:noWrap w:val="0"/>
            <w:vAlign w:val="top"/>
          </w:tcPr>
          <w:p w14:paraId="7F09F764">
            <w:pPr>
              <w:spacing w:before="30" w:line="203" w:lineRule="auto"/>
              <w:ind w:left="145"/>
              <w:rPr>
                <w:rFonts w:ascii="宋体" w:hAnsi="宋体" w:eastAsia="宋体" w:cs="宋体"/>
                <w:color w:val="auto"/>
                <w:sz w:val="20"/>
                <w:szCs w:val="20"/>
              </w:rPr>
            </w:pPr>
            <w:r>
              <w:rPr>
                <w:rFonts w:ascii="宋体" w:hAnsi="宋体" w:eastAsia="宋体" w:cs="宋体"/>
                <w:color w:val="auto"/>
                <w:spacing w:val="1"/>
                <w:sz w:val="20"/>
                <w:szCs w:val="20"/>
              </w:rPr>
              <w:t>实施单位</w:t>
            </w:r>
          </w:p>
        </w:tc>
        <w:tc>
          <w:tcPr>
            <w:tcW w:w="3031" w:type="dxa"/>
            <w:gridSpan w:val="3"/>
            <w:noWrap w:val="0"/>
            <w:vAlign w:val="top"/>
          </w:tcPr>
          <w:p w14:paraId="199DA25C">
            <w:pPr>
              <w:pStyle w:val="19"/>
              <w:rPr>
                <w:color w:val="auto"/>
              </w:rPr>
            </w:pPr>
          </w:p>
        </w:tc>
      </w:tr>
      <w:tr w14:paraId="35F7987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9" w:hRule="atLeast"/>
        </w:trPr>
        <w:tc>
          <w:tcPr>
            <w:tcW w:w="1064" w:type="dxa"/>
            <w:vMerge w:val="restart"/>
            <w:tcBorders>
              <w:bottom w:val="nil"/>
            </w:tcBorders>
            <w:noWrap w:val="0"/>
            <w:vAlign w:val="top"/>
          </w:tcPr>
          <w:p w14:paraId="33A10E50">
            <w:pPr>
              <w:pStyle w:val="19"/>
              <w:spacing w:line="270" w:lineRule="auto"/>
              <w:rPr>
                <w:color w:val="auto"/>
              </w:rPr>
            </w:pPr>
          </w:p>
          <w:p w14:paraId="5E457996">
            <w:pPr>
              <w:pStyle w:val="19"/>
              <w:spacing w:line="271" w:lineRule="auto"/>
              <w:rPr>
                <w:color w:val="auto"/>
              </w:rPr>
            </w:pPr>
          </w:p>
          <w:p w14:paraId="3A54EFC1">
            <w:pPr>
              <w:spacing w:before="65" w:line="220" w:lineRule="auto"/>
              <w:ind w:left="125"/>
              <w:rPr>
                <w:rFonts w:ascii="宋体" w:hAnsi="宋体" w:eastAsia="宋体" w:cs="宋体"/>
                <w:color w:val="auto"/>
                <w:sz w:val="20"/>
                <w:szCs w:val="20"/>
              </w:rPr>
            </w:pPr>
            <w:r>
              <w:rPr>
                <w:rFonts w:ascii="宋体" w:hAnsi="宋体" w:eastAsia="宋体" w:cs="宋体"/>
                <w:color w:val="auto"/>
                <w:spacing w:val="-3"/>
                <w:sz w:val="20"/>
                <w:szCs w:val="20"/>
              </w:rPr>
              <w:t>项目资金</w:t>
            </w:r>
          </w:p>
          <w:p w14:paraId="616E1F8A">
            <w:pPr>
              <w:spacing w:before="1" w:line="220" w:lineRule="auto"/>
              <w:ind w:left="224"/>
              <w:rPr>
                <w:rFonts w:ascii="宋体" w:hAnsi="宋体" w:eastAsia="宋体" w:cs="宋体"/>
                <w:color w:val="auto"/>
                <w:sz w:val="20"/>
                <w:szCs w:val="20"/>
              </w:rPr>
            </w:pPr>
            <w:r>
              <w:rPr>
                <w:rFonts w:ascii="宋体" w:hAnsi="宋体" w:eastAsia="宋体" w:cs="宋体"/>
                <w:color w:val="auto"/>
                <w:spacing w:val="10"/>
                <w:sz w:val="20"/>
                <w:szCs w:val="20"/>
              </w:rPr>
              <w:t>(万元)</w:t>
            </w:r>
          </w:p>
        </w:tc>
        <w:tc>
          <w:tcPr>
            <w:tcW w:w="2098" w:type="dxa"/>
            <w:gridSpan w:val="2"/>
            <w:noWrap w:val="0"/>
            <w:vAlign w:val="top"/>
          </w:tcPr>
          <w:p w14:paraId="6DCE9549">
            <w:pPr>
              <w:pStyle w:val="19"/>
              <w:rPr>
                <w:color w:val="auto"/>
              </w:rPr>
            </w:pPr>
          </w:p>
        </w:tc>
        <w:tc>
          <w:tcPr>
            <w:tcW w:w="1198" w:type="dxa"/>
            <w:noWrap w:val="0"/>
            <w:vAlign w:val="top"/>
          </w:tcPr>
          <w:p w14:paraId="2C252E3F">
            <w:pPr>
              <w:spacing w:before="49" w:line="212" w:lineRule="auto"/>
              <w:ind w:left="322" w:right="274" w:firstLine="79"/>
              <w:rPr>
                <w:rFonts w:ascii="宋体" w:hAnsi="宋体" w:eastAsia="宋体" w:cs="宋体"/>
                <w:color w:val="auto"/>
                <w:sz w:val="20"/>
                <w:szCs w:val="20"/>
              </w:rPr>
            </w:pPr>
            <w:r>
              <w:rPr>
                <w:rFonts w:ascii="宋体" w:hAnsi="宋体" w:eastAsia="宋体" w:cs="宋体"/>
                <w:color w:val="auto"/>
                <w:spacing w:val="-5"/>
                <w:sz w:val="20"/>
                <w:szCs w:val="20"/>
              </w:rPr>
              <w:t>年初</w:t>
            </w:r>
            <w:r>
              <w:rPr>
                <w:rFonts w:ascii="宋体" w:hAnsi="宋体" w:eastAsia="宋体" w:cs="宋体"/>
                <w:color w:val="auto"/>
                <w:sz w:val="20"/>
                <w:szCs w:val="20"/>
              </w:rPr>
              <w:t xml:space="preserve">  </w:t>
            </w:r>
            <w:r>
              <w:rPr>
                <w:rFonts w:ascii="宋体" w:hAnsi="宋体" w:eastAsia="宋体" w:cs="宋体"/>
                <w:color w:val="auto"/>
                <w:spacing w:val="-4"/>
                <w:sz w:val="20"/>
                <w:szCs w:val="20"/>
              </w:rPr>
              <w:t>预算数</w:t>
            </w:r>
          </w:p>
        </w:tc>
        <w:tc>
          <w:tcPr>
            <w:tcW w:w="1089" w:type="dxa"/>
            <w:noWrap w:val="0"/>
            <w:vAlign w:val="top"/>
          </w:tcPr>
          <w:p w14:paraId="72D42E4D">
            <w:pPr>
              <w:spacing w:before="58" w:line="208" w:lineRule="auto"/>
              <w:ind w:left="234" w:right="253" w:firstLine="99"/>
              <w:rPr>
                <w:rFonts w:ascii="宋体" w:hAnsi="宋体" w:eastAsia="宋体" w:cs="宋体"/>
                <w:color w:val="auto"/>
                <w:sz w:val="20"/>
                <w:szCs w:val="20"/>
              </w:rPr>
            </w:pPr>
            <w:r>
              <w:rPr>
                <w:rFonts w:ascii="宋体" w:hAnsi="宋体" w:eastAsia="宋体" w:cs="宋体"/>
                <w:color w:val="auto"/>
                <w:spacing w:val="-4"/>
                <w:sz w:val="20"/>
                <w:szCs w:val="20"/>
              </w:rPr>
              <w:t>全年</w:t>
            </w:r>
            <w:r>
              <w:rPr>
                <w:rFonts w:ascii="宋体" w:hAnsi="宋体" w:eastAsia="宋体" w:cs="宋体"/>
                <w:color w:val="auto"/>
                <w:sz w:val="20"/>
                <w:szCs w:val="20"/>
              </w:rPr>
              <w:t xml:space="preserve">  </w:t>
            </w:r>
            <w:r>
              <w:rPr>
                <w:rFonts w:ascii="宋体" w:hAnsi="宋体" w:eastAsia="宋体" w:cs="宋体"/>
                <w:color w:val="auto"/>
                <w:spacing w:val="-4"/>
                <w:sz w:val="20"/>
                <w:szCs w:val="20"/>
              </w:rPr>
              <w:t>预算数</w:t>
            </w:r>
          </w:p>
        </w:tc>
        <w:tc>
          <w:tcPr>
            <w:tcW w:w="1109" w:type="dxa"/>
            <w:noWrap w:val="0"/>
            <w:vAlign w:val="top"/>
          </w:tcPr>
          <w:p w14:paraId="72FD27A2">
            <w:pPr>
              <w:spacing w:before="58" w:line="208" w:lineRule="auto"/>
              <w:ind w:left="245" w:right="260" w:firstLine="100"/>
              <w:rPr>
                <w:rFonts w:ascii="宋体" w:hAnsi="宋体" w:eastAsia="宋体" w:cs="宋体"/>
                <w:color w:val="auto"/>
                <w:sz w:val="20"/>
                <w:szCs w:val="20"/>
              </w:rPr>
            </w:pPr>
            <w:r>
              <w:rPr>
                <w:rFonts w:ascii="宋体" w:hAnsi="宋体" w:eastAsia="宋体" w:cs="宋体"/>
                <w:color w:val="auto"/>
                <w:spacing w:val="-4"/>
                <w:sz w:val="20"/>
                <w:szCs w:val="20"/>
              </w:rPr>
              <w:t>全年</w:t>
            </w:r>
            <w:r>
              <w:rPr>
                <w:rFonts w:ascii="宋体" w:hAnsi="宋体" w:eastAsia="宋体" w:cs="宋体"/>
                <w:color w:val="auto"/>
                <w:sz w:val="20"/>
                <w:szCs w:val="20"/>
              </w:rPr>
              <w:t xml:space="preserve">  </w:t>
            </w:r>
            <w:r>
              <w:rPr>
                <w:rFonts w:ascii="宋体" w:hAnsi="宋体" w:eastAsia="宋体" w:cs="宋体"/>
                <w:color w:val="auto"/>
                <w:spacing w:val="-3"/>
                <w:sz w:val="20"/>
                <w:szCs w:val="20"/>
              </w:rPr>
              <w:t>执行数</w:t>
            </w:r>
          </w:p>
        </w:tc>
        <w:tc>
          <w:tcPr>
            <w:tcW w:w="809" w:type="dxa"/>
            <w:noWrap w:val="0"/>
            <w:vAlign w:val="top"/>
          </w:tcPr>
          <w:p w14:paraId="16F7EB31">
            <w:pPr>
              <w:spacing w:before="159" w:line="219" w:lineRule="auto"/>
              <w:ind w:left="196"/>
              <w:rPr>
                <w:rFonts w:ascii="宋体" w:hAnsi="宋体" w:eastAsia="宋体" w:cs="宋体"/>
                <w:color w:val="auto"/>
                <w:sz w:val="20"/>
                <w:szCs w:val="20"/>
              </w:rPr>
            </w:pPr>
            <w:r>
              <w:rPr>
                <w:rFonts w:ascii="宋体" w:hAnsi="宋体" w:eastAsia="宋体" w:cs="宋体"/>
                <w:color w:val="auto"/>
                <w:spacing w:val="-3"/>
                <w:sz w:val="20"/>
                <w:szCs w:val="20"/>
              </w:rPr>
              <w:t>分值</w:t>
            </w:r>
          </w:p>
        </w:tc>
        <w:tc>
          <w:tcPr>
            <w:tcW w:w="849" w:type="dxa"/>
            <w:noWrap w:val="0"/>
            <w:vAlign w:val="top"/>
          </w:tcPr>
          <w:p w14:paraId="3A020579">
            <w:pPr>
              <w:spacing w:before="159" w:line="219" w:lineRule="auto"/>
              <w:ind w:left="117"/>
              <w:rPr>
                <w:rFonts w:ascii="宋体" w:hAnsi="宋体" w:eastAsia="宋体" w:cs="宋体"/>
                <w:color w:val="auto"/>
                <w:sz w:val="20"/>
                <w:szCs w:val="20"/>
              </w:rPr>
            </w:pPr>
            <w:r>
              <w:rPr>
                <w:rFonts w:ascii="宋体" w:hAnsi="宋体" w:eastAsia="宋体" w:cs="宋体"/>
                <w:color w:val="auto"/>
                <w:spacing w:val="-2"/>
                <w:sz w:val="20"/>
                <w:szCs w:val="20"/>
              </w:rPr>
              <w:t>执行率</w:t>
            </w:r>
          </w:p>
        </w:tc>
        <w:tc>
          <w:tcPr>
            <w:tcW w:w="1373" w:type="dxa"/>
            <w:noWrap w:val="0"/>
            <w:vAlign w:val="top"/>
          </w:tcPr>
          <w:p w14:paraId="7B8D9389">
            <w:pPr>
              <w:spacing w:before="159" w:line="219" w:lineRule="auto"/>
              <w:ind w:left="478"/>
              <w:rPr>
                <w:rFonts w:ascii="宋体" w:hAnsi="宋体" w:eastAsia="宋体" w:cs="宋体"/>
                <w:color w:val="auto"/>
                <w:sz w:val="20"/>
                <w:szCs w:val="20"/>
              </w:rPr>
            </w:pPr>
            <w:r>
              <w:rPr>
                <w:rFonts w:ascii="宋体" w:hAnsi="宋体" w:eastAsia="宋体" w:cs="宋体"/>
                <w:color w:val="auto"/>
                <w:spacing w:val="-3"/>
                <w:sz w:val="20"/>
                <w:szCs w:val="20"/>
              </w:rPr>
              <w:t>得分</w:t>
            </w:r>
          </w:p>
        </w:tc>
      </w:tr>
      <w:tr w14:paraId="4BA919B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0" w:hRule="atLeast"/>
        </w:trPr>
        <w:tc>
          <w:tcPr>
            <w:tcW w:w="1064" w:type="dxa"/>
            <w:vMerge w:val="continue"/>
            <w:tcBorders>
              <w:top w:val="nil"/>
              <w:bottom w:val="nil"/>
            </w:tcBorders>
            <w:noWrap w:val="0"/>
            <w:vAlign w:val="top"/>
          </w:tcPr>
          <w:p w14:paraId="64AF7964">
            <w:pPr>
              <w:pStyle w:val="19"/>
              <w:rPr>
                <w:color w:val="auto"/>
              </w:rPr>
            </w:pPr>
          </w:p>
        </w:tc>
        <w:tc>
          <w:tcPr>
            <w:tcW w:w="2098" w:type="dxa"/>
            <w:gridSpan w:val="2"/>
            <w:noWrap w:val="0"/>
            <w:vAlign w:val="top"/>
          </w:tcPr>
          <w:p w14:paraId="208CD674">
            <w:pPr>
              <w:spacing w:before="29" w:line="194" w:lineRule="auto"/>
              <w:ind w:left="100"/>
              <w:rPr>
                <w:rFonts w:ascii="宋体" w:hAnsi="宋体" w:eastAsia="宋体" w:cs="宋体"/>
                <w:color w:val="auto"/>
                <w:sz w:val="20"/>
                <w:szCs w:val="20"/>
              </w:rPr>
            </w:pPr>
            <w:r>
              <w:rPr>
                <w:rFonts w:ascii="宋体" w:hAnsi="宋体" w:eastAsia="宋体" w:cs="宋体"/>
                <w:color w:val="auto"/>
                <w:spacing w:val="-2"/>
                <w:sz w:val="20"/>
                <w:szCs w:val="20"/>
              </w:rPr>
              <w:t>年度资金总额</w:t>
            </w:r>
          </w:p>
        </w:tc>
        <w:tc>
          <w:tcPr>
            <w:tcW w:w="1198" w:type="dxa"/>
            <w:noWrap w:val="0"/>
            <w:vAlign w:val="center"/>
          </w:tcPr>
          <w:p w14:paraId="41476D4E">
            <w:pPr>
              <w:pStyle w:val="19"/>
              <w:spacing w:line="240" w:lineRule="exact"/>
              <w:jc w:val="center"/>
              <w:rPr>
                <w:rFonts w:eastAsia="宋体"/>
                <w:color w:val="auto"/>
                <w:sz w:val="20"/>
                <w:lang w:eastAsia="zh-CN"/>
              </w:rPr>
            </w:pPr>
            <w:r>
              <w:rPr>
                <w:rFonts w:hint="eastAsia" w:eastAsia="宋体"/>
                <w:color w:val="auto"/>
                <w:sz w:val="20"/>
                <w:lang w:eastAsia="zh-CN"/>
              </w:rPr>
              <w:t>40</w:t>
            </w:r>
          </w:p>
        </w:tc>
        <w:tc>
          <w:tcPr>
            <w:tcW w:w="1089" w:type="dxa"/>
            <w:noWrap w:val="0"/>
            <w:vAlign w:val="center"/>
          </w:tcPr>
          <w:p w14:paraId="270BDBB5">
            <w:pPr>
              <w:pStyle w:val="19"/>
              <w:spacing w:line="240" w:lineRule="exact"/>
              <w:jc w:val="center"/>
              <w:rPr>
                <w:rFonts w:eastAsia="宋体"/>
                <w:color w:val="auto"/>
                <w:sz w:val="20"/>
                <w:lang w:eastAsia="zh-CN"/>
              </w:rPr>
            </w:pPr>
            <w:r>
              <w:rPr>
                <w:rFonts w:hint="eastAsia" w:eastAsia="宋体"/>
                <w:color w:val="auto"/>
                <w:sz w:val="20"/>
                <w:lang w:eastAsia="zh-CN"/>
              </w:rPr>
              <w:t>38</w:t>
            </w:r>
          </w:p>
        </w:tc>
        <w:tc>
          <w:tcPr>
            <w:tcW w:w="1109" w:type="dxa"/>
            <w:noWrap w:val="0"/>
            <w:vAlign w:val="center"/>
          </w:tcPr>
          <w:p w14:paraId="04BEF7E1">
            <w:pPr>
              <w:pStyle w:val="19"/>
              <w:spacing w:line="240" w:lineRule="exact"/>
              <w:jc w:val="center"/>
              <w:rPr>
                <w:rFonts w:eastAsia="宋体"/>
                <w:color w:val="auto"/>
                <w:sz w:val="20"/>
                <w:lang w:eastAsia="zh-CN"/>
              </w:rPr>
            </w:pPr>
            <w:r>
              <w:rPr>
                <w:rFonts w:hint="eastAsia" w:eastAsia="宋体"/>
                <w:color w:val="auto"/>
                <w:sz w:val="20"/>
                <w:lang w:eastAsia="zh-CN"/>
              </w:rPr>
              <w:t>36.92</w:t>
            </w:r>
          </w:p>
        </w:tc>
        <w:tc>
          <w:tcPr>
            <w:tcW w:w="809" w:type="dxa"/>
            <w:noWrap w:val="0"/>
            <w:vAlign w:val="center"/>
          </w:tcPr>
          <w:p w14:paraId="201696F6">
            <w:pPr>
              <w:spacing w:before="80" w:line="160" w:lineRule="exact"/>
              <w:ind w:left="297"/>
              <w:jc w:val="center"/>
              <w:rPr>
                <w:rFonts w:ascii="宋体" w:hAnsi="宋体" w:eastAsia="宋体" w:cs="宋体"/>
                <w:color w:val="auto"/>
                <w:sz w:val="20"/>
                <w:szCs w:val="20"/>
              </w:rPr>
            </w:pPr>
            <w:r>
              <w:rPr>
                <w:rFonts w:ascii="宋体" w:hAnsi="宋体" w:eastAsia="宋体" w:cs="宋体"/>
                <w:color w:val="auto"/>
                <w:spacing w:val="-6"/>
                <w:position w:val="-2"/>
                <w:sz w:val="20"/>
                <w:szCs w:val="20"/>
              </w:rPr>
              <w:t>10</w:t>
            </w:r>
          </w:p>
        </w:tc>
        <w:tc>
          <w:tcPr>
            <w:tcW w:w="849" w:type="dxa"/>
            <w:noWrap w:val="0"/>
            <w:vAlign w:val="center"/>
          </w:tcPr>
          <w:p w14:paraId="0BF797F4">
            <w:pPr>
              <w:pStyle w:val="19"/>
              <w:spacing w:line="240" w:lineRule="exact"/>
              <w:jc w:val="center"/>
              <w:rPr>
                <w:rFonts w:eastAsia="宋体"/>
                <w:color w:val="auto"/>
                <w:sz w:val="20"/>
                <w:lang w:eastAsia="zh-CN"/>
              </w:rPr>
            </w:pPr>
            <w:r>
              <w:rPr>
                <w:rFonts w:hint="eastAsia" w:eastAsia="宋体"/>
                <w:color w:val="auto"/>
                <w:sz w:val="20"/>
                <w:lang w:eastAsia="zh-CN"/>
              </w:rPr>
              <w:t>97.16%</w:t>
            </w:r>
          </w:p>
        </w:tc>
        <w:tc>
          <w:tcPr>
            <w:tcW w:w="1373" w:type="dxa"/>
            <w:noWrap w:val="0"/>
            <w:vAlign w:val="center"/>
          </w:tcPr>
          <w:p w14:paraId="3075D176">
            <w:pPr>
              <w:pStyle w:val="19"/>
              <w:spacing w:line="240" w:lineRule="exact"/>
              <w:jc w:val="center"/>
              <w:rPr>
                <w:rFonts w:eastAsia="宋体"/>
                <w:color w:val="auto"/>
                <w:sz w:val="20"/>
                <w:lang w:eastAsia="zh-CN"/>
              </w:rPr>
            </w:pPr>
            <w:r>
              <w:rPr>
                <w:rFonts w:hint="eastAsia" w:eastAsia="宋体"/>
                <w:color w:val="auto"/>
                <w:sz w:val="20"/>
                <w:lang w:eastAsia="zh-CN"/>
              </w:rPr>
              <w:t>9.72</w:t>
            </w:r>
          </w:p>
        </w:tc>
      </w:tr>
      <w:tr w14:paraId="2AB16E7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0" w:hRule="atLeast"/>
        </w:trPr>
        <w:tc>
          <w:tcPr>
            <w:tcW w:w="1064" w:type="dxa"/>
            <w:vMerge w:val="continue"/>
            <w:tcBorders>
              <w:top w:val="nil"/>
              <w:bottom w:val="nil"/>
            </w:tcBorders>
            <w:noWrap w:val="0"/>
            <w:vAlign w:val="top"/>
          </w:tcPr>
          <w:p w14:paraId="6760BDD0">
            <w:pPr>
              <w:pStyle w:val="19"/>
              <w:rPr>
                <w:color w:val="auto"/>
              </w:rPr>
            </w:pPr>
          </w:p>
        </w:tc>
        <w:tc>
          <w:tcPr>
            <w:tcW w:w="2098" w:type="dxa"/>
            <w:gridSpan w:val="2"/>
            <w:noWrap w:val="0"/>
            <w:vAlign w:val="top"/>
          </w:tcPr>
          <w:p w14:paraId="59EF5F72">
            <w:pPr>
              <w:spacing w:before="30" w:line="203" w:lineRule="auto"/>
              <w:ind w:left="100"/>
              <w:rPr>
                <w:rFonts w:ascii="宋体" w:hAnsi="宋体" w:eastAsia="宋体" w:cs="宋体"/>
                <w:color w:val="auto"/>
                <w:sz w:val="20"/>
                <w:szCs w:val="20"/>
              </w:rPr>
            </w:pPr>
            <w:r>
              <w:rPr>
                <w:rFonts w:ascii="宋体" w:hAnsi="宋体" w:eastAsia="宋体" w:cs="宋体"/>
                <w:color w:val="auto"/>
                <w:spacing w:val="-1"/>
                <w:sz w:val="20"/>
                <w:szCs w:val="20"/>
              </w:rPr>
              <w:t>其中：当年财政拨款</w:t>
            </w:r>
          </w:p>
        </w:tc>
        <w:tc>
          <w:tcPr>
            <w:tcW w:w="1198" w:type="dxa"/>
            <w:noWrap w:val="0"/>
            <w:vAlign w:val="center"/>
          </w:tcPr>
          <w:p w14:paraId="17F0A941">
            <w:pPr>
              <w:pStyle w:val="19"/>
              <w:jc w:val="center"/>
              <w:rPr>
                <w:rFonts w:eastAsia="宋体"/>
                <w:color w:val="auto"/>
                <w:lang w:eastAsia="zh-CN"/>
              </w:rPr>
            </w:pPr>
            <w:r>
              <w:rPr>
                <w:rFonts w:hint="eastAsia" w:eastAsia="宋体"/>
                <w:color w:val="auto"/>
                <w:lang w:eastAsia="zh-CN"/>
              </w:rPr>
              <w:t>40</w:t>
            </w:r>
          </w:p>
        </w:tc>
        <w:tc>
          <w:tcPr>
            <w:tcW w:w="1089" w:type="dxa"/>
            <w:noWrap w:val="0"/>
            <w:vAlign w:val="center"/>
          </w:tcPr>
          <w:p w14:paraId="30DCE453">
            <w:pPr>
              <w:pStyle w:val="19"/>
              <w:jc w:val="center"/>
              <w:rPr>
                <w:rFonts w:eastAsia="宋体"/>
                <w:color w:val="auto"/>
                <w:lang w:eastAsia="zh-CN"/>
              </w:rPr>
            </w:pPr>
            <w:r>
              <w:rPr>
                <w:rFonts w:hint="eastAsia" w:eastAsia="宋体"/>
                <w:color w:val="auto"/>
                <w:lang w:eastAsia="zh-CN"/>
              </w:rPr>
              <w:t>38</w:t>
            </w:r>
          </w:p>
        </w:tc>
        <w:tc>
          <w:tcPr>
            <w:tcW w:w="1109" w:type="dxa"/>
            <w:noWrap w:val="0"/>
            <w:vAlign w:val="center"/>
          </w:tcPr>
          <w:p w14:paraId="1B7CE558">
            <w:pPr>
              <w:pStyle w:val="19"/>
              <w:jc w:val="center"/>
              <w:rPr>
                <w:rFonts w:eastAsia="宋体"/>
                <w:color w:val="auto"/>
                <w:lang w:eastAsia="zh-CN"/>
              </w:rPr>
            </w:pPr>
            <w:r>
              <w:rPr>
                <w:rFonts w:hint="eastAsia" w:eastAsia="宋体"/>
                <w:color w:val="auto"/>
                <w:lang w:eastAsia="zh-CN"/>
              </w:rPr>
              <w:t>36.92</w:t>
            </w:r>
          </w:p>
        </w:tc>
        <w:tc>
          <w:tcPr>
            <w:tcW w:w="809" w:type="dxa"/>
            <w:noWrap w:val="0"/>
            <w:vAlign w:val="center"/>
          </w:tcPr>
          <w:p w14:paraId="5C243BB3">
            <w:pPr>
              <w:pStyle w:val="19"/>
              <w:jc w:val="center"/>
              <w:rPr>
                <w:color w:val="auto"/>
              </w:rPr>
            </w:pPr>
          </w:p>
        </w:tc>
        <w:tc>
          <w:tcPr>
            <w:tcW w:w="849" w:type="dxa"/>
            <w:noWrap w:val="0"/>
            <w:vAlign w:val="center"/>
          </w:tcPr>
          <w:p w14:paraId="02285557">
            <w:pPr>
              <w:pStyle w:val="19"/>
              <w:jc w:val="center"/>
              <w:rPr>
                <w:color w:val="auto"/>
              </w:rPr>
            </w:pPr>
          </w:p>
        </w:tc>
        <w:tc>
          <w:tcPr>
            <w:tcW w:w="1373" w:type="dxa"/>
            <w:noWrap w:val="0"/>
            <w:vAlign w:val="center"/>
          </w:tcPr>
          <w:p w14:paraId="06649C58">
            <w:pPr>
              <w:pStyle w:val="19"/>
              <w:jc w:val="center"/>
              <w:rPr>
                <w:color w:val="auto"/>
              </w:rPr>
            </w:pPr>
          </w:p>
        </w:tc>
      </w:tr>
      <w:tr w14:paraId="3B755B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0" w:hRule="atLeast"/>
        </w:trPr>
        <w:tc>
          <w:tcPr>
            <w:tcW w:w="1064" w:type="dxa"/>
            <w:vMerge w:val="continue"/>
            <w:tcBorders>
              <w:top w:val="nil"/>
              <w:bottom w:val="nil"/>
            </w:tcBorders>
            <w:noWrap w:val="0"/>
            <w:vAlign w:val="top"/>
          </w:tcPr>
          <w:p w14:paraId="03383554">
            <w:pPr>
              <w:pStyle w:val="19"/>
              <w:rPr>
                <w:color w:val="auto"/>
              </w:rPr>
            </w:pPr>
          </w:p>
        </w:tc>
        <w:tc>
          <w:tcPr>
            <w:tcW w:w="2098" w:type="dxa"/>
            <w:gridSpan w:val="2"/>
            <w:noWrap w:val="0"/>
            <w:vAlign w:val="top"/>
          </w:tcPr>
          <w:p w14:paraId="2E0D9FC9">
            <w:pPr>
              <w:spacing w:before="29" w:line="194" w:lineRule="auto"/>
              <w:ind w:left="700"/>
              <w:rPr>
                <w:rFonts w:ascii="宋体" w:hAnsi="宋体" w:eastAsia="宋体" w:cs="宋体"/>
                <w:color w:val="auto"/>
                <w:sz w:val="20"/>
                <w:szCs w:val="20"/>
              </w:rPr>
            </w:pPr>
            <w:r>
              <w:rPr>
                <w:rFonts w:ascii="宋体" w:hAnsi="宋体" w:eastAsia="宋体" w:cs="宋体"/>
                <w:color w:val="auto"/>
                <w:spacing w:val="-2"/>
                <w:sz w:val="20"/>
                <w:szCs w:val="20"/>
              </w:rPr>
              <w:t>上年结转资金</w:t>
            </w:r>
          </w:p>
        </w:tc>
        <w:tc>
          <w:tcPr>
            <w:tcW w:w="1198" w:type="dxa"/>
            <w:noWrap w:val="0"/>
            <w:vAlign w:val="center"/>
          </w:tcPr>
          <w:p w14:paraId="6A86FF5A">
            <w:pPr>
              <w:pStyle w:val="19"/>
              <w:spacing w:line="240" w:lineRule="exact"/>
              <w:jc w:val="center"/>
              <w:rPr>
                <w:rFonts w:hint="eastAsia" w:eastAsia="宋体"/>
                <w:color w:val="auto"/>
                <w:sz w:val="20"/>
                <w:lang w:eastAsia="zh-CN"/>
              </w:rPr>
            </w:pPr>
            <w:r>
              <w:rPr>
                <w:rFonts w:hint="eastAsia" w:eastAsia="宋体"/>
                <w:color w:val="auto"/>
                <w:sz w:val="20"/>
                <w:lang w:eastAsia="zh-CN"/>
              </w:rPr>
              <w:t>0</w:t>
            </w:r>
          </w:p>
        </w:tc>
        <w:tc>
          <w:tcPr>
            <w:tcW w:w="1089" w:type="dxa"/>
            <w:noWrap w:val="0"/>
            <w:vAlign w:val="center"/>
          </w:tcPr>
          <w:p w14:paraId="6E0853B7">
            <w:pPr>
              <w:pStyle w:val="19"/>
              <w:spacing w:line="240" w:lineRule="exact"/>
              <w:jc w:val="center"/>
              <w:rPr>
                <w:color w:val="auto"/>
                <w:sz w:val="20"/>
              </w:rPr>
            </w:pPr>
          </w:p>
        </w:tc>
        <w:tc>
          <w:tcPr>
            <w:tcW w:w="1109" w:type="dxa"/>
            <w:noWrap w:val="0"/>
            <w:vAlign w:val="center"/>
          </w:tcPr>
          <w:p w14:paraId="47F9C87D">
            <w:pPr>
              <w:pStyle w:val="19"/>
              <w:spacing w:line="240" w:lineRule="exact"/>
              <w:jc w:val="center"/>
              <w:rPr>
                <w:color w:val="auto"/>
                <w:sz w:val="20"/>
              </w:rPr>
            </w:pPr>
          </w:p>
        </w:tc>
        <w:tc>
          <w:tcPr>
            <w:tcW w:w="809" w:type="dxa"/>
            <w:noWrap w:val="0"/>
            <w:vAlign w:val="center"/>
          </w:tcPr>
          <w:p w14:paraId="7660339D">
            <w:pPr>
              <w:pStyle w:val="19"/>
              <w:spacing w:line="240" w:lineRule="exact"/>
              <w:jc w:val="center"/>
              <w:rPr>
                <w:color w:val="auto"/>
                <w:sz w:val="20"/>
              </w:rPr>
            </w:pPr>
          </w:p>
        </w:tc>
        <w:tc>
          <w:tcPr>
            <w:tcW w:w="849" w:type="dxa"/>
            <w:noWrap w:val="0"/>
            <w:vAlign w:val="center"/>
          </w:tcPr>
          <w:p w14:paraId="75BDD951">
            <w:pPr>
              <w:pStyle w:val="19"/>
              <w:spacing w:line="240" w:lineRule="exact"/>
              <w:jc w:val="center"/>
              <w:rPr>
                <w:color w:val="auto"/>
                <w:sz w:val="20"/>
              </w:rPr>
            </w:pPr>
          </w:p>
        </w:tc>
        <w:tc>
          <w:tcPr>
            <w:tcW w:w="1373" w:type="dxa"/>
            <w:noWrap w:val="0"/>
            <w:vAlign w:val="center"/>
          </w:tcPr>
          <w:p w14:paraId="27613A69">
            <w:pPr>
              <w:pStyle w:val="19"/>
              <w:spacing w:line="240" w:lineRule="exact"/>
              <w:jc w:val="center"/>
              <w:rPr>
                <w:color w:val="auto"/>
                <w:sz w:val="20"/>
              </w:rPr>
            </w:pPr>
          </w:p>
        </w:tc>
      </w:tr>
      <w:tr w14:paraId="01DC39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0" w:hRule="atLeast"/>
        </w:trPr>
        <w:tc>
          <w:tcPr>
            <w:tcW w:w="1064" w:type="dxa"/>
            <w:vMerge w:val="continue"/>
            <w:tcBorders>
              <w:top w:val="nil"/>
            </w:tcBorders>
            <w:noWrap w:val="0"/>
            <w:vAlign w:val="top"/>
          </w:tcPr>
          <w:p w14:paraId="27ED0C20">
            <w:pPr>
              <w:pStyle w:val="19"/>
              <w:rPr>
                <w:color w:val="auto"/>
              </w:rPr>
            </w:pPr>
          </w:p>
        </w:tc>
        <w:tc>
          <w:tcPr>
            <w:tcW w:w="2098" w:type="dxa"/>
            <w:gridSpan w:val="2"/>
            <w:noWrap w:val="0"/>
            <w:vAlign w:val="top"/>
          </w:tcPr>
          <w:p w14:paraId="269FADC0">
            <w:pPr>
              <w:spacing w:before="30" w:line="193" w:lineRule="auto"/>
              <w:ind w:left="690"/>
              <w:rPr>
                <w:rFonts w:ascii="宋体" w:hAnsi="宋体" w:eastAsia="宋体" w:cs="宋体"/>
                <w:color w:val="auto"/>
                <w:sz w:val="20"/>
                <w:szCs w:val="20"/>
              </w:rPr>
            </w:pPr>
            <w:r>
              <w:rPr>
                <w:rFonts w:ascii="宋体" w:hAnsi="宋体" w:eastAsia="宋体" w:cs="宋体"/>
                <w:color w:val="auto"/>
                <w:spacing w:val="-2"/>
                <w:sz w:val="20"/>
                <w:szCs w:val="20"/>
              </w:rPr>
              <w:t>其他资金</w:t>
            </w:r>
          </w:p>
        </w:tc>
        <w:tc>
          <w:tcPr>
            <w:tcW w:w="1198" w:type="dxa"/>
            <w:noWrap w:val="0"/>
            <w:vAlign w:val="center"/>
          </w:tcPr>
          <w:p w14:paraId="2C85F5B0">
            <w:pPr>
              <w:pStyle w:val="19"/>
              <w:spacing w:line="240" w:lineRule="exact"/>
              <w:jc w:val="center"/>
              <w:rPr>
                <w:rFonts w:hint="eastAsia" w:eastAsia="宋体"/>
                <w:color w:val="auto"/>
                <w:sz w:val="20"/>
                <w:lang w:eastAsia="zh-CN"/>
              </w:rPr>
            </w:pPr>
            <w:r>
              <w:rPr>
                <w:rFonts w:hint="eastAsia" w:eastAsia="宋体"/>
                <w:color w:val="auto"/>
                <w:sz w:val="20"/>
                <w:lang w:eastAsia="zh-CN"/>
              </w:rPr>
              <w:t>0</w:t>
            </w:r>
          </w:p>
        </w:tc>
        <w:tc>
          <w:tcPr>
            <w:tcW w:w="1089" w:type="dxa"/>
            <w:noWrap w:val="0"/>
            <w:vAlign w:val="center"/>
          </w:tcPr>
          <w:p w14:paraId="31A78308">
            <w:pPr>
              <w:pStyle w:val="19"/>
              <w:spacing w:line="240" w:lineRule="exact"/>
              <w:jc w:val="center"/>
              <w:rPr>
                <w:color w:val="auto"/>
                <w:sz w:val="20"/>
              </w:rPr>
            </w:pPr>
          </w:p>
        </w:tc>
        <w:tc>
          <w:tcPr>
            <w:tcW w:w="1109" w:type="dxa"/>
            <w:noWrap w:val="0"/>
            <w:vAlign w:val="center"/>
          </w:tcPr>
          <w:p w14:paraId="73C18CFA">
            <w:pPr>
              <w:pStyle w:val="19"/>
              <w:spacing w:line="240" w:lineRule="exact"/>
              <w:jc w:val="center"/>
              <w:rPr>
                <w:color w:val="auto"/>
                <w:sz w:val="20"/>
              </w:rPr>
            </w:pPr>
          </w:p>
        </w:tc>
        <w:tc>
          <w:tcPr>
            <w:tcW w:w="809" w:type="dxa"/>
            <w:noWrap w:val="0"/>
            <w:vAlign w:val="center"/>
          </w:tcPr>
          <w:p w14:paraId="648262F7">
            <w:pPr>
              <w:pStyle w:val="19"/>
              <w:spacing w:line="240" w:lineRule="exact"/>
              <w:jc w:val="center"/>
              <w:rPr>
                <w:color w:val="auto"/>
                <w:sz w:val="20"/>
              </w:rPr>
            </w:pPr>
          </w:p>
        </w:tc>
        <w:tc>
          <w:tcPr>
            <w:tcW w:w="849" w:type="dxa"/>
            <w:noWrap w:val="0"/>
            <w:vAlign w:val="center"/>
          </w:tcPr>
          <w:p w14:paraId="45E855E7">
            <w:pPr>
              <w:pStyle w:val="19"/>
              <w:spacing w:line="240" w:lineRule="exact"/>
              <w:jc w:val="center"/>
              <w:rPr>
                <w:color w:val="auto"/>
                <w:sz w:val="20"/>
              </w:rPr>
            </w:pPr>
          </w:p>
        </w:tc>
        <w:tc>
          <w:tcPr>
            <w:tcW w:w="1373" w:type="dxa"/>
            <w:noWrap w:val="0"/>
            <w:vAlign w:val="center"/>
          </w:tcPr>
          <w:p w14:paraId="769BA6B6">
            <w:pPr>
              <w:pStyle w:val="19"/>
              <w:spacing w:line="240" w:lineRule="exact"/>
              <w:jc w:val="center"/>
              <w:rPr>
                <w:color w:val="auto"/>
                <w:sz w:val="20"/>
              </w:rPr>
            </w:pPr>
          </w:p>
        </w:tc>
      </w:tr>
      <w:tr w14:paraId="206E25E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1064" w:type="dxa"/>
            <w:vMerge w:val="restart"/>
            <w:tcBorders>
              <w:bottom w:val="nil"/>
            </w:tcBorders>
            <w:noWrap w:val="0"/>
            <w:vAlign w:val="top"/>
          </w:tcPr>
          <w:p w14:paraId="081F83EA">
            <w:pPr>
              <w:spacing w:before="39" w:line="226" w:lineRule="auto"/>
              <w:ind w:left="324" w:right="137" w:hanging="199"/>
              <w:rPr>
                <w:rFonts w:ascii="宋体" w:hAnsi="宋体" w:eastAsia="宋体" w:cs="宋体"/>
                <w:color w:val="auto"/>
                <w:sz w:val="20"/>
                <w:szCs w:val="20"/>
              </w:rPr>
            </w:pPr>
            <w:r>
              <w:rPr>
                <w:rFonts w:ascii="宋体" w:hAnsi="宋体" w:eastAsia="宋体" w:cs="宋体"/>
                <w:color w:val="auto"/>
                <w:spacing w:val="-3"/>
                <w:sz w:val="20"/>
                <w:szCs w:val="20"/>
              </w:rPr>
              <w:t>年度总体</w:t>
            </w:r>
            <w:r>
              <w:rPr>
                <w:rFonts w:ascii="宋体" w:hAnsi="宋体" w:eastAsia="宋体" w:cs="宋体"/>
                <w:color w:val="auto"/>
                <w:spacing w:val="2"/>
                <w:sz w:val="20"/>
                <w:szCs w:val="20"/>
              </w:rPr>
              <w:t xml:space="preserve"> </w:t>
            </w:r>
            <w:r>
              <w:rPr>
                <w:rFonts w:ascii="宋体" w:hAnsi="宋体" w:eastAsia="宋体" w:cs="宋体"/>
                <w:color w:val="auto"/>
                <w:spacing w:val="8"/>
                <w:sz w:val="20"/>
                <w:szCs w:val="20"/>
              </w:rPr>
              <w:t>目标</w:t>
            </w:r>
          </w:p>
        </w:tc>
        <w:tc>
          <w:tcPr>
            <w:tcW w:w="4385" w:type="dxa"/>
            <w:gridSpan w:val="4"/>
            <w:noWrap w:val="0"/>
            <w:vAlign w:val="top"/>
          </w:tcPr>
          <w:p w14:paraId="27BEC749">
            <w:pPr>
              <w:spacing w:before="31" w:line="201" w:lineRule="auto"/>
              <w:ind w:left="1830"/>
              <w:rPr>
                <w:rFonts w:ascii="宋体" w:hAnsi="宋体" w:eastAsia="宋体" w:cs="宋体"/>
                <w:color w:val="auto"/>
                <w:sz w:val="20"/>
                <w:szCs w:val="20"/>
              </w:rPr>
            </w:pPr>
            <w:r>
              <w:rPr>
                <w:rFonts w:ascii="宋体" w:hAnsi="宋体" w:eastAsia="宋体" w:cs="宋体"/>
                <w:color w:val="auto"/>
                <w:spacing w:val="-2"/>
                <w:sz w:val="20"/>
                <w:szCs w:val="20"/>
              </w:rPr>
              <w:t>预期目标</w:t>
            </w:r>
          </w:p>
        </w:tc>
        <w:tc>
          <w:tcPr>
            <w:tcW w:w="4140" w:type="dxa"/>
            <w:gridSpan w:val="4"/>
            <w:noWrap w:val="0"/>
            <w:vAlign w:val="top"/>
          </w:tcPr>
          <w:p w14:paraId="59B25E0E">
            <w:pPr>
              <w:spacing w:before="30" w:line="202" w:lineRule="auto"/>
              <w:ind w:left="1495"/>
              <w:rPr>
                <w:rFonts w:ascii="宋体" w:hAnsi="宋体" w:eastAsia="宋体" w:cs="宋体"/>
                <w:color w:val="auto"/>
                <w:sz w:val="20"/>
                <w:szCs w:val="20"/>
              </w:rPr>
            </w:pPr>
            <w:r>
              <w:rPr>
                <w:rFonts w:ascii="宋体" w:hAnsi="宋体" w:eastAsia="宋体" w:cs="宋体"/>
                <w:color w:val="auto"/>
                <w:spacing w:val="1"/>
                <w:sz w:val="20"/>
                <w:szCs w:val="20"/>
              </w:rPr>
              <w:t>实际完成情况</w:t>
            </w:r>
          </w:p>
        </w:tc>
      </w:tr>
      <w:tr w14:paraId="3AE522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trPr>
        <w:tc>
          <w:tcPr>
            <w:tcW w:w="1064" w:type="dxa"/>
            <w:vMerge w:val="continue"/>
            <w:tcBorders>
              <w:top w:val="nil"/>
            </w:tcBorders>
            <w:noWrap w:val="0"/>
            <w:vAlign w:val="top"/>
          </w:tcPr>
          <w:p w14:paraId="3DF1D735">
            <w:pPr>
              <w:pStyle w:val="19"/>
              <w:rPr>
                <w:color w:val="auto"/>
              </w:rPr>
            </w:pPr>
          </w:p>
        </w:tc>
        <w:tc>
          <w:tcPr>
            <w:tcW w:w="4385" w:type="dxa"/>
            <w:gridSpan w:val="4"/>
            <w:noWrap w:val="0"/>
            <w:vAlign w:val="top"/>
          </w:tcPr>
          <w:p w14:paraId="7E048ECC">
            <w:pPr>
              <w:pStyle w:val="19"/>
              <w:rPr>
                <w:color w:val="auto"/>
                <w:lang w:eastAsia="zh-CN"/>
              </w:rPr>
            </w:pPr>
            <w:r>
              <w:rPr>
                <w:rFonts w:hint="eastAsia" w:ascii="仿宋" w:hAnsi="仿宋" w:eastAsia="仿宋" w:cs="仿宋"/>
                <w:color w:val="auto"/>
                <w:lang w:eastAsia="zh-CN"/>
              </w:rPr>
              <w:t>确保不发生较大以上建筑施工安全生产事故，地区建筑施工安全生产形势平稳.</w:t>
            </w:r>
          </w:p>
        </w:tc>
        <w:tc>
          <w:tcPr>
            <w:tcW w:w="4140" w:type="dxa"/>
            <w:gridSpan w:val="4"/>
            <w:noWrap w:val="0"/>
            <w:vAlign w:val="top"/>
          </w:tcPr>
          <w:p w14:paraId="013DF563">
            <w:pPr>
              <w:pStyle w:val="19"/>
              <w:rPr>
                <w:color w:val="auto"/>
                <w:lang w:eastAsia="zh-CN"/>
              </w:rPr>
            </w:pPr>
            <w:r>
              <w:rPr>
                <w:rFonts w:hint="eastAsia" w:ascii="仿宋" w:hAnsi="仿宋" w:eastAsia="仿宋" w:cs="仿宋"/>
                <w:color w:val="auto"/>
                <w:lang w:eastAsia="zh-CN"/>
              </w:rPr>
              <w:t>本年建设质量安全监督管理经费项目年初预算数</w:t>
            </w:r>
            <w:r>
              <w:rPr>
                <w:rFonts w:ascii="仿宋" w:hAnsi="仿宋" w:eastAsia="仿宋" w:cs="仿宋"/>
                <w:color w:val="auto"/>
                <w:lang w:eastAsia="zh-CN"/>
              </w:rPr>
              <w:t>40</w:t>
            </w:r>
            <w:r>
              <w:rPr>
                <w:rFonts w:hint="eastAsia" w:ascii="仿宋" w:hAnsi="仿宋" w:eastAsia="仿宋" w:cs="仿宋"/>
                <w:color w:val="auto"/>
                <w:lang w:eastAsia="zh-CN"/>
              </w:rPr>
              <w:t>万元，财政收回2万元，财政下达38万元，实际完成36.92万元，执行率97.16</w:t>
            </w:r>
            <w:r>
              <w:rPr>
                <w:rFonts w:ascii="仿宋" w:hAnsi="仿宋" w:eastAsia="仿宋" w:cs="仿宋"/>
                <w:color w:val="auto"/>
                <w:lang w:eastAsia="zh-CN"/>
              </w:rPr>
              <w:t>%</w:t>
            </w:r>
            <w:r>
              <w:rPr>
                <w:rFonts w:hint="eastAsia" w:ascii="仿宋" w:hAnsi="仿宋" w:eastAsia="仿宋" w:cs="仿宋"/>
                <w:color w:val="auto"/>
                <w:lang w:eastAsia="zh-CN"/>
              </w:rPr>
              <w:t>。确保了没有发生较大以上建筑施工安全生产事故，地区建筑施工安全生产形势平稳。</w:t>
            </w:r>
          </w:p>
        </w:tc>
      </w:tr>
      <w:tr w14:paraId="702F66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9" w:hRule="atLeast"/>
        </w:trPr>
        <w:tc>
          <w:tcPr>
            <w:tcW w:w="1064" w:type="dxa"/>
            <w:vMerge w:val="restart"/>
            <w:tcBorders>
              <w:bottom w:val="nil"/>
            </w:tcBorders>
            <w:noWrap w:val="0"/>
            <w:textDirection w:val="tbRlV"/>
            <w:vAlign w:val="top"/>
          </w:tcPr>
          <w:p w14:paraId="37C96691">
            <w:pPr>
              <w:pStyle w:val="19"/>
              <w:spacing w:line="357" w:lineRule="auto"/>
              <w:rPr>
                <w:color w:val="auto"/>
                <w:lang w:eastAsia="zh-CN"/>
              </w:rPr>
            </w:pPr>
          </w:p>
          <w:p w14:paraId="6FC133CA">
            <w:pPr>
              <w:spacing w:before="67" w:line="202" w:lineRule="auto"/>
              <w:ind w:left="3453"/>
              <w:rPr>
                <w:rFonts w:ascii="宋体" w:hAnsi="宋体" w:eastAsia="宋体" w:cs="宋体"/>
                <w:color w:val="auto"/>
                <w:sz w:val="20"/>
                <w:szCs w:val="20"/>
              </w:rPr>
            </w:pPr>
            <w:r>
              <w:rPr>
                <w:rFonts w:ascii="宋体" w:hAnsi="宋体" w:eastAsia="宋体" w:cs="宋体"/>
                <w:color w:val="auto"/>
                <w:sz w:val="20"/>
                <w:szCs w:val="20"/>
              </w:rPr>
              <w:t>绩效指标</w:t>
            </w:r>
          </w:p>
        </w:tc>
        <w:tc>
          <w:tcPr>
            <w:tcW w:w="1049" w:type="dxa"/>
            <w:noWrap w:val="0"/>
            <w:vAlign w:val="top"/>
          </w:tcPr>
          <w:p w14:paraId="7312EC84">
            <w:pPr>
              <w:spacing w:before="161" w:line="220" w:lineRule="auto"/>
              <w:ind w:left="110"/>
              <w:rPr>
                <w:rFonts w:ascii="宋体" w:hAnsi="宋体" w:eastAsia="宋体" w:cs="宋体"/>
                <w:color w:val="auto"/>
                <w:sz w:val="20"/>
                <w:szCs w:val="20"/>
              </w:rPr>
            </w:pPr>
            <w:r>
              <w:rPr>
                <w:rFonts w:ascii="宋体" w:hAnsi="宋体" w:eastAsia="宋体" w:cs="宋体"/>
                <w:color w:val="auto"/>
                <w:spacing w:val="-3"/>
                <w:sz w:val="20"/>
                <w:szCs w:val="20"/>
              </w:rPr>
              <w:t>一级指标</w:t>
            </w:r>
          </w:p>
        </w:tc>
        <w:tc>
          <w:tcPr>
            <w:tcW w:w="1049" w:type="dxa"/>
            <w:noWrap w:val="0"/>
            <w:vAlign w:val="top"/>
          </w:tcPr>
          <w:p w14:paraId="294BF160">
            <w:pPr>
              <w:spacing w:before="161" w:line="220" w:lineRule="auto"/>
              <w:ind w:left="111"/>
              <w:rPr>
                <w:rFonts w:ascii="宋体" w:hAnsi="宋体" w:eastAsia="宋体" w:cs="宋体"/>
                <w:color w:val="auto"/>
                <w:sz w:val="20"/>
                <w:szCs w:val="20"/>
              </w:rPr>
            </w:pPr>
            <w:r>
              <w:rPr>
                <w:rFonts w:ascii="宋体" w:hAnsi="宋体" w:eastAsia="宋体" w:cs="宋体"/>
                <w:color w:val="auto"/>
                <w:spacing w:val="-3"/>
                <w:sz w:val="20"/>
                <w:szCs w:val="20"/>
              </w:rPr>
              <w:t>二级指标</w:t>
            </w:r>
          </w:p>
        </w:tc>
        <w:tc>
          <w:tcPr>
            <w:tcW w:w="1198" w:type="dxa"/>
            <w:noWrap w:val="0"/>
            <w:vAlign w:val="top"/>
          </w:tcPr>
          <w:p w14:paraId="36B349F0">
            <w:pPr>
              <w:spacing w:before="161" w:line="220" w:lineRule="auto"/>
              <w:ind w:left="232"/>
              <w:rPr>
                <w:rFonts w:ascii="宋体" w:hAnsi="宋体" w:eastAsia="宋体" w:cs="宋体"/>
                <w:color w:val="auto"/>
                <w:sz w:val="20"/>
                <w:szCs w:val="20"/>
              </w:rPr>
            </w:pPr>
            <w:r>
              <w:rPr>
                <w:rFonts w:ascii="宋体" w:hAnsi="宋体" w:eastAsia="宋体" w:cs="宋体"/>
                <w:color w:val="auto"/>
                <w:spacing w:val="-2"/>
                <w:sz w:val="20"/>
                <w:szCs w:val="20"/>
              </w:rPr>
              <w:t>三级指标</w:t>
            </w:r>
          </w:p>
        </w:tc>
        <w:tc>
          <w:tcPr>
            <w:tcW w:w="1089" w:type="dxa"/>
            <w:noWrap w:val="0"/>
            <w:vAlign w:val="top"/>
          </w:tcPr>
          <w:p w14:paraId="33FE1FDE">
            <w:pPr>
              <w:spacing w:before="61" w:line="202" w:lineRule="auto"/>
              <w:ind w:left="234" w:right="254" w:firstLine="99"/>
              <w:rPr>
                <w:rFonts w:ascii="宋体" w:hAnsi="宋体" w:eastAsia="宋体" w:cs="宋体"/>
                <w:color w:val="auto"/>
                <w:sz w:val="20"/>
                <w:szCs w:val="20"/>
              </w:rPr>
            </w:pPr>
            <w:r>
              <w:rPr>
                <w:rFonts w:ascii="宋体" w:hAnsi="宋体" w:eastAsia="宋体" w:cs="宋体"/>
                <w:color w:val="auto"/>
                <w:spacing w:val="5"/>
                <w:sz w:val="20"/>
                <w:szCs w:val="20"/>
              </w:rPr>
              <w:t>年度</w:t>
            </w:r>
            <w:r>
              <w:rPr>
                <w:rFonts w:ascii="宋体" w:hAnsi="宋体" w:eastAsia="宋体" w:cs="宋体"/>
                <w:color w:val="auto"/>
                <w:sz w:val="20"/>
                <w:szCs w:val="20"/>
              </w:rPr>
              <w:t xml:space="preserve"> </w:t>
            </w:r>
            <w:r>
              <w:rPr>
                <w:rFonts w:ascii="宋体" w:hAnsi="宋体" w:eastAsia="宋体" w:cs="宋体"/>
                <w:color w:val="auto"/>
                <w:spacing w:val="-4"/>
                <w:sz w:val="20"/>
                <w:szCs w:val="20"/>
              </w:rPr>
              <w:t>指标值</w:t>
            </w:r>
          </w:p>
        </w:tc>
        <w:tc>
          <w:tcPr>
            <w:tcW w:w="1109" w:type="dxa"/>
            <w:noWrap w:val="0"/>
            <w:vAlign w:val="top"/>
          </w:tcPr>
          <w:p w14:paraId="7041C5AD">
            <w:pPr>
              <w:spacing w:before="61" w:line="202" w:lineRule="auto"/>
              <w:ind w:left="245" w:right="262" w:firstLine="100"/>
              <w:rPr>
                <w:rFonts w:ascii="宋体" w:hAnsi="宋体" w:eastAsia="宋体" w:cs="宋体"/>
                <w:color w:val="auto"/>
                <w:sz w:val="20"/>
                <w:szCs w:val="20"/>
              </w:rPr>
            </w:pPr>
            <w:r>
              <w:rPr>
                <w:rFonts w:ascii="宋体" w:hAnsi="宋体" w:eastAsia="宋体" w:cs="宋体"/>
                <w:color w:val="auto"/>
                <w:spacing w:val="4"/>
                <w:sz w:val="20"/>
                <w:szCs w:val="20"/>
              </w:rPr>
              <w:t>实际</w:t>
            </w:r>
            <w:r>
              <w:rPr>
                <w:rFonts w:ascii="宋体" w:hAnsi="宋体" w:eastAsia="宋体" w:cs="宋体"/>
                <w:color w:val="auto"/>
                <w:sz w:val="20"/>
                <w:szCs w:val="20"/>
              </w:rPr>
              <w:t xml:space="preserve">  </w:t>
            </w:r>
            <w:r>
              <w:rPr>
                <w:rFonts w:ascii="宋体" w:hAnsi="宋体" w:eastAsia="宋体" w:cs="宋体"/>
                <w:color w:val="auto"/>
                <w:spacing w:val="-4"/>
                <w:sz w:val="20"/>
                <w:szCs w:val="20"/>
              </w:rPr>
              <w:t>完成值</w:t>
            </w:r>
          </w:p>
        </w:tc>
        <w:tc>
          <w:tcPr>
            <w:tcW w:w="809" w:type="dxa"/>
            <w:noWrap w:val="0"/>
            <w:vAlign w:val="top"/>
          </w:tcPr>
          <w:p w14:paraId="50CFC196">
            <w:pPr>
              <w:spacing w:before="161" w:line="219" w:lineRule="auto"/>
              <w:ind w:left="196"/>
              <w:rPr>
                <w:rFonts w:ascii="宋体" w:hAnsi="宋体" w:eastAsia="宋体" w:cs="宋体"/>
                <w:color w:val="auto"/>
                <w:sz w:val="20"/>
                <w:szCs w:val="20"/>
              </w:rPr>
            </w:pPr>
            <w:r>
              <w:rPr>
                <w:rFonts w:ascii="宋体" w:hAnsi="宋体" w:eastAsia="宋体" w:cs="宋体"/>
                <w:color w:val="auto"/>
                <w:spacing w:val="-3"/>
                <w:sz w:val="20"/>
                <w:szCs w:val="20"/>
              </w:rPr>
              <w:t>分值</w:t>
            </w:r>
          </w:p>
        </w:tc>
        <w:tc>
          <w:tcPr>
            <w:tcW w:w="849" w:type="dxa"/>
            <w:noWrap w:val="0"/>
            <w:vAlign w:val="top"/>
          </w:tcPr>
          <w:p w14:paraId="543CD6B9">
            <w:pPr>
              <w:spacing w:before="161" w:line="219" w:lineRule="auto"/>
              <w:ind w:left="217"/>
              <w:rPr>
                <w:rFonts w:ascii="宋体" w:hAnsi="宋体" w:eastAsia="宋体" w:cs="宋体"/>
                <w:color w:val="auto"/>
                <w:sz w:val="20"/>
                <w:szCs w:val="20"/>
              </w:rPr>
            </w:pPr>
            <w:r>
              <w:rPr>
                <w:rFonts w:ascii="宋体" w:hAnsi="宋体" w:eastAsia="宋体" w:cs="宋体"/>
                <w:color w:val="auto"/>
                <w:spacing w:val="-3"/>
                <w:sz w:val="20"/>
                <w:szCs w:val="20"/>
              </w:rPr>
              <w:t>得分</w:t>
            </w:r>
          </w:p>
        </w:tc>
        <w:tc>
          <w:tcPr>
            <w:tcW w:w="1373" w:type="dxa"/>
            <w:noWrap w:val="0"/>
            <w:vAlign w:val="top"/>
          </w:tcPr>
          <w:p w14:paraId="673749FA">
            <w:pPr>
              <w:spacing w:before="31" w:line="219" w:lineRule="auto"/>
              <w:ind w:left="78"/>
              <w:rPr>
                <w:rFonts w:ascii="宋体" w:hAnsi="宋体" w:eastAsia="宋体" w:cs="宋体"/>
                <w:color w:val="auto"/>
                <w:sz w:val="20"/>
                <w:szCs w:val="20"/>
                <w:lang w:eastAsia="zh-CN"/>
              </w:rPr>
            </w:pPr>
            <w:r>
              <w:rPr>
                <w:rFonts w:ascii="宋体" w:hAnsi="宋体" w:eastAsia="宋体" w:cs="宋体"/>
                <w:color w:val="auto"/>
                <w:spacing w:val="-2"/>
                <w:sz w:val="20"/>
                <w:szCs w:val="20"/>
                <w:lang w:eastAsia="zh-CN"/>
              </w:rPr>
              <w:t>偏差原因分析</w:t>
            </w:r>
          </w:p>
          <w:p w14:paraId="76934D85">
            <w:pPr>
              <w:spacing w:before="22" w:line="192" w:lineRule="auto"/>
              <w:ind w:left="178"/>
              <w:rPr>
                <w:rFonts w:ascii="宋体" w:hAnsi="宋体" w:eastAsia="宋体" w:cs="宋体"/>
                <w:color w:val="auto"/>
                <w:sz w:val="20"/>
                <w:szCs w:val="20"/>
                <w:lang w:eastAsia="zh-CN"/>
              </w:rPr>
            </w:pPr>
            <w:r>
              <w:rPr>
                <w:rFonts w:ascii="宋体" w:hAnsi="宋体" w:eastAsia="宋体" w:cs="宋体"/>
                <w:color w:val="auto"/>
                <w:spacing w:val="-2"/>
                <w:sz w:val="20"/>
                <w:szCs w:val="20"/>
                <w:lang w:eastAsia="zh-CN"/>
              </w:rPr>
              <w:t>及改进措施</w:t>
            </w:r>
          </w:p>
        </w:tc>
      </w:tr>
      <w:tr w14:paraId="1C41F0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0" w:hRule="atLeast"/>
        </w:trPr>
        <w:tc>
          <w:tcPr>
            <w:tcW w:w="1064" w:type="dxa"/>
            <w:vMerge w:val="continue"/>
            <w:tcBorders>
              <w:top w:val="nil"/>
              <w:bottom w:val="nil"/>
            </w:tcBorders>
            <w:noWrap w:val="0"/>
            <w:textDirection w:val="tbRlV"/>
            <w:vAlign w:val="top"/>
          </w:tcPr>
          <w:p w14:paraId="618C49DF">
            <w:pPr>
              <w:pStyle w:val="19"/>
              <w:rPr>
                <w:color w:val="auto"/>
                <w:lang w:eastAsia="zh-CN"/>
              </w:rPr>
            </w:pPr>
          </w:p>
        </w:tc>
        <w:tc>
          <w:tcPr>
            <w:tcW w:w="1049" w:type="dxa"/>
            <w:vMerge w:val="restart"/>
            <w:tcBorders>
              <w:bottom w:val="nil"/>
            </w:tcBorders>
            <w:noWrap w:val="0"/>
            <w:vAlign w:val="top"/>
          </w:tcPr>
          <w:p w14:paraId="7D935E16">
            <w:pPr>
              <w:pStyle w:val="19"/>
              <w:spacing w:line="297" w:lineRule="auto"/>
              <w:rPr>
                <w:color w:val="auto"/>
                <w:lang w:eastAsia="zh-CN"/>
              </w:rPr>
            </w:pPr>
          </w:p>
          <w:p w14:paraId="07A8497D">
            <w:pPr>
              <w:pStyle w:val="19"/>
              <w:spacing w:line="297" w:lineRule="auto"/>
              <w:rPr>
                <w:color w:val="auto"/>
                <w:lang w:eastAsia="zh-CN"/>
              </w:rPr>
            </w:pPr>
          </w:p>
          <w:p w14:paraId="068821C6">
            <w:pPr>
              <w:pStyle w:val="19"/>
              <w:spacing w:line="297" w:lineRule="auto"/>
              <w:rPr>
                <w:color w:val="auto"/>
                <w:lang w:eastAsia="zh-CN"/>
              </w:rPr>
            </w:pPr>
          </w:p>
          <w:p w14:paraId="3B9AB675">
            <w:pPr>
              <w:pStyle w:val="19"/>
              <w:spacing w:line="297" w:lineRule="auto"/>
              <w:rPr>
                <w:color w:val="auto"/>
                <w:lang w:eastAsia="zh-CN"/>
              </w:rPr>
            </w:pPr>
          </w:p>
          <w:p w14:paraId="21847384">
            <w:pPr>
              <w:spacing w:before="65" w:line="459" w:lineRule="auto"/>
              <w:ind w:left="210" w:right="135" w:hanging="100"/>
              <w:rPr>
                <w:rFonts w:ascii="宋体" w:hAnsi="宋体" w:eastAsia="宋体" w:cs="宋体"/>
                <w:color w:val="auto"/>
                <w:sz w:val="20"/>
                <w:szCs w:val="20"/>
              </w:rPr>
            </w:pPr>
            <w:r>
              <w:rPr>
                <w:rFonts w:ascii="宋体" w:hAnsi="宋体" w:eastAsia="宋体" w:cs="宋体"/>
                <w:color w:val="auto"/>
                <w:spacing w:val="-2"/>
                <w:sz w:val="20"/>
                <w:szCs w:val="20"/>
              </w:rPr>
              <w:t>产出指标</w:t>
            </w:r>
            <w:r>
              <w:rPr>
                <w:rFonts w:ascii="宋体" w:hAnsi="宋体" w:eastAsia="宋体" w:cs="宋体"/>
                <w:color w:val="auto"/>
                <w:sz w:val="20"/>
                <w:szCs w:val="20"/>
              </w:rPr>
              <w:t xml:space="preserve"> </w:t>
            </w:r>
            <w:r>
              <w:rPr>
                <w:rFonts w:ascii="宋体" w:hAnsi="宋体" w:eastAsia="宋体" w:cs="宋体"/>
                <w:color w:val="auto"/>
                <w:spacing w:val="8"/>
                <w:sz w:val="20"/>
                <w:szCs w:val="20"/>
              </w:rPr>
              <w:t>(50分)</w:t>
            </w:r>
          </w:p>
        </w:tc>
        <w:tc>
          <w:tcPr>
            <w:tcW w:w="1049" w:type="dxa"/>
            <w:vMerge w:val="restart"/>
            <w:tcBorders>
              <w:bottom w:val="nil"/>
            </w:tcBorders>
            <w:noWrap w:val="0"/>
            <w:vAlign w:val="top"/>
          </w:tcPr>
          <w:p w14:paraId="02C12E5B">
            <w:pPr>
              <w:spacing w:before="302" w:line="219" w:lineRule="auto"/>
              <w:ind w:left="111"/>
              <w:rPr>
                <w:rFonts w:ascii="宋体" w:hAnsi="宋体" w:eastAsia="宋体" w:cs="宋体"/>
                <w:color w:val="auto"/>
                <w:sz w:val="20"/>
                <w:szCs w:val="20"/>
              </w:rPr>
            </w:pPr>
            <w:r>
              <w:rPr>
                <w:rFonts w:ascii="宋体" w:hAnsi="宋体" w:eastAsia="宋体" w:cs="宋体"/>
                <w:color w:val="auto"/>
                <w:spacing w:val="-2"/>
                <w:sz w:val="20"/>
                <w:szCs w:val="20"/>
              </w:rPr>
              <w:t>数量指标</w:t>
            </w:r>
          </w:p>
        </w:tc>
        <w:tc>
          <w:tcPr>
            <w:tcW w:w="1198" w:type="dxa"/>
            <w:noWrap w:val="0"/>
            <w:vAlign w:val="top"/>
          </w:tcPr>
          <w:p w14:paraId="1959442C">
            <w:pPr>
              <w:jc w:val="center"/>
              <w:rPr>
                <w:rFonts w:ascii="仿宋" w:hAnsi="仿宋" w:eastAsia="仿宋" w:cs="仿宋"/>
                <w:color w:val="auto"/>
                <w:lang w:eastAsia="zh-CN"/>
              </w:rPr>
            </w:pPr>
            <w:r>
              <w:rPr>
                <w:rFonts w:hint="eastAsia" w:ascii="仿宋" w:hAnsi="仿宋" w:eastAsia="仿宋" w:cs="仿宋"/>
                <w:color w:val="auto"/>
                <w:lang w:eastAsia="zh-CN"/>
              </w:rPr>
              <w:t>1、开展安全教育和宣 传活动经费</w:t>
            </w:r>
          </w:p>
        </w:tc>
        <w:tc>
          <w:tcPr>
            <w:tcW w:w="1089" w:type="dxa"/>
            <w:noWrap w:val="0"/>
            <w:vAlign w:val="center"/>
          </w:tcPr>
          <w:p w14:paraId="4EF91FEF">
            <w:pPr>
              <w:jc w:val="center"/>
              <w:rPr>
                <w:rFonts w:ascii="仿宋" w:hAnsi="仿宋" w:eastAsia="仿宋" w:cs="仿宋"/>
                <w:color w:val="auto"/>
              </w:rPr>
            </w:pPr>
            <w:r>
              <w:rPr>
                <w:rFonts w:eastAsia="仿宋"/>
                <w:color w:val="auto"/>
              </w:rPr>
              <w:t>≤</w:t>
            </w:r>
            <w:r>
              <w:rPr>
                <w:rFonts w:hint="eastAsia" w:ascii="仿宋" w:hAnsi="仿宋" w:eastAsia="仿宋" w:cs="仿宋"/>
                <w:color w:val="auto"/>
              </w:rPr>
              <w:t>11万</w:t>
            </w:r>
          </w:p>
        </w:tc>
        <w:tc>
          <w:tcPr>
            <w:tcW w:w="1109" w:type="dxa"/>
            <w:noWrap w:val="0"/>
            <w:vAlign w:val="center"/>
          </w:tcPr>
          <w:p w14:paraId="4680C7BD">
            <w:pPr>
              <w:jc w:val="center"/>
              <w:rPr>
                <w:rFonts w:ascii="仿宋" w:hAnsi="仿宋" w:eastAsia="仿宋" w:cs="仿宋"/>
                <w:color w:val="auto"/>
              </w:rPr>
            </w:pPr>
            <w:r>
              <w:rPr>
                <w:rFonts w:hint="eastAsia" w:ascii="仿宋" w:hAnsi="仿宋" w:eastAsia="仿宋" w:cs="仿宋"/>
                <w:color w:val="auto"/>
              </w:rPr>
              <w:t>100%</w:t>
            </w:r>
          </w:p>
        </w:tc>
        <w:tc>
          <w:tcPr>
            <w:tcW w:w="809" w:type="dxa"/>
            <w:noWrap w:val="0"/>
            <w:vAlign w:val="center"/>
          </w:tcPr>
          <w:p w14:paraId="008FD566">
            <w:pPr>
              <w:jc w:val="center"/>
              <w:rPr>
                <w:rFonts w:ascii="仿宋" w:hAnsi="仿宋" w:eastAsia="仿宋" w:cs="仿宋"/>
                <w:color w:val="auto"/>
              </w:rPr>
            </w:pPr>
            <w:r>
              <w:rPr>
                <w:rFonts w:hint="eastAsia" w:ascii="仿宋" w:hAnsi="仿宋" w:eastAsia="仿宋" w:cs="仿宋"/>
                <w:color w:val="auto"/>
              </w:rPr>
              <w:t>5</w:t>
            </w:r>
          </w:p>
        </w:tc>
        <w:tc>
          <w:tcPr>
            <w:tcW w:w="849" w:type="dxa"/>
            <w:noWrap w:val="0"/>
            <w:vAlign w:val="center"/>
          </w:tcPr>
          <w:p w14:paraId="60586392">
            <w:pPr>
              <w:jc w:val="center"/>
              <w:rPr>
                <w:rFonts w:ascii="仿宋" w:hAnsi="仿宋" w:eastAsia="仿宋" w:cs="仿宋"/>
                <w:color w:val="auto"/>
              </w:rPr>
            </w:pPr>
            <w:r>
              <w:rPr>
                <w:rFonts w:hint="eastAsia" w:ascii="仿宋" w:hAnsi="仿宋" w:eastAsia="仿宋" w:cs="仿宋"/>
                <w:color w:val="auto"/>
              </w:rPr>
              <w:t>5</w:t>
            </w:r>
          </w:p>
        </w:tc>
        <w:tc>
          <w:tcPr>
            <w:tcW w:w="1373" w:type="dxa"/>
            <w:noWrap w:val="0"/>
            <w:vAlign w:val="top"/>
          </w:tcPr>
          <w:p w14:paraId="07163691">
            <w:pPr>
              <w:pStyle w:val="19"/>
              <w:rPr>
                <w:color w:val="auto"/>
              </w:rPr>
            </w:pPr>
          </w:p>
        </w:tc>
      </w:tr>
      <w:tr w14:paraId="16519DC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0" w:hRule="atLeast"/>
        </w:trPr>
        <w:tc>
          <w:tcPr>
            <w:tcW w:w="1064" w:type="dxa"/>
            <w:vMerge w:val="continue"/>
            <w:tcBorders>
              <w:top w:val="nil"/>
              <w:bottom w:val="nil"/>
            </w:tcBorders>
            <w:noWrap w:val="0"/>
            <w:textDirection w:val="tbRlV"/>
            <w:vAlign w:val="top"/>
          </w:tcPr>
          <w:p w14:paraId="485CC1F6">
            <w:pPr>
              <w:pStyle w:val="19"/>
              <w:rPr>
                <w:color w:val="auto"/>
              </w:rPr>
            </w:pPr>
          </w:p>
        </w:tc>
        <w:tc>
          <w:tcPr>
            <w:tcW w:w="1049" w:type="dxa"/>
            <w:vMerge w:val="continue"/>
            <w:tcBorders>
              <w:top w:val="nil"/>
              <w:bottom w:val="nil"/>
            </w:tcBorders>
            <w:noWrap w:val="0"/>
            <w:vAlign w:val="top"/>
          </w:tcPr>
          <w:p w14:paraId="052935DB">
            <w:pPr>
              <w:pStyle w:val="19"/>
              <w:rPr>
                <w:color w:val="auto"/>
              </w:rPr>
            </w:pPr>
          </w:p>
        </w:tc>
        <w:tc>
          <w:tcPr>
            <w:tcW w:w="1049" w:type="dxa"/>
            <w:vMerge w:val="continue"/>
            <w:tcBorders>
              <w:top w:val="nil"/>
              <w:bottom w:val="nil"/>
            </w:tcBorders>
            <w:noWrap w:val="0"/>
            <w:vAlign w:val="top"/>
          </w:tcPr>
          <w:p w14:paraId="36F7C1BE">
            <w:pPr>
              <w:pStyle w:val="19"/>
              <w:rPr>
                <w:color w:val="auto"/>
              </w:rPr>
            </w:pPr>
          </w:p>
        </w:tc>
        <w:tc>
          <w:tcPr>
            <w:tcW w:w="1198" w:type="dxa"/>
            <w:noWrap w:val="0"/>
            <w:vAlign w:val="top"/>
          </w:tcPr>
          <w:p w14:paraId="15325142">
            <w:pPr>
              <w:jc w:val="center"/>
              <w:rPr>
                <w:rFonts w:ascii="仿宋" w:hAnsi="仿宋" w:eastAsia="仿宋" w:cs="仿宋"/>
                <w:color w:val="auto"/>
              </w:rPr>
            </w:pPr>
            <w:r>
              <w:rPr>
                <w:rFonts w:hint="eastAsia" w:ascii="仿宋" w:hAnsi="仿宋" w:eastAsia="仿宋" w:cs="仿宋"/>
                <w:color w:val="auto"/>
              </w:rPr>
              <w:t>2、安全排查</w:t>
            </w:r>
          </w:p>
        </w:tc>
        <w:tc>
          <w:tcPr>
            <w:tcW w:w="1089" w:type="dxa"/>
            <w:noWrap w:val="0"/>
            <w:vAlign w:val="center"/>
          </w:tcPr>
          <w:p w14:paraId="2E48C218">
            <w:pPr>
              <w:jc w:val="center"/>
              <w:rPr>
                <w:rFonts w:ascii="仿宋" w:hAnsi="仿宋" w:eastAsia="仿宋" w:cs="仿宋"/>
                <w:color w:val="auto"/>
              </w:rPr>
            </w:pPr>
            <w:r>
              <w:rPr>
                <w:rFonts w:hint="eastAsia" w:ascii="仿宋" w:hAnsi="仿宋" w:eastAsia="仿宋" w:cs="仿宋"/>
                <w:color w:val="auto"/>
              </w:rPr>
              <w:t>8次/年</w:t>
            </w:r>
          </w:p>
        </w:tc>
        <w:tc>
          <w:tcPr>
            <w:tcW w:w="1109" w:type="dxa"/>
            <w:noWrap w:val="0"/>
            <w:vAlign w:val="center"/>
          </w:tcPr>
          <w:p w14:paraId="4F65CC15">
            <w:pPr>
              <w:jc w:val="center"/>
              <w:rPr>
                <w:rFonts w:ascii="仿宋" w:hAnsi="仿宋" w:eastAsia="仿宋" w:cs="仿宋"/>
                <w:color w:val="auto"/>
              </w:rPr>
            </w:pPr>
            <w:r>
              <w:rPr>
                <w:rFonts w:hint="eastAsia" w:ascii="仿宋" w:hAnsi="仿宋" w:eastAsia="仿宋" w:cs="仿宋"/>
                <w:color w:val="auto"/>
              </w:rPr>
              <w:t>100%</w:t>
            </w:r>
          </w:p>
        </w:tc>
        <w:tc>
          <w:tcPr>
            <w:tcW w:w="809" w:type="dxa"/>
            <w:noWrap w:val="0"/>
            <w:vAlign w:val="center"/>
          </w:tcPr>
          <w:p w14:paraId="499D8199">
            <w:pPr>
              <w:jc w:val="center"/>
              <w:rPr>
                <w:rFonts w:ascii="仿宋" w:hAnsi="仿宋" w:eastAsia="仿宋" w:cs="仿宋"/>
                <w:color w:val="auto"/>
              </w:rPr>
            </w:pPr>
            <w:r>
              <w:rPr>
                <w:rFonts w:hint="eastAsia" w:ascii="仿宋" w:hAnsi="仿宋" w:eastAsia="仿宋" w:cs="仿宋"/>
                <w:color w:val="auto"/>
              </w:rPr>
              <w:t>8</w:t>
            </w:r>
          </w:p>
        </w:tc>
        <w:tc>
          <w:tcPr>
            <w:tcW w:w="849" w:type="dxa"/>
            <w:noWrap w:val="0"/>
            <w:vAlign w:val="center"/>
          </w:tcPr>
          <w:p w14:paraId="0FA5CE01">
            <w:pPr>
              <w:jc w:val="center"/>
              <w:rPr>
                <w:rFonts w:ascii="仿宋" w:hAnsi="仿宋" w:eastAsia="仿宋" w:cs="仿宋"/>
                <w:color w:val="auto"/>
              </w:rPr>
            </w:pPr>
            <w:r>
              <w:rPr>
                <w:rFonts w:hint="eastAsia" w:ascii="仿宋" w:hAnsi="仿宋" w:eastAsia="仿宋" w:cs="仿宋"/>
                <w:color w:val="auto"/>
              </w:rPr>
              <w:t>8</w:t>
            </w:r>
          </w:p>
        </w:tc>
        <w:tc>
          <w:tcPr>
            <w:tcW w:w="1373" w:type="dxa"/>
            <w:noWrap w:val="0"/>
            <w:vAlign w:val="top"/>
          </w:tcPr>
          <w:p w14:paraId="3F31127F">
            <w:pPr>
              <w:pStyle w:val="19"/>
              <w:rPr>
                <w:color w:val="auto"/>
              </w:rPr>
            </w:pPr>
          </w:p>
        </w:tc>
      </w:tr>
      <w:tr w14:paraId="0162FD0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0" w:hRule="atLeast"/>
        </w:trPr>
        <w:tc>
          <w:tcPr>
            <w:tcW w:w="1064" w:type="dxa"/>
            <w:vMerge w:val="continue"/>
            <w:tcBorders>
              <w:top w:val="nil"/>
              <w:bottom w:val="nil"/>
            </w:tcBorders>
            <w:noWrap w:val="0"/>
            <w:textDirection w:val="tbRlV"/>
            <w:vAlign w:val="top"/>
          </w:tcPr>
          <w:p w14:paraId="50304601">
            <w:pPr>
              <w:pStyle w:val="19"/>
              <w:rPr>
                <w:color w:val="auto"/>
              </w:rPr>
            </w:pPr>
          </w:p>
        </w:tc>
        <w:tc>
          <w:tcPr>
            <w:tcW w:w="1049" w:type="dxa"/>
            <w:vMerge w:val="continue"/>
            <w:tcBorders>
              <w:top w:val="nil"/>
              <w:bottom w:val="nil"/>
            </w:tcBorders>
            <w:noWrap w:val="0"/>
            <w:vAlign w:val="top"/>
          </w:tcPr>
          <w:p w14:paraId="20B97378">
            <w:pPr>
              <w:pStyle w:val="19"/>
              <w:rPr>
                <w:color w:val="auto"/>
              </w:rPr>
            </w:pPr>
          </w:p>
        </w:tc>
        <w:tc>
          <w:tcPr>
            <w:tcW w:w="1049" w:type="dxa"/>
            <w:vMerge w:val="continue"/>
            <w:tcBorders>
              <w:top w:val="nil"/>
            </w:tcBorders>
            <w:noWrap w:val="0"/>
            <w:vAlign w:val="top"/>
          </w:tcPr>
          <w:p w14:paraId="0C90FB6A">
            <w:pPr>
              <w:pStyle w:val="19"/>
              <w:rPr>
                <w:color w:val="auto"/>
              </w:rPr>
            </w:pPr>
          </w:p>
        </w:tc>
        <w:tc>
          <w:tcPr>
            <w:tcW w:w="1198" w:type="dxa"/>
            <w:noWrap w:val="0"/>
            <w:vAlign w:val="top"/>
          </w:tcPr>
          <w:p w14:paraId="59DDC2E0">
            <w:pPr>
              <w:jc w:val="center"/>
              <w:rPr>
                <w:rFonts w:ascii="仿宋" w:hAnsi="仿宋" w:eastAsia="仿宋" w:cs="仿宋"/>
                <w:color w:val="auto"/>
              </w:rPr>
            </w:pPr>
            <w:r>
              <w:rPr>
                <w:rFonts w:hint="eastAsia" w:ascii="仿宋" w:hAnsi="仿宋" w:eastAsia="仿宋" w:cs="仿宋"/>
                <w:color w:val="auto"/>
              </w:rPr>
              <w:t>3、定期督查</w:t>
            </w:r>
          </w:p>
        </w:tc>
        <w:tc>
          <w:tcPr>
            <w:tcW w:w="1089" w:type="dxa"/>
            <w:noWrap w:val="0"/>
            <w:vAlign w:val="center"/>
          </w:tcPr>
          <w:p w14:paraId="568FC9C7">
            <w:pPr>
              <w:jc w:val="center"/>
              <w:rPr>
                <w:rFonts w:ascii="仿宋" w:hAnsi="仿宋" w:eastAsia="仿宋" w:cs="仿宋"/>
                <w:color w:val="auto"/>
              </w:rPr>
            </w:pPr>
            <w:r>
              <w:rPr>
                <w:rFonts w:hint="eastAsia" w:ascii="仿宋" w:hAnsi="仿宋" w:eastAsia="仿宋" w:cs="仿宋"/>
                <w:color w:val="auto"/>
              </w:rPr>
              <w:t>4次/年</w:t>
            </w:r>
          </w:p>
        </w:tc>
        <w:tc>
          <w:tcPr>
            <w:tcW w:w="1109" w:type="dxa"/>
            <w:noWrap w:val="0"/>
            <w:vAlign w:val="center"/>
          </w:tcPr>
          <w:p w14:paraId="5F4038D8">
            <w:pPr>
              <w:jc w:val="center"/>
              <w:rPr>
                <w:rFonts w:ascii="仿宋" w:hAnsi="仿宋" w:eastAsia="仿宋" w:cs="仿宋"/>
                <w:color w:val="auto"/>
              </w:rPr>
            </w:pPr>
            <w:r>
              <w:rPr>
                <w:rFonts w:hint="eastAsia" w:ascii="仿宋" w:hAnsi="仿宋" w:eastAsia="仿宋" w:cs="仿宋"/>
                <w:color w:val="auto"/>
              </w:rPr>
              <w:t>5</w:t>
            </w:r>
          </w:p>
        </w:tc>
        <w:tc>
          <w:tcPr>
            <w:tcW w:w="809" w:type="dxa"/>
            <w:noWrap w:val="0"/>
            <w:vAlign w:val="center"/>
          </w:tcPr>
          <w:p w14:paraId="0914DE8F">
            <w:pPr>
              <w:jc w:val="center"/>
              <w:rPr>
                <w:rFonts w:ascii="仿宋" w:hAnsi="仿宋" w:eastAsia="仿宋" w:cs="仿宋"/>
                <w:color w:val="auto"/>
              </w:rPr>
            </w:pPr>
            <w:r>
              <w:rPr>
                <w:rFonts w:hint="eastAsia" w:ascii="仿宋" w:hAnsi="仿宋" w:eastAsia="仿宋" w:cs="仿宋"/>
                <w:color w:val="auto"/>
              </w:rPr>
              <w:t>5</w:t>
            </w:r>
          </w:p>
        </w:tc>
        <w:tc>
          <w:tcPr>
            <w:tcW w:w="849" w:type="dxa"/>
            <w:noWrap w:val="0"/>
            <w:vAlign w:val="center"/>
          </w:tcPr>
          <w:p w14:paraId="5C0F728B">
            <w:pPr>
              <w:jc w:val="center"/>
              <w:rPr>
                <w:rFonts w:ascii="仿宋" w:hAnsi="仿宋" w:eastAsia="仿宋" w:cs="仿宋"/>
                <w:color w:val="auto"/>
              </w:rPr>
            </w:pPr>
            <w:r>
              <w:rPr>
                <w:rFonts w:hint="eastAsia" w:ascii="仿宋" w:hAnsi="仿宋" w:eastAsia="仿宋" w:cs="仿宋"/>
                <w:color w:val="auto"/>
              </w:rPr>
              <w:t>5</w:t>
            </w:r>
          </w:p>
        </w:tc>
        <w:tc>
          <w:tcPr>
            <w:tcW w:w="1373" w:type="dxa"/>
            <w:noWrap w:val="0"/>
            <w:vAlign w:val="top"/>
          </w:tcPr>
          <w:p w14:paraId="4FD5447F">
            <w:pPr>
              <w:pStyle w:val="19"/>
              <w:rPr>
                <w:color w:val="auto"/>
              </w:rPr>
            </w:pPr>
          </w:p>
        </w:tc>
      </w:tr>
      <w:tr w14:paraId="052B87E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49" w:hRule="atLeast"/>
        </w:trPr>
        <w:tc>
          <w:tcPr>
            <w:tcW w:w="1064" w:type="dxa"/>
            <w:vMerge w:val="continue"/>
            <w:tcBorders>
              <w:top w:val="nil"/>
              <w:bottom w:val="nil"/>
            </w:tcBorders>
            <w:noWrap w:val="0"/>
            <w:textDirection w:val="tbRlV"/>
            <w:vAlign w:val="top"/>
          </w:tcPr>
          <w:p w14:paraId="62B05118">
            <w:pPr>
              <w:pStyle w:val="19"/>
              <w:rPr>
                <w:color w:val="auto"/>
              </w:rPr>
            </w:pPr>
          </w:p>
        </w:tc>
        <w:tc>
          <w:tcPr>
            <w:tcW w:w="1049" w:type="dxa"/>
            <w:vMerge w:val="continue"/>
            <w:tcBorders>
              <w:top w:val="nil"/>
              <w:bottom w:val="nil"/>
            </w:tcBorders>
            <w:noWrap w:val="0"/>
            <w:vAlign w:val="top"/>
          </w:tcPr>
          <w:p w14:paraId="32AA84B2">
            <w:pPr>
              <w:pStyle w:val="19"/>
              <w:rPr>
                <w:color w:val="auto"/>
              </w:rPr>
            </w:pPr>
          </w:p>
        </w:tc>
        <w:tc>
          <w:tcPr>
            <w:tcW w:w="1049" w:type="dxa"/>
            <w:vMerge w:val="restart"/>
            <w:tcBorders>
              <w:bottom w:val="nil"/>
            </w:tcBorders>
            <w:noWrap w:val="0"/>
            <w:vAlign w:val="top"/>
          </w:tcPr>
          <w:p w14:paraId="0254B641">
            <w:pPr>
              <w:spacing w:before="292" w:line="220" w:lineRule="auto"/>
              <w:ind w:left="111"/>
              <w:rPr>
                <w:rFonts w:ascii="宋体" w:hAnsi="宋体" w:eastAsia="宋体" w:cs="宋体"/>
                <w:color w:val="auto"/>
                <w:sz w:val="20"/>
                <w:szCs w:val="20"/>
              </w:rPr>
            </w:pPr>
            <w:r>
              <w:rPr>
                <w:rFonts w:ascii="宋体" w:hAnsi="宋体" w:eastAsia="宋体" w:cs="宋体"/>
                <w:color w:val="auto"/>
                <w:spacing w:val="-2"/>
                <w:sz w:val="20"/>
                <w:szCs w:val="20"/>
              </w:rPr>
              <w:t>质量指标</w:t>
            </w:r>
          </w:p>
        </w:tc>
        <w:tc>
          <w:tcPr>
            <w:tcW w:w="1198" w:type="dxa"/>
            <w:noWrap w:val="0"/>
            <w:vAlign w:val="top"/>
          </w:tcPr>
          <w:p w14:paraId="7B1B463A">
            <w:pPr>
              <w:jc w:val="center"/>
              <w:rPr>
                <w:rFonts w:ascii="仿宋" w:hAnsi="仿宋" w:eastAsia="仿宋" w:cs="仿宋"/>
                <w:color w:val="auto"/>
                <w:lang w:eastAsia="zh-CN"/>
              </w:rPr>
            </w:pPr>
            <w:r>
              <w:rPr>
                <w:rFonts w:hint="eastAsia" w:ascii="仿宋" w:hAnsi="仿宋" w:eastAsia="仿宋" w:cs="仿宋"/>
                <w:color w:val="auto"/>
                <w:lang w:eastAsia="zh-CN"/>
              </w:rPr>
              <w:t>1.工程质量一次性验收合格率</w:t>
            </w:r>
          </w:p>
        </w:tc>
        <w:tc>
          <w:tcPr>
            <w:tcW w:w="1089" w:type="dxa"/>
            <w:noWrap w:val="0"/>
            <w:vAlign w:val="center"/>
          </w:tcPr>
          <w:p w14:paraId="59F89369">
            <w:pPr>
              <w:jc w:val="center"/>
              <w:rPr>
                <w:rFonts w:ascii="仿宋" w:hAnsi="仿宋" w:eastAsia="仿宋" w:cs="仿宋"/>
                <w:color w:val="auto"/>
              </w:rPr>
            </w:pPr>
            <w:r>
              <w:rPr>
                <w:rFonts w:hint="eastAsia" w:ascii="仿宋" w:hAnsi="仿宋" w:eastAsia="仿宋" w:cs="仿宋"/>
                <w:color w:val="auto"/>
              </w:rPr>
              <w:t>98%</w:t>
            </w:r>
          </w:p>
        </w:tc>
        <w:tc>
          <w:tcPr>
            <w:tcW w:w="1109" w:type="dxa"/>
            <w:noWrap w:val="0"/>
            <w:vAlign w:val="center"/>
          </w:tcPr>
          <w:p w14:paraId="6AE104BB">
            <w:pPr>
              <w:jc w:val="center"/>
              <w:rPr>
                <w:rFonts w:ascii="仿宋" w:hAnsi="仿宋" w:eastAsia="仿宋" w:cs="仿宋"/>
                <w:color w:val="auto"/>
              </w:rPr>
            </w:pPr>
            <w:r>
              <w:rPr>
                <w:rFonts w:hint="eastAsia" w:ascii="仿宋" w:hAnsi="仿宋" w:eastAsia="仿宋" w:cs="仿宋"/>
                <w:color w:val="auto"/>
              </w:rPr>
              <w:t>100%</w:t>
            </w:r>
          </w:p>
        </w:tc>
        <w:tc>
          <w:tcPr>
            <w:tcW w:w="809" w:type="dxa"/>
            <w:noWrap w:val="0"/>
            <w:vAlign w:val="center"/>
          </w:tcPr>
          <w:p w14:paraId="70BA8908">
            <w:pPr>
              <w:jc w:val="center"/>
              <w:rPr>
                <w:rFonts w:ascii="仿宋" w:hAnsi="仿宋" w:eastAsia="仿宋" w:cs="仿宋"/>
                <w:color w:val="auto"/>
              </w:rPr>
            </w:pPr>
            <w:r>
              <w:rPr>
                <w:rFonts w:hint="eastAsia" w:ascii="仿宋" w:hAnsi="仿宋" w:eastAsia="仿宋" w:cs="仿宋"/>
                <w:color w:val="auto"/>
              </w:rPr>
              <w:t>5</w:t>
            </w:r>
          </w:p>
        </w:tc>
        <w:tc>
          <w:tcPr>
            <w:tcW w:w="849" w:type="dxa"/>
            <w:noWrap w:val="0"/>
            <w:vAlign w:val="center"/>
          </w:tcPr>
          <w:p w14:paraId="33C793C2">
            <w:pPr>
              <w:jc w:val="center"/>
              <w:rPr>
                <w:rFonts w:ascii="仿宋" w:hAnsi="仿宋" w:eastAsia="仿宋" w:cs="仿宋"/>
                <w:color w:val="auto"/>
              </w:rPr>
            </w:pPr>
            <w:r>
              <w:rPr>
                <w:rFonts w:hint="eastAsia" w:ascii="仿宋" w:hAnsi="仿宋" w:eastAsia="仿宋" w:cs="仿宋"/>
                <w:color w:val="auto"/>
              </w:rPr>
              <w:t>5</w:t>
            </w:r>
          </w:p>
        </w:tc>
        <w:tc>
          <w:tcPr>
            <w:tcW w:w="1373" w:type="dxa"/>
            <w:noWrap w:val="0"/>
            <w:vAlign w:val="top"/>
          </w:tcPr>
          <w:p w14:paraId="2D261329">
            <w:pPr>
              <w:pStyle w:val="19"/>
              <w:spacing w:line="239" w:lineRule="exact"/>
              <w:rPr>
                <w:color w:val="auto"/>
                <w:sz w:val="20"/>
              </w:rPr>
            </w:pPr>
          </w:p>
        </w:tc>
      </w:tr>
      <w:tr w14:paraId="04785DD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0" w:hRule="atLeast"/>
        </w:trPr>
        <w:tc>
          <w:tcPr>
            <w:tcW w:w="1064" w:type="dxa"/>
            <w:vMerge w:val="continue"/>
            <w:tcBorders>
              <w:top w:val="nil"/>
              <w:bottom w:val="nil"/>
            </w:tcBorders>
            <w:noWrap w:val="0"/>
            <w:textDirection w:val="tbRlV"/>
            <w:vAlign w:val="top"/>
          </w:tcPr>
          <w:p w14:paraId="2AD57765">
            <w:pPr>
              <w:pStyle w:val="19"/>
              <w:rPr>
                <w:color w:val="auto"/>
              </w:rPr>
            </w:pPr>
          </w:p>
        </w:tc>
        <w:tc>
          <w:tcPr>
            <w:tcW w:w="1049" w:type="dxa"/>
            <w:vMerge w:val="continue"/>
            <w:tcBorders>
              <w:top w:val="nil"/>
              <w:bottom w:val="nil"/>
            </w:tcBorders>
            <w:noWrap w:val="0"/>
            <w:vAlign w:val="top"/>
          </w:tcPr>
          <w:p w14:paraId="60885B15">
            <w:pPr>
              <w:pStyle w:val="19"/>
              <w:rPr>
                <w:color w:val="auto"/>
              </w:rPr>
            </w:pPr>
          </w:p>
        </w:tc>
        <w:tc>
          <w:tcPr>
            <w:tcW w:w="1049" w:type="dxa"/>
            <w:vMerge w:val="continue"/>
            <w:tcBorders>
              <w:top w:val="nil"/>
              <w:bottom w:val="nil"/>
            </w:tcBorders>
            <w:noWrap w:val="0"/>
            <w:vAlign w:val="top"/>
          </w:tcPr>
          <w:p w14:paraId="13DFAE07">
            <w:pPr>
              <w:pStyle w:val="19"/>
              <w:rPr>
                <w:color w:val="auto"/>
              </w:rPr>
            </w:pPr>
          </w:p>
        </w:tc>
        <w:tc>
          <w:tcPr>
            <w:tcW w:w="1198" w:type="dxa"/>
            <w:noWrap w:val="0"/>
            <w:vAlign w:val="top"/>
          </w:tcPr>
          <w:p w14:paraId="63781087">
            <w:pPr>
              <w:jc w:val="center"/>
              <w:rPr>
                <w:rFonts w:ascii="仿宋" w:hAnsi="仿宋" w:eastAsia="仿宋" w:cs="仿宋"/>
                <w:color w:val="auto"/>
              </w:rPr>
            </w:pPr>
            <w:r>
              <w:rPr>
                <w:rFonts w:hint="eastAsia" w:ascii="仿宋" w:hAnsi="仿宋" w:eastAsia="仿宋" w:cs="仿宋"/>
                <w:color w:val="auto"/>
              </w:rPr>
              <w:t>2.质量安全投诉处理率</w:t>
            </w:r>
          </w:p>
        </w:tc>
        <w:tc>
          <w:tcPr>
            <w:tcW w:w="1089" w:type="dxa"/>
            <w:noWrap w:val="0"/>
            <w:vAlign w:val="center"/>
          </w:tcPr>
          <w:p w14:paraId="63B327A2">
            <w:pPr>
              <w:jc w:val="center"/>
              <w:rPr>
                <w:rFonts w:ascii="仿宋" w:hAnsi="仿宋" w:eastAsia="仿宋" w:cs="仿宋"/>
                <w:color w:val="auto"/>
              </w:rPr>
            </w:pPr>
            <w:r>
              <w:rPr>
                <w:rFonts w:hint="eastAsia" w:ascii="仿宋" w:hAnsi="仿宋" w:eastAsia="仿宋" w:cs="仿宋"/>
                <w:color w:val="auto"/>
              </w:rPr>
              <w:t>100%</w:t>
            </w:r>
          </w:p>
        </w:tc>
        <w:tc>
          <w:tcPr>
            <w:tcW w:w="1109" w:type="dxa"/>
            <w:noWrap w:val="0"/>
            <w:vAlign w:val="center"/>
          </w:tcPr>
          <w:p w14:paraId="56858B8C">
            <w:pPr>
              <w:jc w:val="center"/>
              <w:rPr>
                <w:rFonts w:ascii="仿宋" w:hAnsi="仿宋" w:eastAsia="仿宋" w:cs="仿宋"/>
                <w:color w:val="auto"/>
              </w:rPr>
            </w:pPr>
            <w:r>
              <w:rPr>
                <w:rFonts w:hint="eastAsia" w:ascii="仿宋" w:hAnsi="仿宋" w:eastAsia="仿宋" w:cs="仿宋"/>
                <w:color w:val="auto"/>
              </w:rPr>
              <w:t>100%</w:t>
            </w:r>
          </w:p>
        </w:tc>
        <w:tc>
          <w:tcPr>
            <w:tcW w:w="809" w:type="dxa"/>
            <w:noWrap w:val="0"/>
            <w:vAlign w:val="center"/>
          </w:tcPr>
          <w:p w14:paraId="4B4B42C3">
            <w:pPr>
              <w:jc w:val="center"/>
              <w:rPr>
                <w:rFonts w:ascii="仿宋" w:hAnsi="仿宋" w:eastAsia="仿宋" w:cs="仿宋"/>
                <w:color w:val="auto"/>
              </w:rPr>
            </w:pPr>
            <w:r>
              <w:rPr>
                <w:rFonts w:hint="eastAsia" w:ascii="仿宋" w:hAnsi="仿宋" w:eastAsia="仿宋" w:cs="仿宋"/>
                <w:color w:val="auto"/>
              </w:rPr>
              <w:t>5</w:t>
            </w:r>
          </w:p>
        </w:tc>
        <w:tc>
          <w:tcPr>
            <w:tcW w:w="849" w:type="dxa"/>
            <w:noWrap w:val="0"/>
            <w:vAlign w:val="center"/>
          </w:tcPr>
          <w:p w14:paraId="4C512DAF">
            <w:pPr>
              <w:jc w:val="center"/>
              <w:rPr>
                <w:rFonts w:ascii="仿宋" w:hAnsi="仿宋" w:eastAsia="仿宋" w:cs="仿宋"/>
                <w:color w:val="auto"/>
              </w:rPr>
            </w:pPr>
            <w:r>
              <w:rPr>
                <w:rFonts w:hint="eastAsia" w:ascii="仿宋" w:hAnsi="仿宋" w:eastAsia="仿宋" w:cs="仿宋"/>
                <w:color w:val="auto"/>
              </w:rPr>
              <w:t>5</w:t>
            </w:r>
          </w:p>
        </w:tc>
        <w:tc>
          <w:tcPr>
            <w:tcW w:w="1373" w:type="dxa"/>
            <w:noWrap w:val="0"/>
            <w:vAlign w:val="top"/>
          </w:tcPr>
          <w:p w14:paraId="409222BE">
            <w:pPr>
              <w:pStyle w:val="19"/>
              <w:spacing w:line="240" w:lineRule="exact"/>
              <w:rPr>
                <w:color w:val="auto"/>
                <w:sz w:val="20"/>
              </w:rPr>
            </w:pPr>
          </w:p>
        </w:tc>
      </w:tr>
      <w:tr w14:paraId="5F15F64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0" w:hRule="atLeast"/>
        </w:trPr>
        <w:tc>
          <w:tcPr>
            <w:tcW w:w="1064" w:type="dxa"/>
            <w:vMerge w:val="continue"/>
            <w:tcBorders>
              <w:top w:val="nil"/>
              <w:bottom w:val="nil"/>
            </w:tcBorders>
            <w:noWrap w:val="0"/>
            <w:textDirection w:val="tbRlV"/>
            <w:vAlign w:val="top"/>
          </w:tcPr>
          <w:p w14:paraId="4EC54A90">
            <w:pPr>
              <w:pStyle w:val="19"/>
              <w:rPr>
                <w:color w:val="auto"/>
              </w:rPr>
            </w:pPr>
          </w:p>
        </w:tc>
        <w:tc>
          <w:tcPr>
            <w:tcW w:w="1049" w:type="dxa"/>
            <w:vMerge w:val="continue"/>
            <w:tcBorders>
              <w:top w:val="nil"/>
              <w:bottom w:val="nil"/>
            </w:tcBorders>
            <w:noWrap w:val="0"/>
            <w:vAlign w:val="top"/>
          </w:tcPr>
          <w:p w14:paraId="41E9C349">
            <w:pPr>
              <w:pStyle w:val="19"/>
              <w:rPr>
                <w:color w:val="auto"/>
              </w:rPr>
            </w:pPr>
          </w:p>
        </w:tc>
        <w:tc>
          <w:tcPr>
            <w:tcW w:w="1049" w:type="dxa"/>
            <w:vMerge w:val="continue"/>
            <w:tcBorders>
              <w:top w:val="nil"/>
            </w:tcBorders>
            <w:noWrap w:val="0"/>
            <w:vAlign w:val="top"/>
          </w:tcPr>
          <w:p w14:paraId="3BA55115">
            <w:pPr>
              <w:pStyle w:val="19"/>
              <w:rPr>
                <w:color w:val="auto"/>
              </w:rPr>
            </w:pPr>
          </w:p>
        </w:tc>
        <w:tc>
          <w:tcPr>
            <w:tcW w:w="1198" w:type="dxa"/>
            <w:noWrap w:val="0"/>
            <w:vAlign w:val="top"/>
          </w:tcPr>
          <w:p w14:paraId="29CCB982">
            <w:pPr>
              <w:jc w:val="center"/>
              <w:rPr>
                <w:rFonts w:ascii="仿宋" w:hAnsi="仿宋" w:eastAsia="仿宋" w:cs="仿宋"/>
                <w:color w:val="auto"/>
                <w:spacing w:val="-22"/>
              </w:rPr>
            </w:pPr>
            <w:r>
              <w:rPr>
                <w:rFonts w:hint="eastAsia" w:ascii="仿宋" w:hAnsi="仿宋" w:eastAsia="仿宋" w:cs="仿宋"/>
                <w:color w:val="auto"/>
              </w:rPr>
              <w:t>3.质量安全投诉回复率</w:t>
            </w:r>
          </w:p>
        </w:tc>
        <w:tc>
          <w:tcPr>
            <w:tcW w:w="1089" w:type="dxa"/>
            <w:noWrap w:val="0"/>
            <w:vAlign w:val="center"/>
          </w:tcPr>
          <w:p w14:paraId="681E903B">
            <w:pPr>
              <w:jc w:val="center"/>
              <w:rPr>
                <w:rFonts w:ascii="仿宋" w:hAnsi="仿宋" w:eastAsia="仿宋" w:cs="仿宋"/>
                <w:color w:val="auto"/>
              </w:rPr>
            </w:pPr>
            <w:r>
              <w:rPr>
                <w:rFonts w:hint="eastAsia" w:ascii="仿宋" w:hAnsi="仿宋" w:eastAsia="仿宋" w:cs="仿宋"/>
                <w:color w:val="auto"/>
              </w:rPr>
              <w:t>100%</w:t>
            </w:r>
          </w:p>
        </w:tc>
        <w:tc>
          <w:tcPr>
            <w:tcW w:w="1109" w:type="dxa"/>
            <w:noWrap w:val="0"/>
            <w:vAlign w:val="center"/>
          </w:tcPr>
          <w:p w14:paraId="2E977C31">
            <w:pPr>
              <w:jc w:val="center"/>
              <w:rPr>
                <w:rFonts w:ascii="仿宋" w:hAnsi="仿宋" w:eastAsia="仿宋" w:cs="仿宋"/>
                <w:color w:val="auto"/>
              </w:rPr>
            </w:pPr>
            <w:r>
              <w:rPr>
                <w:rFonts w:hint="eastAsia" w:ascii="仿宋" w:hAnsi="仿宋" w:eastAsia="仿宋" w:cs="仿宋"/>
                <w:color w:val="auto"/>
              </w:rPr>
              <w:t>100%</w:t>
            </w:r>
          </w:p>
        </w:tc>
        <w:tc>
          <w:tcPr>
            <w:tcW w:w="809" w:type="dxa"/>
            <w:noWrap w:val="0"/>
            <w:vAlign w:val="center"/>
          </w:tcPr>
          <w:p w14:paraId="0D7CB02E">
            <w:pPr>
              <w:jc w:val="center"/>
              <w:rPr>
                <w:rFonts w:ascii="仿宋" w:hAnsi="仿宋" w:eastAsia="仿宋" w:cs="仿宋"/>
                <w:color w:val="auto"/>
              </w:rPr>
            </w:pPr>
            <w:r>
              <w:rPr>
                <w:rFonts w:hint="eastAsia" w:ascii="仿宋" w:hAnsi="仿宋" w:eastAsia="仿宋" w:cs="仿宋"/>
                <w:color w:val="auto"/>
              </w:rPr>
              <w:t>6</w:t>
            </w:r>
          </w:p>
        </w:tc>
        <w:tc>
          <w:tcPr>
            <w:tcW w:w="849" w:type="dxa"/>
            <w:noWrap w:val="0"/>
            <w:vAlign w:val="center"/>
          </w:tcPr>
          <w:p w14:paraId="2546B7A4">
            <w:pPr>
              <w:jc w:val="center"/>
              <w:rPr>
                <w:rFonts w:ascii="仿宋" w:hAnsi="仿宋" w:eastAsia="仿宋" w:cs="仿宋"/>
                <w:color w:val="auto"/>
              </w:rPr>
            </w:pPr>
            <w:r>
              <w:rPr>
                <w:rFonts w:hint="eastAsia" w:ascii="仿宋" w:hAnsi="仿宋" w:eastAsia="仿宋" w:cs="仿宋"/>
                <w:color w:val="auto"/>
              </w:rPr>
              <w:t>6</w:t>
            </w:r>
          </w:p>
        </w:tc>
        <w:tc>
          <w:tcPr>
            <w:tcW w:w="1373" w:type="dxa"/>
            <w:noWrap w:val="0"/>
            <w:vAlign w:val="top"/>
          </w:tcPr>
          <w:p w14:paraId="1BC87001">
            <w:pPr>
              <w:pStyle w:val="19"/>
              <w:rPr>
                <w:color w:val="auto"/>
              </w:rPr>
            </w:pPr>
          </w:p>
        </w:tc>
      </w:tr>
      <w:tr w14:paraId="37534DB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0" w:hRule="atLeast"/>
        </w:trPr>
        <w:tc>
          <w:tcPr>
            <w:tcW w:w="1064" w:type="dxa"/>
            <w:vMerge w:val="continue"/>
            <w:tcBorders>
              <w:top w:val="nil"/>
              <w:bottom w:val="nil"/>
            </w:tcBorders>
            <w:noWrap w:val="0"/>
            <w:textDirection w:val="tbRlV"/>
            <w:vAlign w:val="top"/>
          </w:tcPr>
          <w:p w14:paraId="2C37AE02">
            <w:pPr>
              <w:pStyle w:val="19"/>
              <w:rPr>
                <w:color w:val="auto"/>
              </w:rPr>
            </w:pPr>
          </w:p>
        </w:tc>
        <w:tc>
          <w:tcPr>
            <w:tcW w:w="1049" w:type="dxa"/>
            <w:vMerge w:val="continue"/>
            <w:tcBorders>
              <w:top w:val="nil"/>
              <w:bottom w:val="nil"/>
            </w:tcBorders>
            <w:noWrap w:val="0"/>
            <w:vAlign w:val="top"/>
          </w:tcPr>
          <w:p w14:paraId="40BD8681">
            <w:pPr>
              <w:pStyle w:val="19"/>
              <w:rPr>
                <w:color w:val="auto"/>
              </w:rPr>
            </w:pPr>
          </w:p>
        </w:tc>
        <w:tc>
          <w:tcPr>
            <w:tcW w:w="1049" w:type="dxa"/>
            <w:tcBorders>
              <w:bottom w:val="nil"/>
            </w:tcBorders>
            <w:noWrap w:val="0"/>
            <w:vAlign w:val="top"/>
          </w:tcPr>
          <w:p w14:paraId="62FCE2AD">
            <w:pPr>
              <w:spacing w:before="303" w:line="220" w:lineRule="auto"/>
              <w:ind w:left="111"/>
              <w:rPr>
                <w:rFonts w:ascii="宋体" w:hAnsi="宋体" w:eastAsia="宋体" w:cs="宋体"/>
                <w:color w:val="auto"/>
                <w:sz w:val="20"/>
                <w:szCs w:val="20"/>
              </w:rPr>
            </w:pPr>
            <w:r>
              <w:rPr>
                <w:rFonts w:ascii="宋体" w:hAnsi="宋体" w:eastAsia="宋体" w:cs="宋体"/>
                <w:color w:val="auto"/>
                <w:spacing w:val="1"/>
                <w:sz w:val="20"/>
                <w:szCs w:val="20"/>
              </w:rPr>
              <w:t>时效指标</w:t>
            </w:r>
          </w:p>
        </w:tc>
        <w:tc>
          <w:tcPr>
            <w:tcW w:w="1198" w:type="dxa"/>
            <w:noWrap w:val="0"/>
            <w:vAlign w:val="top"/>
          </w:tcPr>
          <w:p w14:paraId="04C75B0B">
            <w:pPr>
              <w:rPr>
                <w:rFonts w:ascii="仿宋" w:hAnsi="仿宋" w:eastAsia="仿宋" w:cs="仿宋"/>
                <w:color w:val="auto"/>
              </w:rPr>
            </w:pPr>
            <w:r>
              <w:rPr>
                <w:rFonts w:hint="eastAsia" w:ascii="仿宋" w:hAnsi="仿宋" w:eastAsia="仿宋" w:cs="仿宋"/>
                <w:color w:val="auto"/>
              </w:rPr>
              <w:t>按规定时间完成</w:t>
            </w:r>
          </w:p>
        </w:tc>
        <w:tc>
          <w:tcPr>
            <w:tcW w:w="1089" w:type="dxa"/>
            <w:noWrap w:val="0"/>
            <w:vAlign w:val="center"/>
          </w:tcPr>
          <w:p w14:paraId="5ED311CC">
            <w:pPr>
              <w:jc w:val="center"/>
              <w:rPr>
                <w:rFonts w:ascii="仿宋" w:hAnsi="仿宋" w:eastAsia="仿宋" w:cs="仿宋"/>
                <w:color w:val="auto"/>
              </w:rPr>
            </w:pPr>
            <w:r>
              <w:rPr>
                <w:rFonts w:hint="eastAsia" w:ascii="仿宋" w:hAnsi="仿宋" w:eastAsia="仿宋" w:cs="仿宋"/>
                <w:color w:val="auto"/>
              </w:rPr>
              <w:t>202</w:t>
            </w:r>
            <w:r>
              <w:rPr>
                <w:rFonts w:hint="eastAsia" w:ascii="仿宋" w:hAnsi="仿宋" w:eastAsia="仿宋" w:cs="仿宋"/>
                <w:color w:val="auto"/>
                <w:lang w:eastAsia="zh-CN"/>
              </w:rPr>
              <w:t>4</w:t>
            </w:r>
            <w:r>
              <w:rPr>
                <w:rFonts w:hint="eastAsia" w:ascii="仿宋" w:hAnsi="仿宋" w:eastAsia="仿宋" w:cs="仿宋"/>
                <w:color w:val="auto"/>
              </w:rPr>
              <w:t>年年底完成</w:t>
            </w:r>
          </w:p>
        </w:tc>
        <w:tc>
          <w:tcPr>
            <w:tcW w:w="1109" w:type="dxa"/>
            <w:noWrap w:val="0"/>
            <w:vAlign w:val="center"/>
          </w:tcPr>
          <w:p w14:paraId="4B4395B7">
            <w:pPr>
              <w:jc w:val="center"/>
              <w:rPr>
                <w:rFonts w:ascii="仿宋" w:hAnsi="仿宋" w:eastAsia="仿宋" w:cs="仿宋"/>
                <w:color w:val="auto"/>
              </w:rPr>
            </w:pPr>
            <w:r>
              <w:rPr>
                <w:rFonts w:hint="eastAsia" w:ascii="仿宋" w:hAnsi="仿宋" w:eastAsia="仿宋" w:cs="仿宋"/>
                <w:color w:val="auto"/>
              </w:rPr>
              <w:t>100%</w:t>
            </w:r>
          </w:p>
        </w:tc>
        <w:tc>
          <w:tcPr>
            <w:tcW w:w="809" w:type="dxa"/>
            <w:noWrap w:val="0"/>
            <w:vAlign w:val="center"/>
          </w:tcPr>
          <w:p w14:paraId="2E006B94">
            <w:pPr>
              <w:jc w:val="center"/>
              <w:rPr>
                <w:rFonts w:ascii="仿宋" w:hAnsi="仿宋" w:eastAsia="仿宋" w:cs="仿宋"/>
                <w:color w:val="auto"/>
              </w:rPr>
            </w:pPr>
            <w:r>
              <w:rPr>
                <w:rFonts w:hint="eastAsia" w:ascii="仿宋" w:hAnsi="仿宋" w:eastAsia="仿宋" w:cs="仿宋"/>
                <w:color w:val="auto"/>
              </w:rPr>
              <w:t>8</w:t>
            </w:r>
          </w:p>
        </w:tc>
        <w:tc>
          <w:tcPr>
            <w:tcW w:w="849" w:type="dxa"/>
            <w:noWrap w:val="0"/>
            <w:vAlign w:val="center"/>
          </w:tcPr>
          <w:p w14:paraId="7EA1BAFA">
            <w:pPr>
              <w:jc w:val="center"/>
              <w:rPr>
                <w:rFonts w:ascii="仿宋" w:hAnsi="仿宋" w:eastAsia="仿宋" w:cs="仿宋"/>
                <w:color w:val="auto"/>
              </w:rPr>
            </w:pPr>
            <w:r>
              <w:rPr>
                <w:rFonts w:hint="eastAsia" w:ascii="仿宋" w:hAnsi="仿宋" w:eastAsia="仿宋" w:cs="仿宋"/>
                <w:color w:val="auto"/>
              </w:rPr>
              <w:t>8</w:t>
            </w:r>
          </w:p>
        </w:tc>
        <w:tc>
          <w:tcPr>
            <w:tcW w:w="1373" w:type="dxa"/>
            <w:noWrap w:val="0"/>
            <w:vAlign w:val="top"/>
          </w:tcPr>
          <w:p w14:paraId="68318B16">
            <w:pPr>
              <w:pStyle w:val="19"/>
              <w:spacing w:line="240" w:lineRule="exact"/>
              <w:rPr>
                <w:color w:val="auto"/>
                <w:sz w:val="20"/>
              </w:rPr>
            </w:pPr>
          </w:p>
        </w:tc>
      </w:tr>
      <w:tr w14:paraId="632C4D2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0" w:hRule="atLeast"/>
        </w:trPr>
        <w:tc>
          <w:tcPr>
            <w:tcW w:w="1064" w:type="dxa"/>
            <w:vMerge w:val="continue"/>
            <w:tcBorders>
              <w:top w:val="nil"/>
              <w:bottom w:val="nil"/>
            </w:tcBorders>
            <w:noWrap w:val="0"/>
            <w:textDirection w:val="tbRlV"/>
            <w:vAlign w:val="top"/>
          </w:tcPr>
          <w:p w14:paraId="6C413876">
            <w:pPr>
              <w:pStyle w:val="19"/>
              <w:rPr>
                <w:color w:val="auto"/>
              </w:rPr>
            </w:pPr>
          </w:p>
        </w:tc>
        <w:tc>
          <w:tcPr>
            <w:tcW w:w="1049" w:type="dxa"/>
            <w:vMerge w:val="continue"/>
            <w:tcBorders>
              <w:top w:val="nil"/>
              <w:bottom w:val="nil"/>
            </w:tcBorders>
            <w:noWrap w:val="0"/>
            <w:vAlign w:val="top"/>
          </w:tcPr>
          <w:p w14:paraId="40EB2A62">
            <w:pPr>
              <w:pStyle w:val="19"/>
              <w:rPr>
                <w:color w:val="auto"/>
              </w:rPr>
            </w:pPr>
          </w:p>
        </w:tc>
        <w:tc>
          <w:tcPr>
            <w:tcW w:w="1049" w:type="dxa"/>
            <w:tcBorders>
              <w:bottom w:val="nil"/>
            </w:tcBorders>
            <w:noWrap w:val="0"/>
            <w:vAlign w:val="top"/>
          </w:tcPr>
          <w:p w14:paraId="1B275464">
            <w:pPr>
              <w:pStyle w:val="19"/>
              <w:spacing w:line="245" w:lineRule="auto"/>
              <w:rPr>
                <w:color w:val="auto"/>
              </w:rPr>
            </w:pPr>
          </w:p>
          <w:p w14:paraId="119AC525">
            <w:pPr>
              <w:spacing w:before="65" w:line="219" w:lineRule="auto"/>
              <w:ind w:left="111"/>
              <w:rPr>
                <w:rFonts w:ascii="宋体" w:hAnsi="宋体" w:eastAsia="宋体" w:cs="宋体"/>
                <w:color w:val="auto"/>
                <w:sz w:val="20"/>
                <w:szCs w:val="20"/>
              </w:rPr>
            </w:pPr>
            <w:r>
              <w:rPr>
                <w:rFonts w:ascii="宋体" w:hAnsi="宋体" w:eastAsia="宋体" w:cs="宋体"/>
                <w:color w:val="auto"/>
                <w:spacing w:val="-2"/>
                <w:sz w:val="20"/>
                <w:szCs w:val="20"/>
              </w:rPr>
              <w:t>成本指标</w:t>
            </w:r>
          </w:p>
        </w:tc>
        <w:tc>
          <w:tcPr>
            <w:tcW w:w="1198" w:type="dxa"/>
            <w:noWrap w:val="0"/>
            <w:vAlign w:val="top"/>
          </w:tcPr>
          <w:p w14:paraId="7F63BC70">
            <w:pPr>
              <w:rPr>
                <w:rFonts w:ascii="仿宋" w:hAnsi="仿宋" w:eastAsia="仿宋" w:cs="仿宋"/>
                <w:color w:val="auto"/>
              </w:rPr>
            </w:pPr>
            <w:r>
              <w:rPr>
                <w:rFonts w:hint="eastAsia" w:ascii="仿宋" w:hAnsi="仿宋" w:eastAsia="仿宋" w:cs="仿宋"/>
                <w:color w:val="auto"/>
              </w:rPr>
              <w:t>控制在预算成本内</w:t>
            </w:r>
          </w:p>
        </w:tc>
        <w:tc>
          <w:tcPr>
            <w:tcW w:w="1089" w:type="dxa"/>
            <w:noWrap w:val="0"/>
            <w:vAlign w:val="center"/>
          </w:tcPr>
          <w:p w14:paraId="5281AE7B">
            <w:pPr>
              <w:jc w:val="center"/>
              <w:rPr>
                <w:rFonts w:ascii="仿宋" w:hAnsi="仿宋" w:eastAsia="仿宋" w:cs="仿宋"/>
                <w:color w:val="auto"/>
              </w:rPr>
            </w:pPr>
            <w:r>
              <w:rPr>
                <w:rFonts w:hint="eastAsia" w:ascii="仿宋" w:hAnsi="仿宋" w:eastAsia="仿宋" w:cs="仿宋"/>
                <w:color w:val="auto"/>
                <w:lang w:eastAsia="zh-CN"/>
              </w:rPr>
              <w:t>38</w:t>
            </w:r>
            <w:r>
              <w:rPr>
                <w:rFonts w:hint="eastAsia" w:ascii="仿宋" w:hAnsi="仿宋" w:eastAsia="仿宋" w:cs="仿宋"/>
                <w:color w:val="auto"/>
              </w:rPr>
              <w:t>万</w:t>
            </w:r>
          </w:p>
        </w:tc>
        <w:tc>
          <w:tcPr>
            <w:tcW w:w="1109" w:type="dxa"/>
            <w:noWrap w:val="0"/>
            <w:vAlign w:val="center"/>
          </w:tcPr>
          <w:p w14:paraId="239D8541">
            <w:pPr>
              <w:jc w:val="center"/>
              <w:rPr>
                <w:rFonts w:ascii="仿宋" w:hAnsi="仿宋" w:eastAsia="仿宋" w:cs="仿宋"/>
                <w:color w:val="auto"/>
              </w:rPr>
            </w:pPr>
            <w:r>
              <w:rPr>
                <w:rFonts w:hint="eastAsia" w:ascii="仿宋" w:hAnsi="仿宋" w:eastAsia="仿宋" w:cs="仿宋"/>
                <w:color w:val="auto"/>
              </w:rPr>
              <w:t>100%</w:t>
            </w:r>
          </w:p>
        </w:tc>
        <w:tc>
          <w:tcPr>
            <w:tcW w:w="809" w:type="dxa"/>
            <w:noWrap w:val="0"/>
            <w:vAlign w:val="center"/>
          </w:tcPr>
          <w:p w14:paraId="02D498FC">
            <w:pPr>
              <w:jc w:val="center"/>
              <w:rPr>
                <w:rFonts w:ascii="仿宋" w:hAnsi="仿宋" w:eastAsia="仿宋" w:cs="仿宋"/>
                <w:color w:val="auto"/>
              </w:rPr>
            </w:pPr>
            <w:r>
              <w:rPr>
                <w:rFonts w:hint="eastAsia" w:ascii="仿宋" w:hAnsi="仿宋" w:eastAsia="仿宋" w:cs="仿宋"/>
                <w:color w:val="auto"/>
              </w:rPr>
              <w:t>10</w:t>
            </w:r>
          </w:p>
        </w:tc>
        <w:tc>
          <w:tcPr>
            <w:tcW w:w="849" w:type="dxa"/>
            <w:noWrap w:val="0"/>
            <w:vAlign w:val="center"/>
          </w:tcPr>
          <w:p w14:paraId="529B8D27">
            <w:pPr>
              <w:jc w:val="center"/>
              <w:rPr>
                <w:rFonts w:ascii="仿宋" w:hAnsi="仿宋" w:eastAsia="仿宋" w:cs="仿宋"/>
                <w:color w:val="auto"/>
              </w:rPr>
            </w:pPr>
            <w:r>
              <w:rPr>
                <w:rFonts w:hint="eastAsia" w:ascii="仿宋" w:hAnsi="仿宋" w:eastAsia="仿宋" w:cs="仿宋"/>
                <w:color w:val="auto"/>
              </w:rPr>
              <w:t>10</w:t>
            </w:r>
          </w:p>
        </w:tc>
        <w:tc>
          <w:tcPr>
            <w:tcW w:w="1373" w:type="dxa"/>
            <w:noWrap w:val="0"/>
            <w:vAlign w:val="top"/>
          </w:tcPr>
          <w:p w14:paraId="535D9813">
            <w:pPr>
              <w:pStyle w:val="19"/>
              <w:rPr>
                <w:color w:val="auto"/>
              </w:rPr>
            </w:pPr>
          </w:p>
        </w:tc>
      </w:tr>
      <w:tr w14:paraId="728A342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0" w:hRule="atLeast"/>
        </w:trPr>
        <w:tc>
          <w:tcPr>
            <w:tcW w:w="1064" w:type="dxa"/>
            <w:vMerge w:val="continue"/>
            <w:tcBorders>
              <w:top w:val="nil"/>
              <w:bottom w:val="nil"/>
            </w:tcBorders>
            <w:noWrap w:val="0"/>
            <w:textDirection w:val="tbRlV"/>
            <w:vAlign w:val="top"/>
          </w:tcPr>
          <w:p w14:paraId="3807729E">
            <w:pPr>
              <w:pStyle w:val="19"/>
              <w:rPr>
                <w:color w:val="auto"/>
              </w:rPr>
            </w:pPr>
          </w:p>
        </w:tc>
        <w:tc>
          <w:tcPr>
            <w:tcW w:w="1049" w:type="dxa"/>
            <w:vMerge w:val="restart"/>
            <w:tcBorders>
              <w:bottom w:val="nil"/>
            </w:tcBorders>
            <w:noWrap w:val="0"/>
            <w:vAlign w:val="top"/>
          </w:tcPr>
          <w:p w14:paraId="22E8975E">
            <w:pPr>
              <w:pStyle w:val="19"/>
              <w:spacing w:line="265" w:lineRule="auto"/>
              <w:rPr>
                <w:color w:val="auto"/>
              </w:rPr>
            </w:pPr>
          </w:p>
          <w:p w14:paraId="6E79F8C0">
            <w:pPr>
              <w:pStyle w:val="19"/>
              <w:spacing w:line="266" w:lineRule="auto"/>
              <w:rPr>
                <w:color w:val="auto"/>
              </w:rPr>
            </w:pPr>
          </w:p>
          <w:p w14:paraId="589341E3">
            <w:pPr>
              <w:pStyle w:val="19"/>
              <w:spacing w:line="266" w:lineRule="auto"/>
              <w:rPr>
                <w:color w:val="auto"/>
              </w:rPr>
            </w:pPr>
          </w:p>
          <w:p w14:paraId="6B90E3EF">
            <w:pPr>
              <w:pStyle w:val="19"/>
              <w:spacing w:line="266" w:lineRule="auto"/>
              <w:rPr>
                <w:color w:val="auto"/>
              </w:rPr>
            </w:pPr>
          </w:p>
          <w:p w14:paraId="3FEB2E62">
            <w:pPr>
              <w:spacing w:before="65" w:line="476" w:lineRule="auto"/>
              <w:ind w:left="210" w:right="120" w:hanging="100"/>
              <w:rPr>
                <w:rFonts w:ascii="宋体" w:hAnsi="宋体" w:eastAsia="宋体" w:cs="宋体"/>
                <w:color w:val="auto"/>
                <w:sz w:val="20"/>
                <w:szCs w:val="20"/>
              </w:rPr>
            </w:pPr>
            <w:r>
              <w:rPr>
                <w:rFonts w:ascii="宋体" w:hAnsi="宋体" w:eastAsia="宋体" w:cs="宋体"/>
                <w:color w:val="auto"/>
                <w:spacing w:val="1"/>
                <w:sz w:val="20"/>
                <w:szCs w:val="20"/>
              </w:rPr>
              <w:t>效益指标</w:t>
            </w:r>
            <w:r>
              <w:rPr>
                <w:rFonts w:ascii="宋体" w:hAnsi="宋体" w:eastAsia="宋体" w:cs="宋体"/>
                <w:color w:val="auto"/>
                <w:spacing w:val="2"/>
                <w:sz w:val="20"/>
                <w:szCs w:val="20"/>
              </w:rPr>
              <w:t xml:space="preserve"> </w:t>
            </w:r>
            <w:r>
              <w:rPr>
                <w:rFonts w:ascii="宋体" w:hAnsi="宋体" w:eastAsia="宋体" w:cs="宋体"/>
                <w:color w:val="auto"/>
                <w:spacing w:val="8"/>
                <w:sz w:val="20"/>
                <w:szCs w:val="20"/>
              </w:rPr>
              <w:t>(30分)</w:t>
            </w:r>
          </w:p>
        </w:tc>
        <w:tc>
          <w:tcPr>
            <w:tcW w:w="1049" w:type="dxa"/>
            <w:tcBorders>
              <w:bottom w:val="nil"/>
            </w:tcBorders>
            <w:noWrap w:val="0"/>
            <w:vAlign w:val="top"/>
          </w:tcPr>
          <w:p w14:paraId="3FB0CB3A">
            <w:pPr>
              <w:spacing w:before="204" w:line="230" w:lineRule="auto"/>
              <w:ind w:left="212" w:right="236"/>
              <w:rPr>
                <w:rFonts w:ascii="宋体" w:hAnsi="宋体" w:eastAsia="宋体" w:cs="宋体"/>
                <w:color w:val="auto"/>
                <w:sz w:val="20"/>
                <w:szCs w:val="20"/>
              </w:rPr>
            </w:pPr>
            <w:r>
              <w:rPr>
                <w:rFonts w:ascii="宋体" w:hAnsi="宋体" w:eastAsia="宋体" w:cs="宋体"/>
                <w:color w:val="auto"/>
                <w:spacing w:val="-4"/>
                <w:sz w:val="20"/>
                <w:szCs w:val="20"/>
              </w:rPr>
              <w:t>经济效</w:t>
            </w:r>
            <w:r>
              <w:rPr>
                <w:rFonts w:ascii="宋体" w:hAnsi="宋体" w:eastAsia="宋体" w:cs="宋体"/>
                <w:color w:val="auto"/>
                <w:spacing w:val="1"/>
                <w:sz w:val="20"/>
                <w:szCs w:val="20"/>
              </w:rPr>
              <w:t xml:space="preserve"> </w:t>
            </w:r>
            <w:r>
              <w:rPr>
                <w:rFonts w:ascii="宋体" w:hAnsi="宋体" w:eastAsia="宋体" w:cs="宋体"/>
                <w:color w:val="auto"/>
                <w:spacing w:val="-4"/>
                <w:sz w:val="20"/>
                <w:szCs w:val="20"/>
              </w:rPr>
              <w:t>益指标</w:t>
            </w:r>
          </w:p>
        </w:tc>
        <w:tc>
          <w:tcPr>
            <w:tcW w:w="1198" w:type="dxa"/>
            <w:noWrap w:val="0"/>
            <w:vAlign w:val="center"/>
          </w:tcPr>
          <w:p w14:paraId="7F459C11">
            <w:pPr>
              <w:rPr>
                <w:rFonts w:eastAsia="仿宋_GB2312"/>
                <w:color w:val="auto"/>
                <w:sz w:val="24"/>
              </w:rPr>
            </w:pPr>
            <w:r>
              <w:rPr>
                <w:rFonts w:hint="eastAsia" w:eastAsia="仿宋_GB2312"/>
                <w:color w:val="auto"/>
                <w:sz w:val="24"/>
              </w:rPr>
              <w:t>提高人居生活质量</w:t>
            </w:r>
          </w:p>
          <w:p w14:paraId="3B7F9BE7">
            <w:pPr>
              <w:jc w:val="center"/>
              <w:rPr>
                <w:rFonts w:ascii="仿宋" w:hAnsi="仿宋" w:eastAsia="仿宋" w:cs="仿宋"/>
                <w:color w:val="auto"/>
              </w:rPr>
            </w:pPr>
          </w:p>
        </w:tc>
        <w:tc>
          <w:tcPr>
            <w:tcW w:w="1089" w:type="dxa"/>
            <w:noWrap w:val="0"/>
            <w:vAlign w:val="center"/>
          </w:tcPr>
          <w:p w14:paraId="4F8558D6">
            <w:pPr>
              <w:jc w:val="center"/>
              <w:rPr>
                <w:rFonts w:ascii="仿宋" w:hAnsi="仿宋" w:eastAsia="仿宋" w:cs="仿宋"/>
                <w:color w:val="auto"/>
              </w:rPr>
            </w:pPr>
            <w:r>
              <w:rPr>
                <w:rFonts w:hint="eastAsia" w:ascii="仿宋" w:hAnsi="仿宋" w:eastAsia="仿宋" w:cs="仿宋"/>
                <w:color w:val="auto"/>
              </w:rPr>
              <w:t>100%</w:t>
            </w:r>
          </w:p>
        </w:tc>
        <w:tc>
          <w:tcPr>
            <w:tcW w:w="1109" w:type="dxa"/>
            <w:noWrap w:val="0"/>
            <w:vAlign w:val="center"/>
          </w:tcPr>
          <w:p w14:paraId="5B6C0ADF">
            <w:pPr>
              <w:jc w:val="center"/>
              <w:rPr>
                <w:rFonts w:ascii="仿宋" w:hAnsi="仿宋" w:eastAsia="仿宋" w:cs="仿宋"/>
                <w:color w:val="auto"/>
              </w:rPr>
            </w:pPr>
            <w:r>
              <w:rPr>
                <w:rFonts w:hint="eastAsia" w:ascii="仿宋" w:hAnsi="仿宋" w:eastAsia="仿宋" w:cs="仿宋"/>
                <w:color w:val="auto"/>
              </w:rPr>
              <w:t>100%</w:t>
            </w:r>
          </w:p>
        </w:tc>
        <w:tc>
          <w:tcPr>
            <w:tcW w:w="809" w:type="dxa"/>
            <w:noWrap w:val="0"/>
            <w:vAlign w:val="center"/>
          </w:tcPr>
          <w:p w14:paraId="2799E0B0">
            <w:pPr>
              <w:jc w:val="center"/>
              <w:rPr>
                <w:rFonts w:ascii="仿宋" w:hAnsi="仿宋" w:eastAsia="仿宋" w:cs="仿宋"/>
                <w:color w:val="auto"/>
              </w:rPr>
            </w:pPr>
            <w:r>
              <w:rPr>
                <w:rFonts w:hint="eastAsia" w:ascii="仿宋" w:hAnsi="仿宋" w:eastAsia="仿宋" w:cs="仿宋"/>
                <w:color w:val="auto"/>
              </w:rPr>
              <w:t>5</w:t>
            </w:r>
          </w:p>
        </w:tc>
        <w:tc>
          <w:tcPr>
            <w:tcW w:w="849" w:type="dxa"/>
            <w:noWrap w:val="0"/>
            <w:vAlign w:val="center"/>
          </w:tcPr>
          <w:p w14:paraId="4A5EF590">
            <w:pPr>
              <w:jc w:val="center"/>
              <w:rPr>
                <w:rFonts w:ascii="仿宋" w:hAnsi="仿宋" w:eastAsia="仿宋" w:cs="仿宋"/>
                <w:color w:val="auto"/>
              </w:rPr>
            </w:pPr>
            <w:r>
              <w:rPr>
                <w:rFonts w:hint="eastAsia" w:ascii="仿宋" w:hAnsi="仿宋" w:eastAsia="仿宋" w:cs="仿宋"/>
                <w:color w:val="auto"/>
              </w:rPr>
              <w:t>5</w:t>
            </w:r>
          </w:p>
        </w:tc>
        <w:tc>
          <w:tcPr>
            <w:tcW w:w="1373" w:type="dxa"/>
            <w:noWrap w:val="0"/>
            <w:vAlign w:val="top"/>
          </w:tcPr>
          <w:p w14:paraId="2DAF7138">
            <w:pPr>
              <w:pStyle w:val="19"/>
              <w:rPr>
                <w:color w:val="auto"/>
              </w:rPr>
            </w:pPr>
          </w:p>
        </w:tc>
      </w:tr>
      <w:tr w14:paraId="207C6E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0" w:hRule="atLeast"/>
        </w:trPr>
        <w:tc>
          <w:tcPr>
            <w:tcW w:w="1064" w:type="dxa"/>
            <w:vMerge w:val="continue"/>
            <w:tcBorders>
              <w:top w:val="nil"/>
              <w:bottom w:val="nil"/>
            </w:tcBorders>
            <w:noWrap w:val="0"/>
            <w:textDirection w:val="tbRlV"/>
            <w:vAlign w:val="top"/>
          </w:tcPr>
          <w:p w14:paraId="0F8C2122">
            <w:pPr>
              <w:pStyle w:val="19"/>
              <w:rPr>
                <w:color w:val="auto"/>
              </w:rPr>
            </w:pPr>
          </w:p>
        </w:tc>
        <w:tc>
          <w:tcPr>
            <w:tcW w:w="1049" w:type="dxa"/>
            <w:vMerge w:val="continue"/>
            <w:tcBorders>
              <w:top w:val="nil"/>
              <w:bottom w:val="nil"/>
            </w:tcBorders>
            <w:noWrap w:val="0"/>
            <w:vAlign w:val="top"/>
          </w:tcPr>
          <w:p w14:paraId="57565FF8">
            <w:pPr>
              <w:pStyle w:val="19"/>
              <w:rPr>
                <w:color w:val="auto"/>
              </w:rPr>
            </w:pPr>
          </w:p>
        </w:tc>
        <w:tc>
          <w:tcPr>
            <w:tcW w:w="1049" w:type="dxa"/>
            <w:tcBorders>
              <w:bottom w:val="nil"/>
            </w:tcBorders>
            <w:noWrap w:val="0"/>
            <w:vAlign w:val="top"/>
          </w:tcPr>
          <w:p w14:paraId="4F9851B1">
            <w:pPr>
              <w:spacing w:before="194" w:line="226" w:lineRule="auto"/>
              <w:ind w:left="212" w:right="236"/>
              <w:rPr>
                <w:rFonts w:ascii="宋体" w:hAnsi="宋体" w:eastAsia="宋体" w:cs="宋体"/>
                <w:color w:val="auto"/>
                <w:sz w:val="20"/>
                <w:szCs w:val="20"/>
              </w:rPr>
            </w:pPr>
            <w:r>
              <w:rPr>
                <w:rFonts w:ascii="宋体" w:hAnsi="宋体" w:eastAsia="宋体" w:cs="宋体"/>
                <w:color w:val="auto"/>
                <w:spacing w:val="-4"/>
                <w:sz w:val="20"/>
                <w:szCs w:val="20"/>
              </w:rPr>
              <w:t>社会效</w:t>
            </w:r>
            <w:r>
              <w:rPr>
                <w:rFonts w:ascii="宋体" w:hAnsi="宋体" w:eastAsia="宋体" w:cs="宋体"/>
                <w:color w:val="auto"/>
                <w:spacing w:val="1"/>
                <w:sz w:val="20"/>
                <w:szCs w:val="20"/>
              </w:rPr>
              <w:t xml:space="preserve"> </w:t>
            </w:r>
            <w:r>
              <w:rPr>
                <w:rFonts w:ascii="宋体" w:hAnsi="宋体" w:eastAsia="宋体" w:cs="宋体"/>
                <w:color w:val="auto"/>
                <w:spacing w:val="-4"/>
                <w:sz w:val="20"/>
                <w:szCs w:val="20"/>
              </w:rPr>
              <w:t>益指标</w:t>
            </w:r>
          </w:p>
        </w:tc>
        <w:tc>
          <w:tcPr>
            <w:tcW w:w="1198" w:type="dxa"/>
            <w:noWrap w:val="0"/>
            <w:vAlign w:val="top"/>
          </w:tcPr>
          <w:p w14:paraId="3F5E65A5">
            <w:pPr>
              <w:pStyle w:val="19"/>
              <w:rPr>
                <w:color w:val="auto"/>
                <w:lang w:eastAsia="zh-CN"/>
              </w:rPr>
            </w:pPr>
            <w:r>
              <w:rPr>
                <w:rFonts w:hint="eastAsia" w:ascii="仿宋" w:hAnsi="仿宋" w:eastAsia="仿宋" w:cs="仿宋"/>
                <w:color w:val="auto"/>
                <w:lang w:eastAsia="zh-CN"/>
              </w:rPr>
              <w:t>通过开展安全生产季度督查、安全生产排查和安全大检查等形成的安全生产活动，消除在建社会效益好工程安全生产隐患地区建筑施工安全生产形势平稳，确保不发生较大以上建筑施工安全生产事故</w:t>
            </w:r>
          </w:p>
        </w:tc>
        <w:tc>
          <w:tcPr>
            <w:tcW w:w="1089" w:type="dxa"/>
            <w:noWrap w:val="0"/>
            <w:vAlign w:val="center"/>
          </w:tcPr>
          <w:p w14:paraId="0B451822">
            <w:pPr>
              <w:jc w:val="center"/>
              <w:rPr>
                <w:rFonts w:ascii="仿宋" w:hAnsi="仿宋" w:eastAsia="仿宋" w:cs="仿宋"/>
                <w:color w:val="auto"/>
                <w:lang w:eastAsia="zh-CN"/>
              </w:rPr>
            </w:pPr>
            <w:r>
              <w:rPr>
                <w:rFonts w:hint="eastAsia" w:ascii="仿宋" w:hAnsi="仿宋" w:eastAsia="仿宋" w:cs="仿宋"/>
                <w:color w:val="auto"/>
                <w:lang w:eastAsia="zh-CN"/>
              </w:rPr>
              <w:t>建筑施工现场质量安全标准化考评合格率100%</w:t>
            </w:r>
          </w:p>
        </w:tc>
        <w:tc>
          <w:tcPr>
            <w:tcW w:w="1109" w:type="dxa"/>
            <w:noWrap w:val="0"/>
            <w:vAlign w:val="center"/>
          </w:tcPr>
          <w:p w14:paraId="4FABEC8B">
            <w:pPr>
              <w:jc w:val="center"/>
              <w:rPr>
                <w:rFonts w:ascii="仿宋" w:hAnsi="仿宋" w:eastAsia="仿宋" w:cs="仿宋"/>
                <w:color w:val="auto"/>
              </w:rPr>
            </w:pPr>
            <w:r>
              <w:rPr>
                <w:rFonts w:hint="eastAsia" w:ascii="仿宋" w:hAnsi="仿宋" w:eastAsia="仿宋" w:cs="仿宋"/>
                <w:color w:val="auto"/>
              </w:rPr>
              <w:t>100%</w:t>
            </w:r>
          </w:p>
        </w:tc>
        <w:tc>
          <w:tcPr>
            <w:tcW w:w="809" w:type="dxa"/>
            <w:noWrap w:val="0"/>
            <w:vAlign w:val="center"/>
          </w:tcPr>
          <w:p w14:paraId="7E82B439">
            <w:pPr>
              <w:jc w:val="center"/>
              <w:rPr>
                <w:rFonts w:ascii="仿宋" w:hAnsi="仿宋" w:eastAsia="仿宋" w:cs="仿宋"/>
                <w:color w:val="auto"/>
              </w:rPr>
            </w:pPr>
            <w:r>
              <w:rPr>
                <w:rFonts w:hint="eastAsia" w:ascii="仿宋" w:hAnsi="仿宋" w:eastAsia="仿宋" w:cs="仿宋"/>
                <w:color w:val="auto"/>
              </w:rPr>
              <w:t>15</w:t>
            </w:r>
          </w:p>
        </w:tc>
        <w:tc>
          <w:tcPr>
            <w:tcW w:w="849" w:type="dxa"/>
            <w:noWrap w:val="0"/>
            <w:vAlign w:val="center"/>
          </w:tcPr>
          <w:p w14:paraId="22E9857E">
            <w:pPr>
              <w:jc w:val="center"/>
              <w:rPr>
                <w:rFonts w:ascii="仿宋" w:hAnsi="仿宋" w:eastAsia="仿宋" w:cs="仿宋"/>
                <w:color w:val="auto"/>
              </w:rPr>
            </w:pPr>
            <w:r>
              <w:rPr>
                <w:rFonts w:hint="eastAsia" w:ascii="仿宋" w:hAnsi="仿宋" w:eastAsia="仿宋" w:cs="仿宋"/>
                <w:color w:val="auto"/>
              </w:rPr>
              <w:t>15</w:t>
            </w:r>
          </w:p>
        </w:tc>
        <w:tc>
          <w:tcPr>
            <w:tcW w:w="1373" w:type="dxa"/>
            <w:noWrap w:val="0"/>
            <w:vAlign w:val="top"/>
          </w:tcPr>
          <w:p w14:paraId="72E6CDD6">
            <w:pPr>
              <w:pStyle w:val="19"/>
              <w:rPr>
                <w:color w:val="auto"/>
              </w:rPr>
            </w:pPr>
          </w:p>
        </w:tc>
      </w:tr>
      <w:tr w14:paraId="14C380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trPr>
        <w:tc>
          <w:tcPr>
            <w:tcW w:w="1064" w:type="dxa"/>
            <w:vMerge w:val="continue"/>
            <w:tcBorders>
              <w:top w:val="nil"/>
              <w:bottom w:val="nil"/>
            </w:tcBorders>
            <w:noWrap w:val="0"/>
            <w:textDirection w:val="tbRlV"/>
            <w:vAlign w:val="top"/>
          </w:tcPr>
          <w:p w14:paraId="5CA06E6A">
            <w:pPr>
              <w:pStyle w:val="19"/>
              <w:rPr>
                <w:color w:val="auto"/>
              </w:rPr>
            </w:pPr>
          </w:p>
        </w:tc>
        <w:tc>
          <w:tcPr>
            <w:tcW w:w="1049" w:type="dxa"/>
            <w:vMerge w:val="continue"/>
            <w:tcBorders>
              <w:top w:val="nil"/>
              <w:bottom w:val="nil"/>
            </w:tcBorders>
            <w:noWrap w:val="0"/>
            <w:vAlign w:val="top"/>
          </w:tcPr>
          <w:p w14:paraId="0C7889CC">
            <w:pPr>
              <w:pStyle w:val="19"/>
              <w:rPr>
                <w:color w:val="auto"/>
              </w:rPr>
            </w:pPr>
          </w:p>
        </w:tc>
        <w:tc>
          <w:tcPr>
            <w:tcW w:w="1049" w:type="dxa"/>
            <w:tcBorders>
              <w:bottom w:val="nil"/>
            </w:tcBorders>
            <w:noWrap w:val="0"/>
            <w:vAlign w:val="top"/>
          </w:tcPr>
          <w:p w14:paraId="7F5A546C">
            <w:pPr>
              <w:spacing w:before="216" w:line="230" w:lineRule="auto"/>
              <w:ind w:left="212" w:right="236"/>
              <w:rPr>
                <w:rFonts w:ascii="宋体" w:hAnsi="宋体" w:eastAsia="宋体" w:cs="宋体"/>
                <w:color w:val="auto"/>
                <w:sz w:val="20"/>
                <w:szCs w:val="20"/>
              </w:rPr>
            </w:pPr>
            <w:r>
              <w:rPr>
                <w:rFonts w:ascii="宋体" w:hAnsi="宋体" w:eastAsia="宋体" w:cs="宋体"/>
                <w:color w:val="auto"/>
                <w:spacing w:val="-4"/>
                <w:sz w:val="20"/>
                <w:szCs w:val="20"/>
              </w:rPr>
              <w:t>生态效</w:t>
            </w:r>
            <w:r>
              <w:rPr>
                <w:rFonts w:ascii="宋体" w:hAnsi="宋体" w:eastAsia="宋体" w:cs="宋体"/>
                <w:color w:val="auto"/>
                <w:spacing w:val="1"/>
                <w:sz w:val="20"/>
                <w:szCs w:val="20"/>
              </w:rPr>
              <w:t xml:space="preserve"> </w:t>
            </w:r>
            <w:r>
              <w:rPr>
                <w:rFonts w:ascii="宋体" w:hAnsi="宋体" w:eastAsia="宋体" w:cs="宋体"/>
                <w:color w:val="auto"/>
                <w:spacing w:val="-4"/>
                <w:sz w:val="20"/>
                <w:szCs w:val="20"/>
              </w:rPr>
              <w:t>益指标</w:t>
            </w:r>
          </w:p>
        </w:tc>
        <w:tc>
          <w:tcPr>
            <w:tcW w:w="1198" w:type="dxa"/>
            <w:noWrap w:val="0"/>
            <w:vAlign w:val="top"/>
          </w:tcPr>
          <w:p w14:paraId="48F72F32">
            <w:pPr>
              <w:rPr>
                <w:rFonts w:ascii="仿宋" w:hAnsi="仿宋" w:eastAsia="仿宋" w:cs="仿宋"/>
                <w:color w:val="auto"/>
              </w:rPr>
            </w:pPr>
            <w:r>
              <w:rPr>
                <w:rFonts w:hint="eastAsia" w:eastAsia="仿宋_GB2312"/>
                <w:color w:val="auto"/>
                <w:sz w:val="24"/>
              </w:rPr>
              <w:t>生态环境改善情况</w:t>
            </w:r>
          </w:p>
        </w:tc>
        <w:tc>
          <w:tcPr>
            <w:tcW w:w="1089" w:type="dxa"/>
            <w:noWrap w:val="0"/>
            <w:vAlign w:val="center"/>
          </w:tcPr>
          <w:p w14:paraId="6CD38117">
            <w:pPr>
              <w:jc w:val="center"/>
              <w:rPr>
                <w:rFonts w:ascii="仿宋" w:hAnsi="仿宋" w:eastAsia="仿宋" w:cs="仿宋"/>
                <w:color w:val="auto"/>
              </w:rPr>
            </w:pPr>
            <w:r>
              <w:rPr>
                <w:rFonts w:hint="eastAsia" w:eastAsia="仿宋_GB2312"/>
                <w:color w:val="auto"/>
                <w:sz w:val="24"/>
              </w:rPr>
              <w:t>实现可持续发展</w:t>
            </w:r>
          </w:p>
        </w:tc>
        <w:tc>
          <w:tcPr>
            <w:tcW w:w="1109" w:type="dxa"/>
            <w:noWrap w:val="0"/>
            <w:vAlign w:val="center"/>
          </w:tcPr>
          <w:p w14:paraId="796F9ACE">
            <w:pPr>
              <w:jc w:val="center"/>
              <w:rPr>
                <w:rFonts w:ascii="仿宋" w:hAnsi="仿宋" w:eastAsia="仿宋" w:cs="仿宋"/>
                <w:color w:val="auto"/>
              </w:rPr>
            </w:pPr>
            <w:r>
              <w:rPr>
                <w:rFonts w:hint="eastAsia" w:ascii="仿宋" w:hAnsi="仿宋" w:eastAsia="仿宋" w:cs="仿宋"/>
                <w:color w:val="auto"/>
              </w:rPr>
              <w:t>100%</w:t>
            </w:r>
          </w:p>
        </w:tc>
        <w:tc>
          <w:tcPr>
            <w:tcW w:w="809" w:type="dxa"/>
            <w:noWrap w:val="0"/>
            <w:vAlign w:val="center"/>
          </w:tcPr>
          <w:p w14:paraId="1A747FD5">
            <w:pPr>
              <w:jc w:val="center"/>
              <w:rPr>
                <w:rFonts w:ascii="仿宋" w:hAnsi="仿宋" w:eastAsia="仿宋" w:cs="仿宋"/>
                <w:color w:val="auto"/>
              </w:rPr>
            </w:pPr>
            <w:r>
              <w:rPr>
                <w:rFonts w:hint="eastAsia" w:ascii="仿宋" w:hAnsi="仿宋" w:eastAsia="仿宋" w:cs="仿宋"/>
                <w:color w:val="auto"/>
              </w:rPr>
              <w:t>5</w:t>
            </w:r>
          </w:p>
        </w:tc>
        <w:tc>
          <w:tcPr>
            <w:tcW w:w="849" w:type="dxa"/>
            <w:noWrap w:val="0"/>
            <w:vAlign w:val="center"/>
          </w:tcPr>
          <w:p w14:paraId="7D242679">
            <w:pPr>
              <w:jc w:val="center"/>
              <w:rPr>
                <w:rFonts w:ascii="仿宋" w:hAnsi="仿宋" w:eastAsia="仿宋" w:cs="仿宋"/>
                <w:color w:val="auto"/>
              </w:rPr>
            </w:pPr>
            <w:r>
              <w:rPr>
                <w:rFonts w:hint="eastAsia" w:ascii="仿宋" w:hAnsi="仿宋" w:eastAsia="仿宋" w:cs="仿宋"/>
                <w:color w:val="auto"/>
              </w:rPr>
              <w:t>5</w:t>
            </w:r>
          </w:p>
        </w:tc>
        <w:tc>
          <w:tcPr>
            <w:tcW w:w="1373" w:type="dxa"/>
            <w:noWrap w:val="0"/>
            <w:vAlign w:val="top"/>
          </w:tcPr>
          <w:p w14:paraId="2C1A8911">
            <w:pPr>
              <w:pStyle w:val="19"/>
              <w:rPr>
                <w:color w:val="auto"/>
              </w:rPr>
            </w:pPr>
          </w:p>
        </w:tc>
      </w:tr>
      <w:tr w14:paraId="2DDB358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0" w:hRule="atLeast"/>
        </w:trPr>
        <w:tc>
          <w:tcPr>
            <w:tcW w:w="1064" w:type="dxa"/>
            <w:vMerge w:val="continue"/>
            <w:tcBorders>
              <w:top w:val="nil"/>
              <w:bottom w:val="nil"/>
            </w:tcBorders>
            <w:noWrap w:val="0"/>
            <w:textDirection w:val="tbRlV"/>
            <w:vAlign w:val="top"/>
          </w:tcPr>
          <w:p w14:paraId="62CD700B">
            <w:pPr>
              <w:pStyle w:val="19"/>
              <w:rPr>
                <w:color w:val="auto"/>
              </w:rPr>
            </w:pPr>
          </w:p>
        </w:tc>
        <w:tc>
          <w:tcPr>
            <w:tcW w:w="1049" w:type="dxa"/>
            <w:vMerge w:val="continue"/>
            <w:tcBorders>
              <w:top w:val="nil"/>
              <w:bottom w:val="nil"/>
            </w:tcBorders>
            <w:noWrap w:val="0"/>
            <w:vAlign w:val="top"/>
          </w:tcPr>
          <w:p w14:paraId="6DF9727E">
            <w:pPr>
              <w:pStyle w:val="19"/>
              <w:rPr>
                <w:color w:val="auto"/>
              </w:rPr>
            </w:pPr>
          </w:p>
        </w:tc>
        <w:tc>
          <w:tcPr>
            <w:tcW w:w="1049" w:type="dxa"/>
            <w:tcBorders>
              <w:bottom w:val="nil"/>
            </w:tcBorders>
            <w:noWrap w:val="0"/>
            <w:vAlign w:val="top"/>
          </w:tcPr>
          <w:p w14:paraId="1C8EA89A">
            <w:pPr>
              <w:spacing w:before="207" w:line="230" w:lineRule="auto"/>
              <w:ind w:left="211" w:right="136" w:hanging="100"/>
              <w:rPr>
                <w:rFonts w:ascii="宋体" w:hAnsi="宋体" w:eastAsia="宋体" w:cs="宋体"/>
                <w:color w:val="auto"/>
                <w:sz w:val="20"/>
                <w:szCs w:val="20"/>
              </w:rPr>
            </w:pPr>
            <w:r>
              <w:rPr>
                <w:rFonts w:ascii="宋体" w:hAnsi="宋体" w:eastAsia="宋体" w:cs="宋体"/>
                <w:color w:val="auto"/>
                <w:spacing w:val="-3"/>
                <w:sz w:val="20"/>
                <w:szCs w:val="20"/>
              </w:rPr>
              <w:t>可持续影</w:t>
            </w:r>
            <w:r>
              <w:rPr>
                <w:rFonts w:ascii="宋体" w:hAnsi="宋体" w:eastAsia="宋体" w:cs="宋体"/>
                <w:color w:val="auto"/>
                <w:spacing w:val="1"/>
                <w:sz w:val="20"/>
                <w:szCs w:val="20"/>
              </w:rPr>
              <w:t xml:space="preserve"> </w:t>
            </w:r>
            <w:r>
              <w:rPr>
                <w:rFonts w:ascii="宋体" w:hAnsi="宋体" w:eastAsia="宋体" w:cs="宋体"/>
                <w:color w:val="auto"/>
                <w:spacing w:val="2"/>
                <w:sz w:val="20"/>
                <w:szCs w:val="20"/>
              </w:rPr>
              <w:t>响指标</w:t>
            </w:r>
          </w:p>
        </w:tc>
        <w:tc>
          <w:tcPr>
            <w:tcW w:w="1198" w:type="dxa"/>
            <w:noWrap w:val="0"/>
            <w:vAlign w:val="top"/>
          </w:tcPr>
          <w:p w14:paraId="052254D1">
            <w:pPr>
              <w:rPr>
                <w:rFonts w:ascii="仿宋" w:hAnsi="仿宋" w:eastAsia="仿宋" w:cs="仿宋"/>
                <w:color w:val="auto"/>
                <w:lang w:eastAsia="zh-CN"/>
              </w:rPr>
            </w:pPr>
            <w:r>
              <w:rPr>
                <w:rFonts w:hint="eastAsia" w:ascii="仿宋" w:hAnsi="仿宋" w:eastAsia="仿宋" w:cs="仿宋"/>
                <w:color w:val="auto"/>
                <w:lang w:eastAsia="zh-CN"/>
              </w:rPr>
              <w:t>形成持续良好的建筑环境</w:t>
            </w:r>
          </w:p>
        </w:tc>
        <w:tc>
          <w:tcPr>
            <w:tcW w:w="1089" w:type="dxa"/>
            <w:noWrap w:val="0"/>
            <w:vAlign w:val="center"/>
          </w:tcPr>
          <w:p w14:paraId="1C4BB922">
            <w:pPr>
              <w:jc w:val="center"/>
              <w:rPr>
                <w:rFonts w:ascii="仿宋" w:hAnsi="仿宋" w:eastAsia="仿宋" w:cs="仿宋"/>
                <w:color w:val="auto"/>
              </w:rPr>
            </w:pPr>
            <w:r>
              <w:rPr>
                <w:rFonts w:hint="eastAsia" w:ascii="仿宋" w:hAnsi="仿宋" w:eastAsia="仿宋" w:cs="仿宋"/>
                <w:color w:val="auto"/>
              </w:rPr>
              <w:t>有可持续影响</w:t>
            </w:r>
          </w:p>
        </w:tc>
        <w:tc>
          <w:tcPr>
            <w:tcW w:w="1109" w:type="dxa"/>
            <w:noWrap w:val="0"/>
            <w:vAlign w:val="center"/>
          </w:tcPr>
          <w:p w14:paraId="59365C7E">
            <w:pPr>
              <w:jc w:val="center"/>
              <w:rPr>
                <w:rFonts w:ascii="仿宋" w:hAnsi="仿宋" w:eastAsia="仿宋" w:cs="仿宋"/>
                <w:color w:val="auto"/>
              </w:rPr>
            </w:pPr>
            <w:r>
              <w:rPr>
                <w:rFonts w:hint="eastAsia" w:ascii="仿宋" w:hAnsi="仿宋" w:eastAsia="仿宋" w:cs="仿宋"/>
                <w:color w:val="auto"/>
              </w:rPr>
              <w:t>100%</w:t>
            </w:r>
          </w:p>
        </w:tc>
        <w:tc>
          <w:tcPr>
            <w:tcW w:w="809" w:type="dxa"/>
            <w:noWrap w:val="0"/>
            <w:vAlign w:val="center"/>
          </w:tcPr>
          <w:p w14:paraId="235EDA28">
            <w:pPr>
              <w:jc w:val="center"/>
              <w:rPr>
                <w:rFonts w:ascii="仿宋" w:hAnsi="仿宋" w:eastAsia="仿宋" w:cs="仿宋"/>
                <w:color w:val="auto"/>
              </w:rPr>
            </w:pPr>
            <w:r>
              <w:rPr>
                <w:rFonts w:hint="eastAsia" w:ascii="仿宋" w:hAnsi="仿宋" w:eastAsia="仿宋" w:cs="仿宋"/>
                <w:color w:val="auto"/>
              </w:rPr>
              <w:t>5</w:t>
            </w:r>
          </w:p>
        </w:tc>
        <w:tc>
          <w:tcPr>
            <w:tcW w:w="849" w:type="dxa"/>
            <w:noWrap w:val="0"/>
            <w:vAlign w:val="center"/>
          </w:tcPr>
          <w:p w14:paraId="33C0D8D5">
            <w:pPr>
              <w:jc w:val="center"/>
              <w:rPr>
                <w:rFonts w:ascii="仿宋" w:hAnsi="仿宋" w:eastAsia="仿宋" w:cs="仿宋"/>
                <w:color w:val="auto"/>
              </w:rPr>
            </w:pPr>
            <w:r>
              <w:rPr>
                <w:rFonts w:hint="eastAsia" w:ascii="仿宋" w:hAnsi="仿宋" w:eastAsia="仿宋" w:cs="仿宋"/>
                <w:color w:val="auto"/>
              </w:rPr>
              <w:t>5</w:t>
            </w:r>
          </w:p>
        </w:tc>
        <w:tc>
          <w:tcPr>
            <w:tcW w:w="1373" w:type="dxa"/>
            <w:noWrap w:val="0"/>
            <w:vAlign w:val="top"/>
          </w:tcPr>
          <w:p w14:paraId="58713906">
            <w:pPr>
              <w:pStyle w:val="19"/>
              <w:rPr>
                <w:color w:val="auto"/>
              </w:rPr>
            </w:pPr>
          </w:p>
        </w:tc>
      </w:tr>
      <w:tr w14:paraId="4845F99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9" w:hRule="atLeast"/>
        </w:trPr>
        <w:tc>
          <w:tcPr>
            <w:tcW w:w="1064" w:type="dxa"/>
            <w:vMerge w:val="continue"/>
            <w:tcBorders>
              <w:top w:val="nil"/>
              <w:bottom w:val="nil"/>
            </w:tcBorders>
            <w:noWrap w:val="0"/>
            <w:textDirection w:val="tbRlV"/>
            <w:vAlign w:val="top"/>
          </w:tcPr>
          <w:p w14:paraId="003CEF8F">
            <w:pPr>
              <w:pStyle w:val="19"/>
              <w:rPr>
                <w:color w:val="auto"/>
              </w:rPr>
            </w:pPr>
          </w:p>
        </w:tc>
        <w:tc>
          <w:tcPr>
            <w:tcW w:w="1049" w:type="dxa"/>
            <w:tcBorders>
              <w:bottom w:val="nil"/>
            </w:tcBorders>
            <w:noWrap w:val="0"/>
            <w:vAlign w:val="top"/>
          </w:tcPr>
          <w:p w14:paraId="0BA72E62">
            <w:pPr>
              <w:spacing w:before="57" w:line="219" w:lineRule="auto"/>
              <w:ind w:left="211"/>
              <w:rPr>
                <w:rFonts w:ascii="宋体" w:hAnsi="宋体" w:eastAsia="宋体" w:cs="宋体"/>
                <w:color w:val="auto"/>
                <w:sz w:val="20"/>
                <w:szCs w:val="20"/>
              </w:rPr>
            </w:pPr>
            <w:r>
              <w:rPr>
                <w:rFonts w:ascii="宋体" w:hAnsi="宋体" w:eastAsia="宋体" w:cs="宋体"/>
                <w:color w:val="auto"/>
                <w:spacing w:val="-2"/>
                <w:sz w:val="20"/>
                <w:szCs w:val="20"/>
              </w:rPr>
              <w:t>满意度</w:t>
            </w:r>
          </w:p>
          <w:p w14:paraId="31371A6A">
            <w:pPr>
              <w:spacing w:before="43" w:line="203" w:lineRule="auto"/>
              <w:ind w:left="310"/>
              <w:rPr>
                <w:rFonts w:ascii="宋体" w:hAnsi="宋体" w:eastAsia="宋体" w:cs="宋体"/>
                <w:color w:val="auto"/>
                <w:sz w:val="20"/>
                <w:szCs w:val="20"/>
              </w:rPr>
            </w:pPr>
            <w:r>
              <w:rPr>
                <w:rFonts w:ascii="宋体" w:hAnsi="宋体" w:eastAsia="宋体" w:cs="宋体"/>
                <w:color w:val="auto"/>
                <w:spacing w:val="-3"/>
                <w:sz w:val="20"/>
                <w:szCs w:val="20"/>
              </w:rPr>
              <w:t>指标</w:t>
            </w:r>
          </w:p>
          <w:p w14:paraId="41F1E102">
            <w:pPr>
              <w:spacing w:before="1" w:line="194" w:lineRule="auto"/>
              <w:ind w:left="211"/>
              <w:rPr>
                <w:rFonts w:ascii="宋体" w:hAnsi="宋体" w:eastAsia="宋体" w:cs="宋体"/>
                <w:color w:val="auto"/>
                <w:sz w:val="20"/>
                <w:szCs w:val="20"/>
              </w:rPr>
            </w:pPr>
            <w:r>
              <w:rPr>
                <w:rFonts w:ascii="宋体" w:hAnsi="宋体" w:eastAsia="宋体" w:cs="宋体"/>
                <w:color w:val="auto"/>
                <w:spacing w:val="8"/>
                <w:sz w:val="20"/>
                <w:szCs w:val="20"/>
              </w:rPr>
              <w:t>(10分)</w:t>
            </w:r>
          </w:p>
        </w:tc>
        <w:tc>
          <w:tcPr>
            <w:tcW w:w="1049" w:type="dxa"/>
            <w:tcBorders>
              <w:bottom w:val="nil"/>
            </w:tcBorders>
            <w:noWrap w:val="0"/>
            <w:vAlign w:val="top"/>
          </w:tcPr>
          <w:p w14:paraId="36A0B690">
            <w:pPr>
              <w:spacing w:before="67" w:line="219" w:lineRule="auto"/>
              <w:ind w:left="111"/>
              <w:rPr>
                <w:rFonts w:ascii="宋体" w:hAnsi="宋体" w:eastAsia="宋体" w:cs="宋体"/>
                <w:color w:val="auto"/>
                <w:sz w:val="20"/>
                <w:szCs w:val="20"/>
              </w:rPr>
            </w:pPr>
            <w:r>
              <w:rPr>
                <w:rFonts w:ascii="宋体" w:hAnsi="宋体" w:eastAsia="宋体" w:cs="宋体"/>
                <w:color w:val="auto"/>
                <w:spacing w:val="-2"/>
                <w:sz w:val="20"/>
                <w:szCs w:val="20"/>
              </w:rPr>
              <w:t>服务对象</w:t>
            </w:r>
          </w:p>
          <w:p w14:paraId="19402D97">
            <w:pPr>
              <w:spacing w:before="22" w:line="204" w:lineRule="auto"/>
              <w:ind w:left="111"/>
              <w:rPr>
                <w:rFonts w:ascii="宋体" w:hAnsi="宋体" w:eastAsia="宋体" w:cs="宋体"/>
                <w:color w:val="auto"/>
                <w:sz w:val="20"/>
                <w:szCs w:val="20"/>
              </w:rPr>
            </w:pPr>
            <w:r>
              <w:rPr>
                <w:rFonts w:ascii="宋体" w:hAnsi="宋体" w:eastAsia="宋体" w:cs="宋体"/>
                <w:color w:val="auto"/>
                <w:spacing w:val="3"/>
                <w:sz w:val="20"/>
                <w:szCs w:val="20"/>
              </w:rPr>
              <w:t>满意度指</w:t>
            </w:r>
          </w:p>
          <w:p w14:paraId="6E750803">
            <w:pPr>
              <w:spacing w:line="204" w:lineRule="auto"/>
              <w:ind w:left="411"/>
              <w:rPr>
                <w:rFonts w:ascii="宋体" w:hAnsi="宋体" w:eastAsia="宋体" w:cs="宋体"/>
                <w:color w:val="auto"/>
                <w:sz w:val="20"/>
                <w:szCs w:val="20"/>
              </w:rPr>
            </w:pPr>
            <w:r>
              <w:rPr>
                <w:rFonts w:ascii="宋体" w:hAnsi="宋体" w:eastAsia="宋体" w:cs="宋体"/>
                <w:color w:val="auto"/>
                <w:sz w:val="20"/>
                <w:szCs w:val="20"/>
              </w:rPr>
              <w:t>标</w:t>
            </w:r>
          </w:p>
        </w:tc>
        <w:tc>
          <w:tcPr>
            <w:tcW w:w="1198" w:type="dxa"/>
            <w:noWrap w:val="0"/>
            <w:vAlign w:val="top"/>
          </w:tcPr>
          <w:p w14:paraId="3C14EB04">
            <w:pPr>
              <w:rPr>
                <w:rFonts w:ascii="仿宋" w:hAnsi="仿宋" w:eastAsia="仿宋" w:cs="仿宋"/>
                <w:color w:val="auto"/>
                <w:lang w:eastAsia="zh-CN"/>
              </w:rPr>
            </w:pPr>
            <w:r>
              <w:rPr>
                <w:rFonts w:hint="eastAsia" w:ascii="仿宋" w:hAnsi="仿宋" w:eastAsia="仿宋" w:cs="仿宋"/>
                <w:color w:val="auto"/>
                <w:lang w:eastAsia="zh-CN"/>
              </w:rPr>
              <w:t>建筑施工项目各责任单位</w:t>
            </w:r>
          </w:p>
        </w:tc>
        <w:tc>
          <w:tcPr>
            <w:tcW w:w="1089" w:type="dxa"/>
            <w:noWrap w:val="0"/>
            <w:vAlign w:val="center"/>
          </w:tcPr>
          <w:p w14:paraId="7ADCBBED">
            <w:pPr>
              <w:jc w:val="center"/>
              <w:rPr>
                <w:rFonts w:ascii="仿宋" w:hAnsi="仿宋" w:eastAsia="仿宋" w:cs="仿宋"/>
                <w:color w:val="auto"/>
              </w:rPr>
            </w:pPr>
            <w:r>
              <w:rPr>
                <w:rFonts w:hint="eastAsia" w:ascii="仿宋" w:hAnsi="仿宋" w:eastAsia="仿宋" w:cs="仿宋"/>
                <w:color w:val="auto"/>
              </w:rPr>
              <w:t>98%</w:t>
            </w:r>
          </w:p>
        </w:tc>
        <w:tc>
          <w:tcPr>
            <w:tcW w:w="1109" w:type="dxa"/>
            <w:noWrap w:val="0"/>
            <w:vAlign w:val="center"/>
          </w:tcPr>
          <w:p w14:paraId="327600EE">
            <w:pPr>
              <w:jc w:val="center"/>
              <w:rPr>
                <w:rFonts w:ascii="仿宋" w:hAnsi="仿宋" w:eastAsia="仿宋" w:cs="仿宋"/>
                <w:color w:val="auto"/>
              </w:rPr>
            </w:pPr>
            <w:r>
              <w:rPr>
                <w:rFonts w:hint="eastAsia" w:ascii="仿宋" w:hAnsi="仿宋" w:eastAsia="仿宋" w:cs="仿宋"/>
                <w:color w:val="auto"/>
              </w:rPr>
              <w:t>98%以上</w:t>
            </w:r>
          </w:p>
        </w:tc>
        <w:tc>
          <w:tcPr>
            <w:tcW w:w="809" w:type="dxa"/>
            <w:noWrap w:val="0"/>
            <w:vAlign w:val="center"/>
          </w:tcPr>
          <w:p w14:paraId="36529E53">
            <w:pPr>
              <w:jc w:val="center"/>
              <w:rPr>
                <w:rFonts w:ascii="仿宋" w:hAnsi="仿宋" w:eastAsia="仿宋" w:cs="仿宋"/>
                <w:color w:val="auto"/>
              </w:rPr>
            </w:pPr>
            <w:r>
              <w:rPr>
                <w:rFonts w:hint="eastAsia" w:ascii="仿宋" w:hAnsi="仿宋" w:eastAsia="仿宋" w:cs="仿宋"/>
                <w:color w:val="auto"/>
              </w:rPr>
              <w:t>8</w:t>
            </w:r>
          </w:p>
        </w:tc>
        <w:tc>
          <w:tcPr>
            <w:tcW w:w="849" w:type="dxa"/>
            <w:noWrap w:val="0"/>
            <w:vAlign w:val="center"/>
          </w:tcPr>
          <w:p w14:paraId="1B3EDDC6">
            <w:pPr>
              <w:jc w:val="center"/>
              <w:rPr>
                <w:rFonts w:ascii="仿宋" w:hAnsi="仿宋" w:eastAsia="仿宋" w:cs="仿宋"/>
                <w:color w:val="auto"/>
              </w:rPr>
            </w:pPr>
            <w:r>
              <w:rPr>
                <w:rFonts w:hint="eastAsia" w:ascii="仿宋" w:hAnsi="仿宋" w:eastAsia="仿宋" w:cs="仿宋"/>
                <w:color w:val="auto"/>
              </w:rPr>
              <w:t>8</w:t>
            </w:r>
          </w:p>
        </w:tc>
        <w:tc>
          <w:tcPr>
            <w:tcW w:w="1373" w:type="dxa"/>
            <w:noWrap w:val="0"/>
            <w:vAlign w:val="top"/>
          </w:tcPr>
          <w:p w14:paraId="75DFA7A3">
            <w:pPr>
              <w:pStyle w:val="19"/>
              <w:rPr>
                <w:color w:val="auto"/>
              </w:rPr>
            </w:pPr>
          </w:p>
        </w:tc>
      </w:tr>
      <w:tr w14:paraId="6A0D94F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45" w:hRule="atLeast"/>
        </w:trPr>
        <w:tc>
          <w:tcPr>
            <w:tcW w:w="6558" w:type="dxa"/>
            <w:gridSpan w:val="6"/>
            <w:noWrap w:val="0"/>
            <w:vAlign w:val="top"/>
          </w:tcPr>
          <w:p w14:paraId="149F3678">
            <w:pPr>
              <w:spacing w:before="29" w:line="190" w:lineRule="auto"/>
              <w:ind w:left="3094"/>
              <w:rPr>
                <w:rFonts w:ascii="宋体" w:hAnsi="宋体" w:eastAsia="宋体" w:cs="宋体"/>
                <w:color w:val="auto"/>
                <w:sz w:val="20"/>
                <w:szCs w:val="20"/>
              </w:rPr>
            </w:pPr>
            <w:r>
              <w:rPr>
                <w:rFonts w:ascii="宋体" w:hAnsi="宋体" w:eastAsia="宋体" w:cs="宋体"/>
                <w:color w:val="auto"/>
                <w:spacing w:val="4"/>
                <w:sz w:val="20"/>
                <w:szCs w:val="20"/>
              </w:rPr>
              <w:t>总分</w:t>
            </w:r>
          </w:p>
        </w:tc>
        <w:tc>
          <w:tcPr>
            <w:tcW w:w="809" w:type="dxa"/>
            <w:noWrap w:val="0"/>
            <w:vAlign w:val="top"/>
          </w:tcPr>
          <w:p w14:paraId="3E575C63">
            <w:pPr>
              <w:spacing w:before="79" w:line="156" w:lineRule="exact"/>
              <w:ind w:left="246"/>
              <w:jc w:val="center"/>
              <w:rPr>
                <w:rFonts w:ascii="宋体" w:hAnsi="宋体" w:eastAsia="宋体" w:cs="宋体"/>
                <w:color w:val="auto"/>
                <w:sz w:val="20"/>
                <w:szCs w:val="20"/>
              </w:rPr>
            </w:pPr>
            <w:r>
              <w:rPr>
                <w:rFonts w:ascii="宋体" w:hAnsi="宋体" w:eastAsia="宋体" w:cs="宋体"/>
                <w:color w:val="auto"/>
                <w:spacing w:val="-6"/>
                <w:position w:val="-2"/>
                <w:sz w:val="20"/>
                <w:szCs w:val="20"/>
              </w:rPr>
              <w:t>100</w:t>
            </w:r>
          </w:p>
        </w:tc>
        <w:tc>
          <w:tcPr>
            <w:tcW w:w="849" w:type="dxa"/>
            <w:noWrap w:val="0"/>
            <w:vAlign w:val="top"/>
          </w:tcPr>
          <w:p w14:paraId="68F28894">
            <w:pPr>
              <w:pStyle w:val="19"/>
              <w:spacing w:line="235" w:lineRule="exact"/>
              <w:jc w:val="center"/>
              <w:rPr>
                <w:rFonts w:eastAsia="宋体"/>
                <w:color w:val="auto"/>
                <w:sz w:val="20"/>
                <w:lang w:eastAsia="zh-CN"/>
              </w:rPr>
            </w:pPr>
            <w:r>
              <w:rPr>
                <w:rFonts w:hint="eastAsia" w:eastAsia="宋体"/>
                <w:color w:val="auto"/>
                <w:sz w:val="20"/>
                <w:lang w:eastAsia="zh-CN"/>
              </w:rPr>
              <w:t>99.72</w:t>
            </w:r>
          </w:p>
        </w:tc>
        <w:tc>
          <w:tcPr>
            <w:tcW w:w="1373" w:type="dxa"/>
            <w:noWrap w:val="0"/>
            <w:vAlign w:val="top"/>
          </w:tcPr>
          <w:p w14:paraId="6B4014F1">
            <w:pPr>
              <w:pStyle w:val="19"/>
              <w:spacing w:line="235" w:lineRule="exact"/>
              <w:rPr>
                <w:color w:val="auto"/>
                <w:sz w:val="20"/>
              </w:rPr>
            </w:pPr>
          </w:p>
        </w:tc>
      </w:tr>
    </w:tbl>
    <w:p w14:paraId="387D90D6">
      <w:pPr>
        <w:spacing w:before="72" w:line="219" w:lineRule="auto"/>
        <w:ind w:left="574"/>
        <w:rPr>
          <w:rFonts w:ascii="宋体" w:hAnsi="宋体" w:eastAsia="宋体" w:cs="宋体"/>
          <w:color w:val="auto"/>
          <w:sz w:val="21"/>
          <w:szCs w:val="21"/>
          <w:lang w:eastAsia="zh-CN"/>
        </w:rPr>
      </w:pPr>
    </w:p>
    <w:p w14:paraId="3909EE61">
      <w:pPr>
        <w:spacing w:before="72" w:line="219" w:lineRule="auto"/>
        <w:ind w:left="574"/>
        <w:rPr>
          <w:rFonts w:ascii="宋体" w:hAnsi="宋体" w:eastAsia="宋体" w:cs="宋体"/>
          <w:color w:val="auto"/>
          <w:sz w:val="21"/>
          <w:szCs w:val="21"/>
          <w:lang w:eastAsia="zh-CN"/>
        </w:rPr>
      </w:pPr>
      <w:r>
        <w:rPr>
          <w:rFonts w:ascii="宋体" w:hAnsi="宋体" w:eastAsia="宋体" w:cs="宋体"/>
          <w:color w:val="auto"/>
          <w:sz w:val="21"/>
          <w:szCs w:val="21"/>
          <w:lang w:eastAsia="zh-CN"/>
        </w:rPr>
        <w:t>备注：一个一级项目支出一张表。如，业务工作经费，运行维护经费，其他事业发展类资金…各一张表。</w:t>
      </w:r>
    </w:p>
    <w:p w14:paraId="1125982B">
      <w:pPr>
        <w:pStyle w:val="2"/>
        <w:rPr>
          <w:lang w:eastAsia="zh-CN"/>
        </w:rPr>
      </w:pPr>
    </w:p>
    <w:p w14:paraId="3B82CC0A">
      <w:pPr>
        <w:pStyle w:val="4"/>
        <w:spacing w:before="61" w:line="233" w:lineRule="auto"/>
        <w:rPr>
          <w:rFonts w:hint="eastAsia" w:ascii="宋体" w:hAnsi="宋体" w:eastAsia="宋体" w:cs="宋体"/>
          <w:color w:val="auto"/>
          <w:sz w:val="21"/>
          <w:szCs w:val="21"/>
          <w:lang w:eastAsia="zh-CN"/>
        </w:rPr>
      </w:pPr>
      <w:r>
        <w:rPr>
          <w:rFonts w:hint="eastAsia" w:ascii="宋体" w:hAnsi="宋体" w:eastAsia="宋体" w:cs="宋体"/>
          <w:color w:val="auto"/>
          <w:spacing w:val="5"/>
          <w:sz w:val="21"/>
          <w:szCs w:val="21"/>
          <w:lang w:eastAsia="zh-CN"/>
        </w:rPr>
        <w:t>填表人：周利华</w:t>
      </w:r>
      <w:r>
        <w:rPr>
          <w:rFonts w:hint="eastAsia" w:ascii="宋体" w:hAnsi="宋体" w:eastAsia="宋体" w:cs="宋体"/>
          <w:color w:val="auto"/>
          <w:spacing w:val="4"/>
          <w:sz w:val="21"/>
          <w:szCs w:val="21"/>
          <w:lang w:eastAsia="zh-CN"/>
        </w:rPr>
        <w:t xml:space="preserve"> </w:t>
      </w:r>
      <w:r>
        <w:rPr>
          <w:rFonts w:hint="eastAsia" w:ascii="宋体" w:hAnsi="宋体" w:eastAsia="宋体" w:cs="宋体"/>
          <w:color w:val="auto"/>
          <w:spacing w:val="4"/>
          <w:sz w:val="21"/>
          <w:szCs w:val="21"/>
          <w:lang w:val="en-US" w:eastAsia="zh-CN"/>
        </w:rPr>
        <w:t xml:space="preserve">  </w:t>
      </w:r>
      <w:r>
        <w:rPr>
          <w:rFonts w:hint="eastAsia" w:ascii="宋体" w:hAnsi="宋体" w:eastAsia="宋体" w:cs="宋体"/>
          <w:color w:val="auto"/>
          <w:spacing w:val="5"/>
          <w:sz w:val="21"/>
          <w:szCs w:val="21"/>
          <w:lang w:eastAsia="zh-CN"/>
        </w:rPr>
        <w:t>填报日期：2025.3.1</w:t>
      </w:r>
      <w:r>
        <w:rPr>
          <w:rFonts w:hint="eastAsia" w:ascii="宋体" w:hAnsi="宋体" w:eastAsia="宋体" w:cs="宋体"/>
          <w:color w:val="auto"/>
          <w:spacing w:val="5"/>
          <w:sz w:val="21"/>
          <w:szCs w:val="21"/>
          <w:lang w:val="en-US" w:eastAsia="zh-CN"/>
        </w:rPr>
        <w:t>7</w:t>
      </w:r>
      <w:r>
        <w:rPr>
          <w:rFonts w:hint="eastAsia" w:ascii="宋体" w:hAnsi="宋体" w:eastAsia="宋体" w:cs="宋体"/>
          <w:color w:val="auto"/>
          <w:sz w:val="21"/>
          <w:szCs w:val="21"/>
          <w:lang w:eastAsia="zh-CN"/>
        </w:rPr>
        <w:t xml:space="preserve">  </w:t>
      </w:r>
      <w:r>
        <w:rPr>
          <w:rFonts w:hint="eastAsia" w:ascii="宋体" w:hAnsi="宋体" w:eastAsia="宋体" w:cs="宋体"/>
          <w:color w:val="auto"/>
          <w:spacing w:val="5"/>
          <w:sz w:val="21"/>
          <w:szCs w:val="21"/>
          <w:lang w:eastAsia="zh-CN"/>
        </w:rPr>
        <w:t>联系电话：13873013810    单位负责人签字：廖亚辉</w:t>
      </w:r>
    </w:p>
    <w:p w14:paraId="63D846E1">
      <w:pPr>
        <w:spacing w:before="97" w:line="224" w:lineRule="auto"/>
        <w:rPr>
          <w:rFonts w:ascii="黑体" w:hAnsi="黑体" w:eastAsia="黑体" w:cs="黑体"/>
          <w:b/>
          <w:bCs/>
          <w:color w:val="auto"/>
          <w:spacing w:val="26"/>
          <w:sz w:val="30"/>
          <w:szCs w:val="30"/>
        </w:rPr>
      </w:pPr>
      <w:r>
        <w:rPr>
          <w:color w:val="auto"/>
        </w:rPr>
        <w:drawing>
          <wp:inline distT="0" distB="0" distL="114300" distR="114300">
            <wp:extent cx="6163310" cy="8728075"/>
            <wp:effectExtent l="0" t="0" r="8890" b="1587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6">
                      <a:lum bright="6000"/>
                    </a:blip>
                    <a:stretch>
                      <a:fillRect/>
                    </a:stretch>
                  </pic:blipFill>
                  <pic:spPr>
                    <a:xfrm>
                      <a:off x="0" y="0"/>
                      <a:ext cx="6163310" cy="8728075"/>
                    </a:xfrm>
                    <a:prstGeom prst="rect">
                      <a:avLst/>
                    </a:prstGeom>
                    <a:noFill/>
                    <a:ln>
                      <a:noFill/>
                    </a:ln>
                  </pic:spPr>
                </pic:pic>
              </a:graphicData>
            </a:graphic>
          </wp:inline>
        </w:drawing>
      </w:r>
    </w:p>
    <w:p w14:paraId="49F9819A">
      <w:pPr>
        <w:spacing w:before="97" w:line="224" w:lineRule="auto"/>
        <w:rPr>
          <w:rFonts w:ascii="黑体" w:hAnsi="黑体" w:eastAsia="黑体" w:cs="黑体"/>
          <w:b/>
          <w:bCs/>
          <w:color w:val="auto"/>
          <w:spacing w:val="26"/>
          <w:sz w:val="30"/>
          <w:szCs w:val="30"/>
        </w:rPr>
      </w:pPr>
      <w:r>
        <w:rPr>
          <w:color w:val="auto"/>
        </w:rPr>
        <w:drawing>
          <wp:inline distT="0" distB="0" distL="114300" distR="114300">
            <wp:extent cx="6163310" cy="8721090"/>
            <wp:effectExtent l="0" t="0" r="8890" b="3810"/>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7">
                      <a:lum bright="6000"/>
                    </a:blip>
                    <a:stretch>
                      <a:fillRect/>
                    </a:stretch>
                  </pic:blipFill>
                  <pic:spPr>
                    <a:xfrm>
                      <a:off x="0" y="0"/>
                      <a:ext cx="6163310" cy="8721090"/>
                    </a:xfrm>
                    <a:prstGeom prst="rect">
                      <a:avLst/>
                    </a:prstGeom>
                    <a:noFill/>
                    <a:ln>
                      <a:noFill/>
                    </a:ln>
                  </pic:spPr>
                </pic:pic>
              </a:graphicData>
            </a:graphic>
          </wp:inline>
        </w:drawing>
      </w:r>
    </w:p>
    <w:p w14:paraId="0FD9E04C">
      <w:pPr>
        <w:spacing w:before="97" w:line="224" w:lineRule="auto"/>
        <w:rPr>
          <w:rFonts w:ascii="黑体" w:hAnsi="黑体" w:eastAsia="黑体" w:cs="黑体"/>
          <w:b/>
          <w:bCs/>
          <w:color w:val="auto"/>
          <w:spacing w:val="26"/>
          <w:sz w:val="30"/>
          <w:szCs w:val="30"/>
        </w:rPr>
      </w:pPr>
      <w:r>
        <w:rPr>
          <w:color w:val="auto"/>
        </w:rPr>
        <w:drawing>
          <wp:inline distT="0" distB="0" distL="114300" distR="114300">
            <wp:extent cx="6163310" cy="8721090"/>
            <wp:effectExtent l="0" t="0" r="8890" b="3810"/>
            <wp:docPr id="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3"/>
                    <pic:cNvPicPr>
                      <a:picLocks noChangeAspect="1"/>
                    </pic:cNvPicPr>
                  </pic:nvPicPr>
                  <pic:blipFill>
                    <a:blip r:embed="rId8">
                      <a:lum bright="6000"/>
                    </a:blip>
                    <a:stretch>
                      <a:fillRect/>
                    </a:stretch>
                  </pic:blipFill>
                  <pic:spPr>
                    <a:xfrm>
                      <a:off x="0" y="0"/>
                      <a:ext cx="6163310" cy="8721090"/>
                    </a:xfrm>
                    <a:prstGeom prst="rect">
                      <a:avLst/>
                    </a:prstGeom>
                    <a:noFill/>
                    <a:ln>
                      <a:noFill/>
                    </a:ln>
                  </pic:spPr>
                </pic:pic>
              </a:graphicData>
            </a:graphic>
          </wp:inline>
        </w:drawing>
      </w:r>
    </w:p>
    <w:p w14:paraId="1A62A839">
      <w:pPr>
        <w:spacing w:before="97" w:line="224" w:lineRule="auto"/>
        <w:rPr>
          <w:rFonts w:ascii="黑体" w:hAnsi="黑体" w:eastAsia="黑体" w:cs="黑体"/>
          <w:b/>
          <w:bCs/>
          <w:color w:val="auto"/>
          <w:spacing w:val="26"/>
          <w:sz w:val="30"/>
          <w:szCs w:val="30"/>
          <w:lang w:eastAsia="zh-CN"/>
        </w:rPr>
      </w:pPr>
      <w:r>
        <w:rPr>
          <w:color w:val="auto"/>
        </w:rPr>
        <w:drawing>
          <wp:inline distT="0" distB="0" distL="114300" distR="114300">
            <wp:extent cx="6914515" cy="9784080"/>
            <wp:effectExtent l="0" t="0" r="635" b="7620"/>
            <wp:docPr id="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4"/>
                    <pic:cNvPicPr>
                      <a:picLocks noChangeAspect="1"/>
                    </pic:cNvPicPr>
                  </pic:nvPicPr>
                  <pic:blipFill>
                    <a:blip r:embed="rId9">
                      <a:lum bright="6000"/>
                    </a:blip>
                    <a:stretch>
                      <a:fillRect/>
                    </a:stretch>
                  </pic:blipFill>
                  <pic:spPr>
                    <a:xfrm>
                      <a:off x="0" y="0"/>
                      <a:ext cx="6914515" cy="9784080"/>
                    </a:xfrm>
                    <a:prstGeom prst="rect">
                      <a:avLst/>
                    </a:prstGeom>
                    <a:noFill/>
                    <a:ln>
                      <a:noFill/>
                    </a:ln>
                  </pic:spPr>
                </pic:pic>
              </a:graphicData>
            </a:graphic>
          </wp:inline>
        </w:drawing>
      </w:r>
      <w:r>
        <w:rPr>
          <w:rFonts w:ascii="黑体" w:hAnsi="黑体" w:eastAsia="黑体" w:cs="黑体"/>
          <w:b/>
          <w:bCs/>
          <w:color w:val="auto"/>
          <w:spacing w:val="26"/>
          <w:sz w:val="30"/>
          <w:szCs w:val="30"/>
          <w:lang w:eastAsia="zh-CN"/>
        </w:rPr>
        <w:t>附件5</w:t>
      </w:r>
    </w:p>
    <w:p w14:paraId="508B3781">
      <w:pPr>
        <w:spacing w:before="97" w:line="224" w:lineRule="auto"/>
        <w:ind w:firstLine="1680" w:firstLineChars="500"/>
        <w:rPr>
          <w:rFonts w:ascii="宋体" w:hAnsi="宋体" w:eastAsia="宋体" w:cs="宋体"/>
          <w:color w:val="auto"/>
          <w:sz w:val="34"/>
          <w:szCs w:val="34"/>
          <w:lang w:eastAsia="zh-CN"/>
        </w:rPr>
      </w:pPr>
      <w:r>
        <w:rPr>
          <w:rFonts w:ascii="宋体" w:hAnsi="宋体" w:eastAsia="宋体" w:cs="宋体"/>
          <w:b/>
          <w:bCs/>
          <w:color w:val="auto"/>
          <w:spacing w:val="-2"/>
          <w:sz w:val="34"/>
          <w:szCs w:val="34"/>
          <w:lang w:eastAsia="zh-CN"/>
        </w:rPr>
        <w:t>部门整体支出绩效自评工作考核评分表</w:t>
      </w:r>
    </w:p>
    <w:tbl>
      <w:tblPr>
        <w:tblStyle w:val="9"/>
        <w:tblpPr w:leftFromText="180" w:rightFromText="180" w:vertAnchor="text" w:horzAnchor="page" w:tblpX="819" w:tblpY="103"/>
        <w:tblOverlap w:val="never"/>
        <w:tblW w:w="9700"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24"/>
        <w:gridCol w:w="1149"/>
        <w:gridCol w:w="4875"/>
        <w:gridCol w:w="2952"/>
      </w:tblGrid>
      <w:tr w14:paraId="58FB6D1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4" w:hRule="atLeast"/>
        </w:trPr>
        <w:tc>
          <w:tcPr>
            <w:tcW w:w="724" w:type="dxa"/>
            <w:noWrap w:val="0"/>
            <w:vAlign w:val="top"/>
          </w:tcPr>
          <w:p w14:paraId="6986A291">
            <w:pPr>
              <w:spacing w:before="83" w:line="231" w:lineRule="auto"/>
              <w:ind w:left="157" w:right="166"/>
              <w:rPr>
                <w:rFonts w:ascii="宋体" w:hAnsi="宋体" w:eastAsia="宋体" w:cs="宋体"/>
                <w:color w:val="auto"/>
                <w:sz w:val="20"/>
                <w:szCs w:val="20"/>
              </w:rPr>
            </w:pPr>
            <w:r>
              <w:rPr>
                <w:rFonts w:ascii="宋体" w:hAnsi="宋体" w:eastAsia="宋体" w:cs="宋体"/>
                <w:b/>
                <w:bCs/>
                <w:color w:val="auto"/>
                <w:spacing w:val="-8"/>
                <w:sz w:val="20"/>
                <w:szCs w:val="20"/>
              </w:rPr>
              <w:t>一级</w:t>
            </w:r>
            <w:r>
              <w:rPr>
                <w:rFonts w:ascii="宋体" w:hAnsi="宋体" w:eastAsia="宋体" w:cs="宋体"/>
                <w:color w:val="auto"/>
                <w:sz w:val="20"/>
                <w:szCs w:val="20"/>
              </w:rPr>
              <w:t xml:space="preserve"> </w:t>
            </w:r>
            <w:r>
              <w:rPr>
                <w:rFonts w:ascii="宋体" w:hAnsi="宋体" w:eastAsia="宋体" w:cs="宋体"/>
                <w:b/>
                <w:bCs/>
                <w:color w:val="auto"/>
                <w:spacing w:val="-8"/>
                <w:sz w:val="20"/>
                <w:szCs w:val="20"/>
              </w:rPr>
              <w:t>指标</w:t>
            </w:r>
          </w:p>
        </w:tc>
        <w:tc>
          <w:tcPr>
            <w:tcW w:w="1149" w:type="dxa"/>
            <w:noWrap w:val="0"/>
            <w:vAlign w:val="top"/>
          </w:tcPr>
          <w:p w14:paraId="1555B25E">
            <w:pPr>
              <w:spacing w:before="200" w:line="220" w:lineRule="auto"/>
              <w:ind w:left="163"/>
              <w:rPr>
                <w:rFonts w:ascii="宋体" w:hAnsi="宋体" w:eastAsia="宋体" w:cs="宋体"/>
                <w:color w:val="auto"/>
                <w:sz w:val="20"/>
                <w:szCs w:val="20"/>
              </w:rPr>
            </w:pPr>
            <w:r>
              <w:rPr>
                <w:rFonts w:ascii="宋体" w:hAnsi="宋体" w:eastAsia="宋体" w:cs="宋体"/>
                <w:b/>
                <w:bCs/>
                <w:color w:val="auto"/>
                <w:spacing w:val="-5"/>
                <w:sz w:val="20"/>
                <w:szCs w:val="20"/>
              </w:rPr>
              <w:t>二级指标</w:t>
            </w:r>
          </w:p>
        </w:tc>
        <w:tc>
          <w:tcPr>
            <w:tcW w:w="4875" w:type="dxa"/>
            <w:noWrap w:val="0"/>
            <w:vAlign w:val="top"/>
          </w:tcPr>
          <w:p w14:paraId="767BF786">
            <w:pPr>
              <w:spacing w:before="200" w:line="220" w:lineRule="auto"/>
              <w:ind w:left="2034"/>
              <w:rPr>
                <w:rFonts w:ascii="宋体" w:hAnsi="宋体" w:eastAsia="宋体" w:cs="宋体"/>
                <w:color w:val="auto"/>
                <w:sz w:val="20"/>
                <w:szCs w:val="20"/>
              </w:rPr>
            </w:pPr>
            <w:r>
              <w:rPr>
                <w:rFonts w:ascii="宋体" w:hAnsi="宋体" w:eastAsia="宋体" w:cs="宋体"/>
                <w:b/>
                <w:bCs/>
                <w:color w:val="auto"/>
                <w:spacing w:val="-4"/>
                <w:sz w:val="20"/>
                <w:szCs w:val="20"/>
              </w:rPr>
              <w:t>评分标准</w:t>
            </w:r>
          </w:p>
        </w:tc>
        <w:tc>
          <w:tcPr>
            <w:tcW w:w="2952" w:type="dxa"/>
            <w:noWrap w:val="0"/>
            <w:vAlign w:val="top"/>
          </w:tcPr>
          <w:p w14:paraId="0C4F13F9">
            <w:pPr>
              <w:spacing w:before="199" w:line="219" w:lineRule="auto"/>
              <w:ind w:left="869"/>
              <w:rPr>
                <w:rFonts w:ascii="宋体" w:hAnsi="宋体" w:eastAsia="宋体" w:cs="宋体"/>
                <w:color w:val="auto"/>
                <w:sz w:val="20"/>
                <w:szCs w:val="20"/>
              </w:rPr>
            </w:pPr>
            <w:r>
              <w:rPr>
                <w:rFonts w:ascii="宋体" w:hAnsi="宋体" w:eastAsia="宋体" w:cs="宋体"/>
                <w:b/>
                <w:bCs/>
                <w:color w:val="auto"/>
                <w:spacing w:val="-4"/>
                <w:sz w:val="20"/>
                <w:szCs w:val="20"/>
              </w:rPr>
              <w:t>所需佐证材料</w:t>
            </w:r>
          </w:p>
        </w:tc>
      </w:tr>
      <w:tr w14:paraId="4361243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499" w:hRule="atLeast"/>
        </w:trPr>
        <w:tc>
          <w:tcPr>
            <w:tcW w:w="724" w:type="dxa"/>
            <w:vMerge w:val="restart"/>
            <w:tcBorders>
              <w:bottom w:val="nil"/>
            </w:tcBorders>
            <w:noWrap w:val="0"/>
            <w:vAlign w:val="center"/>
          </w:tcPr>
          <w:p w14:paraId="58E6EEA7">
            <w:pPr>
              <w:spacing w:before="65" w:line="247" w:lineRule="auto"/>
              <w:ind w:left="154" w:right="145"/>
              <w:jc w:val="both"/>
              <w:rPr>
                <w:rFonts w:ascii="宋体" w:hAnsi="宋体" w:eastAsia="宋体" w:cs="宋体"/>
                <w:color w:val="auto"/>
                <w:sz w:val="18"/>
                <w:szCs w:val="18"/>
              </w:rPr>
            </w:pPr>
            <w:r>
              <w:rPr>
                <w:rFonts w:ascii="宋体" w:hAnsi="宋体" w:eastAsia="宋体" w:cs="宋体"/>
                <w:color w:val="auto"/>
                <w:spacing w:val="-4"/>
                <w:sz w:val="18"/>
                <w:szCs w:val="18"/>
              </w:rPr>
              <w:t>布置</w:t>
            </w:r>
            <w:r>
              <w:rPr>
                <w:rFonts w:ascii="宋体" w:hAnsi="宋体" w:eastAsia="宋体" w:cs="宋体"/>
                <w:color w:val="auto"/>
                <w:spacing w:val="6"/>
                <w:sz w:val="18"/>
                <w:szCs w:val="18"/>
              </w:rPr>
              <w:t>工作</w:t>
            </w:r>
          </w:p>
          <w:p w14:paraId="1E94CA0D">
            <w:pPr>
              <w:spacing w:before="65" w:line="220" w:lineRule="auto"/>
              <w:ind w:left="154"/>
              <w:jc w:val="both"/>
              <w:rPr>
                <w:rFonts w:ascii="宋体" w:hAnsi="宋体" w:eastAsia="宋体" w:cs="宋体"/>
                <w:color w:val="auto"/>
                <w:sz w:val="18"/>
                <w:szCs w:val="18"/>
              </w:rPr>
            </w:pPr>
            <w:r>
              <w:rPr>
                <w:rFonts w:ascii="宋体" w:hAnsi="宋体" w:eastAsia="宋体" w:cs="宋体"/>
                <w:color w:val="auto"/>
                <w:spacing w:val="2"/>
                <w:sz w:val="18"/>
                <w:szCs w:val="18"/>
              </w:rPr>
              <w:t>10分</w:t>
            </w:r>
          </w:p>
        </w:tc>
        <w:tc>
          <w:tcPr>
            <w:tcW w:w="1149" w:type="dxa"/>
            <w:noWrap w:val="0"/>
            <w:vAlign w:val="center"/>
          </w:tcPr>
          <w:p w14:paraId="446CD63C">
            <w:pPr>
              <w:keepNext w:val="0"/>
              <w:keepLines w:val="0"/>
              <w:pageBreakBefore w:val="0"/>
              <w:widowControl w:val="0"/>
              <w:kinsoku/>
              <w:wordWrap/>
              <w:overflowPunct/>
              <w:topLinePunct w:val="0"/>
              <w:autoSpaceDE/>
              <w:autoSpaceDN/>
              <w:bidi w:val="0"/>
              <w:adjustRightInd/>
              <w:snapToGrid/>
              <w:spacing w:line="280" w:lineRule="exact"/>
              <w:ind w:left="310" w:right="162" w:hanging="149"/>
              <w:jc w:val="both"/>
              <w:textAlignment w:val="auto"/>
              <w:rPr>
                <w:rFonts w:ascii="宋体" w:hAnsi="宋体" w:eastAsia="宋体" w:cs="宋体"/>
                <w:color w:val="auto"/>
                <w:sz w:val="18"/>
                <w:szCs w:val="18"/>
              </w:rPr>
            </w:pPr>
            <w:r>
              <w:rPr>
                <w:rFonts w:ascii="宋体" w:hAnsi="宋体" w:eastAsia="宋体" w:cs="宋体"/>
                <w:color w:val="auto"/>
                <w:spacing w:val="3"/>
                <w:sz w:val="18"/>
                <w:szCs w:val="18"/>
              </w:rPr>
              <w:t>自评通知</w:t>
            </w:r>
            <w:r>
              <w:rPr>
                <w:rFonts w:ascii="宋体" w:hAnsi="宋体" w:eastAsia="宋体" w:cs="宋体"/>
                <w:color w:val="auto"/>
                <w:spacing w:val="10"/>
                <w:sz w:val="18"/>
                <w:szCs w:val="18"/>
              </w:rPr>
              <w:t>(8分)</w:t>
            </w:r>
          </w:p>
        </w:tc>
        <w:tc>
          <w:tcPr>
            <w:tcW w:w="4875" w:type="dxa"/>
            <w:noWrap w:val="0"/>
            <w:vAlign w:val="center"/>
          </w:tcPr>
          <w:p w14:paraId="73DF696C">
            <w:pPr>
              <w:keepNext w:val="0"/>
              <w:keepLines w:val="0"/>
              <w:pageBreakBefore w:val="0"/>
              <w:widowControl w:val="0"/>
              <w:kinsoku/>
              <w:wordWrap/>
              <w:overflowPunct/>
              <w:topLinePunct w:val="0"/>
              <w:autoSpaceDE/>
              <w:autoSpaceDN/>
              <w:bidi w:val="0"/>
              <w:adjustRightInd/>
              <w:snapToGrid/>
              <w:spacing w:line="280" w:lineRule="exact"/>
              <w:ind w:firstLine="360" w:firstLineChars="200"/>
              <w:jc w:val="both"/>
              <w:textAlignment w:val="auto"/>
              <w:rPr>
                <w:rFonts w:ascii="宋体" w:hAnsi="宋体" w:eastAsia="宋体" w:cs="宋体"/>
                <w:color w:val="auto"/>
                <w:sz w:val="18"/>
                <w:szCs w:val="18"/>
                <w:lang w:eastAsia="zh-CN"/>
              </w:rPr>
            </w:pPr>
            <w:r>
              <w:rPr>
                <w:rFonts w:ascii="宋体" w:hAnsi="宋体" w:eastAsia="宋体" w:cs="宋体"/>
                <w:color w:val="auto"/>
                <w:sz w:val="18"/>
                <w:szCs w:val="18"/>
                <w:lang w:eastAsia="zh-CN"/>
              </w:rPr>
              <w:t>1.印发绩效自评通知的得2分，否则不得分。</w:t>
            </w:r>
          </w:p>
          <w:p w14:paraId="2B5EC79E">
            <w:pPr>
              <w:keepNext w:val="0"/>
              <w:keepLines w:val="0"/>
              <w:pageBreakBefore w:val="0"/>
              <w:widowControl w:val="0"/>
              <w:kinsoku/>
              <w:wordWrap/>
              <w:overflowPunct/>
              <w:topLinePunct w:val="0"/>
              <w:autoSpaceDE/>
              <w:autoSpaceDN/>
              <w:bidi w:val="0"/>
              <w:adjustRightInd/>
              <w:snapToGrid/>
              <w:spacing w:line="280" w:lineRule="exact"/>
              <w:ind w:right="42" w:firstLine="356" w:firstLineChars="200"/>
              <w:jc w:val="both"/>
              <w:textAlignment w:val="auto"/>
              <w:rPr>
                <w:rFonts w:ascii="宋体" w:hAnsi="宋体" w:eastAsia="宋体" w:cs="宋体"/>
                <w:color w:val="auto"/>
                <w:sz w:val="18"/>
                <w:szCs w:val="18"/>
                <w:lang w:eastAsia="zh-CN"/>
              </w:rPr>
            </w:pPr>
            <w:r>
              <w:rPr>
                <w:rFonts w:ascii="宋体" w:hAnsi="宋体" w:eastAsia="宋体" w:cs="宋体"/>
                <w:color w:val="auto"/>
                <w:spacing w:val="-1"/>
                <w:sz w:val="18"/>
                <w:szCs w:val="18"/>
                <w:lang w:eastAsia="zh-CN"/>
              </w:rPr>
              <w:t>2.按照本规程规定，绩效自评通知包括自评范围、自评主要依据、自评主要内容、自评程序和步骤、有关要求</w:t>
            </w:r>
            <w:r>
              <w:rPr>
                <w:rFonts w:ascii="宋体" w:hAnsi="宋体" w:eastAsia="宋体" w:cs="宋体"/>
                <w:color w:val="auto"/>
                <w:spacing w:val="1"/>
                <w:sz w:val="18"/>
                <w:szCs w:val="18"/>
                <w:lang w:eastAsia="zh-CN"/>
              </w:rPr>
              <w:t>等内容，并附有本通知要求的附件的，得6分；否则缺</w:t>
            </w:r>
            <w:r>
              <w:rPr>
                <w:rFonts w:ascii="宋体" w:hAnsi="宋体" w:eastAsia="宋体" w:cs="宋体"/>
                <w:color w:val="auto"/>
                <w:spacing w:val="5"/>
                <w:sz w:val="18"/>
                <w:szCs w:val="18"/>
                <w:lang w:eastAsia="zh-CN"/>
              </w:rPr>
              <w:t>1项扣1分，最多扣6分。</w:t>
            </w:r>
          </w:p>
        </w:tc>
        <w:tc>
          <w:tcPr>
            <w:tcW w:w="2952" w:type="dxa"/>
            <w:noWrap w:val="0"/>
            <w:vAlign w:val="center"/>
          </w:tcPr>
          <w:p w14:paraId="06E19CB5">
            <w:pPr>
              <w:keepNext w:val="0"/>
              <w:keepLines w:val="0"/>
              <w:pageBreakBefore w:val="0"/>
              <w:widowControl w:val="0"/>
              <w:kinsoku/>
              <w:wordWrap/>
              <w:overflowPunct/>
              <w:topLinePunct w:val="0"/>
              <w:autoSpaceDE/>
              <w:autoSpaceDN/>
              <w:bidi w:val="0"/>
              <w:adjustRightInd/>
              <w:snapToGrid/>
              <w:spacing w:line="280" w:lineRule="exact"/>
              <w:ind w:left="106"/>
              <w:jc w:val="both"/>
              <w:textAlignment w:val="auto"/>
              <w:rPr>
                <w:rFonts w:ascii="宋体" w:hAnsi="宋体" w:eastAsia="宋体" w:cs="宋体"/>
                <w:color w:val="auto"/>
                <w:sz w:val="18"/>
                <w:szCs w:val="18"/>
                <w:lang w:eastAsia="zh-CN"/>
              </w:rPr>
            </w:pPr>
            <w:r>
              <w:rPr>
                <w:rFonts w:ascii="宋体" w:hAnsi="宋体" w:eastAsia="宋体" w:cs="宋体"/>
                <w:color w:val="auto"/>
                <w:spacing w:val="-1"/>
                <w:sz w:val="18"/>
                <w:szCs w:val="18"/>
                <w:lang w:eastAsia="zh-CN"/>
              </w:rPr>
              <w:t>绩效自评通知盖章的电子版</w:t>
            </w:r>
          </w:p>
        </w:tc>
      </w:tr>
      <w:tr w14:paraId="228CF9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17" w:hRule="atLeast"/>
        </w:trPr>
        <w:tc>
          <w:tcPr>
            <w:tcW w:w="724" w:type="dxa"/>
            <w:vMerge w:val="continue"/>
            <w:tcBorders>
              <w:top w:val="nil"/>
            </w:tcBorders>
            <w:noWrap w:val="0"/>
            <w:vAlign w:val="center"/>
          </w:tcPr>
          <w:p w14:paraId="0664A09E">
            <w:pPr>
              <w:pStyle w:val="19"/>
              <w:jc w:val="both"/>
              <w:rPr>
                <w:color w:val="auto"/>
                <w:sz w:val="18"/>
                <w:szCs w:val="18"/>
                <w:lang w:eastAsia="zh-CN"/>
              </w:rPr>
            </w:pPr>
          </w:p>
        </w:tc>
        <w:tc>
          <w:tcPr>
            <w:tcW w:w="1149" w:type="dxa"/>
            <w:noWrap w:val="0"/>
            <w:vAlign w:val="center"/>
          </w:tcPr>
          <w:p w14:paraId="1BAF195A">
            <w:pPr>
              <w:keepNext w:val="0"/>
              <w:keepLines w:val="0"/>
              <w:pageBreakBefore w:val="0"/>
              <w:widowControl w:val="0"/>
              <w:kinsoku/>
              <w:wordWrap/>
              <w:overflowPunct/>
              <w:topLinePunct w:val="0"/>
              <w:autoSpaceDE/>
              <w:autoSpaceDN/>
              <w:bidi w:val="0"/>
              <w:adjustRightInd/>
              <w:snapToGrid/>
              <w:spacing w:line="280" w:lineRule="exact"/>
              <w:ind w:left="310" w:right="188" w:hanging="149"/>
              <w:jc w:val="both"/>
              <w:textAlignment w:val="auto"/>
              <w:rPr>
                <w:rFonts w:ascii="宋体" w:hAnsi="宋体" w:eastAsia="宋体" w:cs="宋体"/>
                <w:color w:val="auto"/>
                <w:sz w:val="18"/>
                <w:szCs w:val="18"/>
              </w:rPr>
            </w:pPr>
            <w:r>
              <w:rPr>
                <w:rFonts w:ascii="宋体" w:hAnsi="宋体" w:eastAsia="宋体" w:cs="宋体"/>
                <w:color w:val="auto"/>
                <w:spacing w:val="-3"/>
                <w:sz w:val="18"/>
                <w:szCs w:val="18"/>
              </w:rPr>
              <w:t>工作小组</w:t>
            </w:r>
            <w:r>
              <w:rPr>
                <w:rFonts w:ascii="宋体" w:hAnsi="宋体" w:eastAsia="宋体" w:cs="宋体"/>
                <w:color w:val="auto"/>
                <w:sz w:val="18"/>
                <w:szCs w:val="18"/>
              </w:rPr>
              <w:t xml:space="preserve"> </w:t>
            </w:r>
            <w:r>
              <w:rPr>
                <w:rFonts w:ascii="宋体" w:hAnsi="宋体" w:eastAsia="宋体" w:cs="宋体"/>
                <w:color w:val="auto"/>
                <w:spacing w:val="10"/>
                <w:sz w:val="18"/>
                <w:szCs w:val="18"/>
              </w:rPr>
              <w:t>(2分)</w:t>
            </w:r>
          </w:p>
        </w:tc>
        <w:tc>
          <w:tcPr>
            <w:tcW w:w="4875" w:type="dxa"/>
            <w:noWrap w:val="0"/>
            <w:vAlign w:val="center"/>
          </w:tcPr>
          <w:p w14:paraId="1591C6C5">
            <w:pPr>
              <w:keepNext w:val="0"/>
              <w:keepLines w:val="0"/>
              <w:pageBreakBefore w:val="0"/>
              <w:widowControl w:val="0"/>
              <w:kinsoku/>
              <w:wordWrap/>
              <w:overflowPunct/>
              <w:topLinePunct w:val="0"/>
              <w:autoSpaceDE/>
              <w:autoSpaceDN/>
              <w:bidi w:val="0"/>
              <w:adjustRightInd/>
              <w:snapToGrid/>
              <w:spacing w:line="280" w:lineRule="exact"/>
              <w:ind w:left="111"/>
              <w:jc w:val="both"/>
              <w:textAlignment w:val="auto"/>
              <w:rPr>
                <w:rFonts w:ascii="宋体" w:hAnsi="宋体" w:eastAsia="宋体" w:cs="宋体"/>
                <w:color w:val="auto"/>
                <w:sz w:val="18"/>
                <w:szCs w:val="18"/>
                <w:lang w:eastAsia="zh-CN"/>
              </w:rPr>
            </w:pPr>
            <w:r>
              <w:rPr>
                <w:rFonts w:ascii="宋体" w:hAnsi="宋体" w:eastAsia="宋体" w:cs="宋体"/>
                <w:color w:val="auto"/>
                <w:sz w:val="18"/>
                <w:szCs w:val="18"/>
                <w:lang w:eastAsia="zh-CN"/>
              </w:rPr>
              <w:t>成立绩效自评工作小组的得2分，否则不得</w:t>
            </w:r>
            <w:r>
              <w:rPr>
                <w:rFonts w:ascii="宋体" w:hAnsi="宋体" w:eastAsia="宋体" w:cs="宋体"/>
                <w:color w:val="auto"/>
                <w:spacing w:val="-1"/>
                <w:sz w:val="18"/>
                <w:szCs w:val="18"/>
                <w:lang w:eastAsia="zh-CN"/>
              </w:rPr>
              <w:t>分。</w:t>
            </w:r>
          </w:p>
        </w:tc>
        <w:tc>
          <w:tcPr>
            <w:tcW w:w="2952" w:type="dxa"/>
            <w:noWrap w:val="0"/>
            <w:vAlign w:val="center"/>
          </w:tcPr>
          <w:p w14:paraId="69780F7C">
            <w:pPr>
              <w:keepNext w:val="0"/>
              <w:keepLines w:val="0"/>
              <w:pageBreakBefore w:val="0"/>
              <w:widowControl w:val="0"/>
              <w:kinsoku/>
              <w:wordWrap/>
              <w:overflowPunct/>
              <w:topLinePunct w:val="0"/>
              <w:autoSpaceDE/>
              <w:autoSpaceDN/>
              <w:bidi w:val="0"/>
              <w:adjustRightInd/>
              <w:snapToGrid/>
              <w:spacing w:line="280" w:lineRule="exact"/>
              <w:ind w:right="83" w:firstLine="356" w:firstLineChars="200"/>
              <w:jc w:val="both"/>
              <w:textAlignment w:val="auto"/>
              <w:rPr>
                <w:rFonts w:ascii="宋体" w:hAnsi="宋体" w:eastAsia="宋体" w:cs="宋体"/>
                <w:color w:val="auto"/>
                <w:sz w:val="18"/>
                <w:szCs w:val="18"/>
                <w:lang w:eastAsia="zh-CN"/>
              </w:rPr>
            </w:pPr>
            <w:r>
              <w:rPr>
                <w:rFonts w:ascii="宋体" w:hAnsi="宋体" w:eastAsia="宋体" w:cs="宋体"/>
                <w:color w:val="auto"/>
                <w:spacing w:val="-1"/>
                <w:sz w:val="18"/>
                <w:szCs w:val="18"/>
                <w:lang w:eastAsia="zh-CN"/>
              </w:rPr>
              <w:t>本部门、本单位预算绩效管理领</w:t>
            </w:r>
            <w:r>
              <w:rPr>
                <w:rFonts w:ascii="宋体" w:hAnsi="宋体" w:eastAsia="宋体" w:cs="宋体"/>
                <w:color w:val="auto"/>
                <w:spacing w:val="4"/>
                <w:sz w:val="18"/>
                <w:szCs w:val="18"/>
                <w:lang w:eastAsia="zh-CN"/>
              </w:rPr>
              <w:t xml:space="preserve"> </w:t>
            </w:r>
            <w:r>
              <w:rPr>
                <w:rFonts w:ascii="宋体" w:hAnsi="宋体" w:eastAsia="宋体" w:cs="宋体"/>
                <w:color w:val="auto"/>
                <w:sz w:val="18"/>
                <w:szCs w:val="18"/>
                <w:lang w:eastAsia="zh-CN"/>
              </w:rPr>
              <w:t>导小组/绩效评价工作小组有关</w:t>
            </w:r>
            <w:r>
              <w:rPr>
                <w:rFonts w:ascii="宋体" w:hAnsi="宋体" w:eastAsia="宋体" w:cs="宋体"/>
                <w:color w:val="auto"/>
                <w:spacing w:val="8"/>
                <w:sz w:val="18"/>
                <w:szCs w:val="18"/>
                <w:lang w:eastAsia="zh-CN"/>
              </w:rPr>
              <w:t xml:space="preserve"> </w:t>
            </w:r>
            <w:r>
              <w:rPr>
                <w:rFonts w:ascii="宋体" w:hAnsi="宋体" w:eastAsia="宋体" w:cs="宋体"/>
                <w:color w:val="auto"/>
                <w:spacing w:val="1"/>
                <w:sz w:val="18"/>
                <w:szCs w:val="18"/>
                <w:lang w:eastAsia="zh-CN"/>
              </w:rPr>
              <w:t>文件盖章的电子版</w:t>
            </w:r>
          </w:p>
        </w:tc>
      </w:tr>
      <w:tr w14:paraId="51F8BE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453" w:hRule="atLeast"/>
        </w:trPr>
        <w:tc>
          <w:tcPr>
            <w:tcW w:w="724" w:type="dxa"/>
            <w:vMerge w:val="restart"/>
            <w:tcBorders>
              <w:bottom w:val="nil"/>
            </w:tcBorders>
            <w:noWrap w:val="0"/>
            <w:vAlign w:val="center"/>
          </w:tcPr>
          <w:p w14:paraId="071D1A85">
            <w:pPr>
              <w:spacing w:before="65" w:line="261" w:lineRule="auto"/>
              <w:ind w:left="154" w:right="149"/>
              <w:jc w:val="both"/>
              <w:rPr>
                <w:color w:val="auto"/>
                <w:sz w:val="18"/>
                <w:szCs w:val="18"/>
              </w:rPr>
            </w:pPr>
            <w:r>
              <w:rPr>
                <w:rFonts w:ascii="宋体" w:hAnsi="宋体" w:eastAsia="宋体" w:cs="宋体"/>
                <w:color w:val="auto"/>
                <w:spacing w:val="4"/>
                <w:sz w:val="18"/>
                <w:szCs w:val="18"/>
              </w:rPr>
              <w:t>实施</w:t>
            </w:r>
            <w:r>
              <w:rPr>
                <w:rFonts w:ascii="宋体" w:hAnsi="宋体" w:eastAsia="宋体" w:cs="宋体"/>
                <w:color w:val="auto"/>
                <w:spacing w:val="-2"/>
                <w:sz w:val="18"/>
                <w:szCs w:val="18"/>
              </w:rPr>
              <w:t>评价</w:t>
            </w:r>
          </w:p>
          <w:p w14:paraId="29CB1ECA">
            <w:pPr>
              <w:spacing w:before="65" w:line="220" w:lineRule="auto"/>
              <w:ind w:left="154"/>
              <w:jc w:val="both"/>
              <w:rPr>
                <w:rFonts w:ascii="宋体" w:hAnsi="宋体" w:eastAsia="宋体" w:cs="宋体"/>
                <w:color w:val="auto"/>
                <w:sz w:val="18"/>
                <w:szCs w:val="18"/>
              </w:rPr>
            </w:pPr>
            <w:r>
              <w:rPr>
                <w:rFonts w:ascii="宋体" w:hAnsi="宋体" w:eastAsia="宋体" w:cs="宋体"/>
                <w:color w:val="auto"/>
                <w:spacing w:val="-2"/>
                <w:sz w:val="18"/>
                <w:szCs w:val="18"/>
              </w:rPr>
              <w:t>20分</w:t>
            </w:r>
          </w:p>
        </w:tc>
        <w:tc>
          <w:tcPr>
            <w:tcW w:w="1149" w:type="dxa"/>
            <w:noWrap w:val="0"/>
            <w:vAlign w:val="center"/>
          </w:tcPr>
          <w:p w14:paraId="5F737369">
            <w:pPr>
              <w:keepNext w:val="0"/>
              <w:keepLines w:val="0"/>
              <w:pageBreakBefore w:val="0"/>
              <w:widowControl w:val="0"/>
              <w:kinsoku/>
              <w:wordWrap/>
              <w:overflowPunct/>
              <w:topLinePunct w:val="0"/>
              <w:autoSpaceDE/>
              <w:autoSpaceDN/>
              <w:bidi w:val="0"/>
              <w:adjustRightInd/>
              <w:snapToGrid/>
              <w:spacing w:line="280" w:lineRule="exact"/>
              <w:ind w:left="161"/>
              <w:jc w:val="both"/>
              <w:textAlignment w:val="auto"/>
              <w:rPr>
                <w:rFonts w:ascii="宋体" w:hAnsi="宋体" w:eastAsia="宋体" w:cs="宋体"/>
                <w:color w:val="auto"/>
                <w:sz w:val="18"/>
                <w:szCs w:val="18"/>
              </w:rPr>
            </w:pPr>
            <w:r>
              <w:rPr>
                <w:rFonts w:ascii="宋体" w:hAnsi="宋体" w:eastAsia="宋体" w:cs="宋体"/>
                <w:color w:val="auto"/>
                <w:spacing w:val="-2"/>
                <w:sz w:val="18"/>
                <w:szCs w:val="18"/>
              </w:rPr>
              <w:t>单位自查</w:t>
            </w:r>
          </w:p>
          <w:p w14:paraId="0C8E1BAB">
            <w:pPr>
              <w:keepNext w:val="0"/>
              <w:keepLines w:val="0"/>
              <w:pageBreakBefore w:val="0"/>
              <w:widowControl w:val="0"/>
              <w:kinsoku/>
              <w:wordWrap/>
              <w:overflowPunct/>
              <w:topLinePunct w:val="0"/>
              <w:autoSpaceDE/>
              <w:autoSpaceDN/>
              <w:bidi w:val="0"/>
              <w:adjustRightInd/>
              <w:snapToGrid/>
              <w:spacing w:line="280" w:lineRule="exact"/>
              <w:ind w:left="260"/>
              <w:jc w:val="both"/>
              <w:textAlignment w:val="auto"/>
              <w:rPr>
                <w:rFonts w:ascii="宋体" w:hAnsi="宋体" w:eastAsia="宋体" w:cs="宋体"/>
                <w:color w:val="auto"/>
                <w:sz w:val="18"/>
                <w:szCs w:val="18"/>
              </w:rPr>
            </w:pPr>
            <w:r>
              <w:rPr>
                <w:rFonts w:ascii="宋体" w:hAnsi="宋体" w:eastAsia="宋体" w:cs="宋体"/>
                <w:color w:val="auto"/>
                <w:spacing w:val="8"/>
                <w:sz w:val="18"/>
                <w:szCs w:val="18"/>
              </w:rPr>
              <w:t>(10分)</w:t>
            </w:r>
          </w:p>
        </w:tc>
        <w:tc>
          <w:tcPr>
            <w:tcW w:w="4875" w:type="dxa"/>
            <w:noWrap w:val="0"/>
            <w:vAlign w:val="center"/>
          </w:tcPr>
          <w:p w14:paraId="3603428D">
            <w:pPr>
              <w:keepNext w:val="0"/>
              <w:keepLines w:val="0"/>
              <w:pageBreakBefore w:val="0"/>
              <w:widowControl w:val="0"/>
              <w:kinsoku/>
              <w:wordWrap/>
              <w:overflowPunct/>
              <w:topLinePunct w:val="0"/>
              <w:autoSpaceDE/>
              <w:autoSpaceDN/>
              <w:bidi w:val="0"/>
              <w:adjustRightInd/>
              <w:snapToGrid/>
              <w:spacing w:line="280" w:lineRule="exact"/>
              <w:ind w:left="32" w:right="22"/>
              <w:jc w:val="both"/>
              <w:textAlignment w:val="auto"/>
              <w:rPr>
                <w:rFonts w:ascii="宋体" w:hAnsi="宋体" w:eastAsia="宋体" w:cs="宋体"/>
                <w:color w:val="auto"/>
                <w:sz w:val="18"/>
                <w:szCs w:val="18"/>
                <w:lang w:eastAsia="zh-CN"/>
              </w:rPr>
            </w:pPr>
            <w:r>
              <w:rPr>
                <w:rFonts w:ascii="宋体" w:hAnsi="宋体" w:eastAsia="宋体" w:cs="宋体"/>
                <w:color w:val="auto"/>
                <w:sz w:val="18"/>
                <w:szCs w:val="18"/>
                <w:lang w:eastAsia="zh-CN"/>
              </w:rPr>
              <w:t>市级预算部门本级和所属单位都要开展绩效自查，转移</w:t>
            </w:r>
            <w:r>
              <w:rPr>
                <w:rFonts w:ascii="宋体" w:hAnsi="宋体" w:eastAsia="宋体" w:cs="宋体"/>
                <w:color w:val="auto"/>
                <w:spacing w:val="-1"/>
                <w:sz w:val="18"/>
                <w:szCs w:val="18"/>
                <w:lang w:eastAsia="zh-CN"/>
              </w:rPr>
              <w:t>支付项目单位都要开展绩效自查，县、区级主管部门都</w:t>
            </w:r>
            <w:r>
              <w:rPr>
                <w:rFonts w:ascii="宋体" w:hAnsi="宋体" w:eastAsia="宋体" w:cs="宋体"/>
                <w:color w:val="auto"/>
                <w:spacing w:val="14"/>
                <w:sz w:val="18"/>
                <w:szCs w:val="18"/>
                <w:lang w:eastAsia="zh-CN"/>
              </w:rPr>
              <w:t xml:space="preserve"> </w:t>
            </w:r>
            <w:r>
              <w:rPr>
                <w:rFonts w:ascii="宋体" w:hAnsi="宋体" w:eastAsia="宋体" w:cs="宋体"/>
                <w:color w:val="auto"/>
                <w:spacing w:val="-1"/>
                <w:sz w:val="18"/>
                <w:szCs w:val="18"/>
                <w:lang w:eastAsia="zh-CN"/>
              </w:rPr>
              <w:t>要汇总本区域转移支付情况；以上各项每发现一个单位</w:t>
            </w:r>
            <w:r>
              <w:rPr>
                <w:rFonts w:ascii="宋体" w:hAnsi="宋体" w:eastAsia="宋体" w:cs="宋体"/>
                <w:color w:val="auto"/>
                <w:spacing w:val="14"/>
                <w:sz w:val="18"/>
                <w:szCs w:val="18"/>
                <w:lang w:eastAsia="zh-CN"/>
              </w:rPr>
              <w:t xml:space="preserve"> </w:t>
            </w:r>
            <w:r>
              <w:rPr>
                <w:rFonts w:ascii="宋体" w:hAnsi="宋体" w:eastAsia="宋体" w:cs="宋体"/>
                <w:color w:val="auto"/>
                <w:spacing w:val="4"/>
                <w:sz w:val="18"/>
                <w:szCs w:val="18"/>
                <w:lang w:eastAsia="zh-CN"/>
              </w:rPr>
              <w:t>没有做相应工作的，扣1分，最多扣10分。</w:t>
            </w:r>
          </w:p>
        </w:tc>
        <w:tc>
          <w:tcPr>
            <w:tcW w:w="2952" w:type="dxa"/>
            <w:noWrap w:val="0"/>
            <w:vAlign w:val="center"/>
          </w:tcPr>
          <w:p w14:paraId="4EF84A10">
            <w:pPr>
              <w:keepNext w:val="0"/>
              <w:keepLines w:val="0"/>
              <w:pageBreakBefore w:val="0"/>
              <w:widowControl w:val="0"/>
              <w:kinsoku/>
              <w:wordWrap/>
              <w:overflowPunct/>
              <w:topLinePunct w:val="0"/>
              <w:autoSpaceDE/>
              <w:autoSpaceDN/>
              <w:bidi w:val="0"/>
              <w:adjustRightInd/>
              <w:snapToGrid/>
              <w:spacing w:line="280" w:lineRule="exact"/>
              <w:ind w:right="110" w:firstLine="364" w:firstLineChars="200"/>
              <w:jc w:val="both"/>
              <w:textAlignment w:val="auto"/>
              <w:rPr>
                <w:rFonts w:ascii="宋体" w:hAnsi="宋体" w:eastAsia="宋体" w:cs="宋体"/>
                <w:color w:val="auto"/>
                <w:sz w:val="18"/>
                <w:szCs w:val="18"/>
                <w:lang w:eastAsia="zh-CN"/>
              </w:rPr>
            </w:pPr>
            <w:r>
              <w:rPr>
                <w:rFonts w:ascii="宋体" w:hAnsi="宋体" w:eastAsia="宋体" w:cs="宋体"/>
                <w:color w:val="auto"/>
                <w:spacing w:val="1"/>
                <w:sz w:val="18"/>
                <w:szCs w:val="18"/>
                <w:lang w:eastAsia="zh-CN"/>
              </w:rPr>
              <w:t>1、转移支付项目单位名称和资</w:t>
            </w:r>
            <w:r>
              <w:rPr>
                <w:rFonts w:ascii="宋体" w:hAnsi="宋体" w:eastAsia="宋体" w:cs="宋体"/>
                <w:color w:val="auto"/>
                <w:sz w:val="18"/>
                <w:szCs w:val="18"/>
                <w:lang w:eastAsia="zh-CN"/>
              </w:rPr>
              <w:t xml:space="preserve"> </w:t>
            </w:r>
            <w:r>
              <w:rPr>
                <w:rFonts w:ascii="宋体" w:hAnsi="宋体" w:eastAsia="宋体" w:cs="宋体"/>
                <w:color w:val="auto"/>
                <w:spacing w:val="-2"/>
                <w:sz w:val="18"/>
                <w:szCs w:val="18"/>
                <w:lang w:eastAsia="zh-CN"/>
              </w:rPr>
              <w:t>金情况清单</w:t>
            </w:r>
          </w:p>
          <w:p w14:paraId="048E7281">
            <w:pPr>
              <w:keepNext w:val="0"/>
              <w:keepLines w:val="0"/>
              <w:pageBreakBefore w:val="0"/>
              <w:widowControl w:val="0"/>
              <w:kinsoku/>
              <w:wordWrap/>
              <w:overflowPunct/>
              <w:topLinePunct w:val="0"/>
              <w:autoSpaceDE/>
              <w:autoSpaceDN/>
              <w:bidi w:val="0"/>
              <w:adjustRightInd/>
              <w:snapToGrid/>
              <w:spacing w:line="280" w:lineRule="exact"/>
              <w:ind w:right="113" w:firstLine="360" w:firstLineChars="200"/>
              <w:jc w:val="both"/>
              <w:textAlignment w:val="auto"/>
              <w:rPr>
                <w:rFonts w:ascii="宋体" w:hAnsi="宋体" w:eastAsia="宋体" w:cs="宋体"/>
                <w:color w:val="auto"/>
                <w:sz w:val="18"/>
                <w:szCs w:val="18"/>
                <w:lang w:eastAsia="zh-CN"/>
              </w:rPr>
            </w:pPr>
            <w:r>
              <w:rPr>
                <w:rFonts w:ascii="宋体" w:hAnsi="宋体" w:eastAsia="宋体" w:cs="宋体"/>
                <w:color w:val="auto"/>
                <w:sz w:val="18"/>
                <w:szCs w:val="18"/>
                <w:lang w:eastAsia="zh-CN"/>
              </w:rPr>
              <w:t>2、有转移支付资金的各县区主</w:t>
            </w:r>
            <w:r>
              <w:rPr>
                <w:rFonts w:ascii="宋体" w:hAnsi="宋体" w:eastAsia="宋体" w:cs="宋体"/>
                <w:color w:val="auto"/>
                <w:spacing w:val="10"/>
                <w:sz w:val="18"/>
                <w:szCs w:val="18"/>
                <w:lang w:eastAsia="zh-CN"/>
              </w:rPr>
              <w:t xml:space="preserve"> </w:t>
            </w:r>
            <w:r>
              <w:rPr>
                <w:rFonts w:ascii="宋体" w:hAnsi="宋体" w:eastAsia="宋体" w:cs="宋体"/>
                <w:color w:val="auto"/>
                <w:sz w:val="18"/>
                <w:szCs w:val="18"/>
                <w:lang w:eastAsia="zh-CN"/>
              </w:rPr>
              <w:t>管部门汇总情况的盖章PDF版</w:t>
            </w:r>
          </w:p>
        </w:tc>
      </w:tr>
      <w:tr w14:paraId="0A5363F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10" w:hRule="atLeast"/>
        </w:trPr>
        <w:tc>
          <w:tcPr>
            <w:tcW w:w="724" w:type="dxa"/>
            <w:vMerge w:val="continue"/>
            <w:tcBorders>
              <w:top w:val="nil"/>
            </w:tcBorders>
            <w:noWrap w:val="0"/>
            <w:vAlign w:val="center"/>
          </w:tcPr>
          <w:p w14:paraId="5A4B22E8">
            <w:pPr>
              <w:pStyle w:val="19"/>
              <w:jc w:val="both"/>
              <w:rPr>
                <w:color w:val="auto"/>
                <w:sz w:val="18"/>
                <w:szCs w:val="18"/>
                <w:lang w:eastAsia="zh-CN"/>
              </w:rPr>
            </w:pPr>
          </w:p>
        </w:tc>
        <w:tc>
          <w:tcPr>
            <w:tcW w:w="1149" w:type="dxa"/>
            <w:noWrap w:val="0"/>
            <w:vAlign w:val="center"/>
          </w:tcPr>
          <w:p w14:paraId="30377EF9">
            <w:pPr>
              <w:keepNext w:val="0"/>
              <w:keepLines w:val="0"/>
              <w:pageBreakBefore w:val="0"/>
              <w:widowControl w:val="0"/>
              <w:kinsoku/>
              <w:wordWrap/>
              <w:overflowPunct/>
              <w:topLinePunct w:val="0"/>
              <w:autoSpaceDE/>
              <w:autoSpaceDN/>
              <w:bidi w:val="0"/>
              <w:adjustRightInd/>
              <w:snapToGrid/>
              <w:spacing w:line="280" w:lineRule="exact"/>
              <w:ind w:left="161"/>
              <w:jc w:val="both"/>
              <w:textAlignment w:val="auto"/>
              <w:rPr>
                <w:rFonts w:ascii="宋体" w:hAnsi="宋体" w:eastAsia="宋体" w:cs="宋体"/>
                <w:color w:val="auto"/>
                <w:sz w:val="18"/>
                <w:szCs w:val="18"/>
              </w:rPr>
            </w:pPr>
            <w:r>
              <w:rPr>
                <w:rFonts w:ascii="宋体" w:hAnsi="宋体" w:eastAsia="宋体" w:cs="宋体"/>
                <w:color w:val="auto"/>
                <w:spacing w:val="3"/>
                <w:sz w:val="18"/>
                <w:szCs w:val="18"/>
              </w:rPr>
              <w:t>提交报告</w:t>
            </w:r>
          </w:p>
          <w:p w14:paraId="46848464">
            <w:pPr>
              <w:keepNext w:val="0"/>
              <w:keepLines w:val="0"/>
              <w:pageBreakBefore w:val="0"/>
              <w:widowControl w:val="0"/>
              <w:kinsoku/>
              <w:wordWrap/>
              <w:overflowPunct/>
              <w:topLinePunct w:val="0"/>
              <w:autoSpaceDE/>
              <w:autoSpaceDN/>
              <w:bidi w:val="0"/>
              <w:adjustRightInd/>
              <w:snapToGrid/>
              <w:spacing w:line="280" w:lineRule="exact"/>
              <w:ind w:left="260"/>
              <w:jc w:val="both"/>
              <w:textAlignment w:val="auto"/>
              <w:rPr>
                <w:rFonts w:ascii="宋体" w:hAnsi="宋体" w:eastAsia="宋体" w:cs="宋体"/>
                <w:color w:val="auto"/>
                <w:sz w:val="18"/>
                <w:szCs w:val="18"/>
              </w:rPr>
            </w:pPr>
            <w:r>
              <w:rPr>
                <w:rFonts w:ascii="宋体" w:hAnsi="宋体" w:eastAsia="宋体" w:cs="宋体"/>
                <w:color w:val="auto"/>
                <w:spacing w:val="8"/>
                <w:sz w:val="18"/>
                <w:szCs w:val="18"/>
              </w:rPr>
              <w:t>(10分)</w:t>
            </w:r>
          </w:p>
        </w:tc>
        <w:tc>
          <w:tcPr>
            <w:tcW w:w="7827" w:type="dxa"/>
            <w:gridSpan w:val="2"/>
            <w:noWrap w:val="0"/>
            <w:vAlign w:val="center"/>
          </w:tcPr>
          <w:p w14:paraId="40F7104D">
            <w:pPr>
              <w:keepNext w:val="0"/>
              <w:keepLines w:val="0"/>
              <w:pageBreakBefore w:val="0"/>
              <w:widowControl w:val="0"/>
              <w:kinsoku/>
              <w:wordWrap/>
              <w:overflowPunct/>
              <w:topLinePunct w:val="0"/>
              <w:autoSpaceDE/>
              <w:autoSpaceDN/>
              <w:bidi w:val="0"/>
              <w:adjustRightInd/>
              <w:snapToGrid/>
              <w:spacing w:line="280" w:lineRule="exact"/>
              <w:ind w:right="14"/>
              <w:jc w:val="both"/>
              <w:textAlignment w:val="auto"/>
              <w:rPr>
                <w:rFonts w:ascii="宋体" w:hAnsi="宋体" w:eastAsia="宋体" w:cs="宋体"/>
                <w:color w:val="auto"/>
                <w:sz w:val="18"/>
                <w:szCs w:val="18"/>
                <w:lang w:eastAsia="zh-CN"/>
              </w:rPr>
            </w:pPr>
            <w:r>
              <w:rPr>
                <w:rFonts w:ascii="宋体" w:hAnsi="宋体" w:eastAsia="宋体" w:cs="宋体"/>
                <w:color w:val="auto"/>
                <w:sz w:val="18"/>
                <w:szCs w:val="18"/>
                <w:lang w:eastAsia="zh-CN"/>
              </w:rPr>
              <w:t>按时向市财政局报送报告的得10分；每推迟一个工作日报送报告的扣1分，最多扣10分。</w:t>
            </w:r>
          </w:p>
        </w:tc>
      </w:tr>
      <w:tr w14:paraId="1C22E52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57" w:hRule="atLeast"/>
        </w:trPr>
        <w:tc>
          <w:tcPr>
            <w:tcW w:w="724" w:type="dxa"/>
            <w:vMerge w:val="restart"/>
            <w:tcBorders>
              <w:bottom w:val="nil"/>
            </w:tcBorders>
            <w:noWrap w:val="0"/>
            <w:vAlign w:val="center"/>
          </w:tcPr>
          <w:p w14:paraId="5D6727D4">
            <w:pPr>
              <w:spacing w:before="65" w:line="270" w:lineRule="auto"/>
              <w:ind w:left="154" w:right="145"/>
              <w:jc w:val="both"/>
              <w:rPr>
                <w:rFonts w:ascii="宋体" w:hAnsi="宋体" w:eastAsia="宋体" w:cs="宋体"/>
                <w:color w:val="auto"/>
                <w:sz w:val="18"/>
                <w:szCs w:val="18"/>
              </w:rPr>
            </w:pPr>
            <w:r>
              <w:rPr>
                <w:rFonts w:ascii="宋体" w:hAnsi="宋体" w:eastAsia="宋体" w:cs="宋体"/>
                <w:color w:val="auto"/>
                <w:spacing w:val="3"/>
                <w:sz w:val="18"/>
                <w:szCs w:val="18"/>
              </w:rPr>
              <w:t>自评</w:t>
            </w:r>
            <w:r>
              <w:rPr>
                <w:rFonts w:ascii="宋体" w:hAnsi="宋体" w:eastAsia="宋体" w:cs="宋体"/>
                <w:color w:val="auto"/>
                <w:spacing w:val="7"/>
                <w:sz w:val="18"/>
                <w:szCs w:val="18"/>
              </w:rPr>
              <w:t>报告</w:t>
            </w:r>
          </w:p>
          <w:p w14:paraId="22820AB5">
            <w:pPr>
              <w:spacing w:before="65" w:line="220" w:lineRule="auto"/>
              <w:ind w:left="154"/>
              <w:jc w:val="both"/>
              <w:rPr>
                <w:rFonts w:ascii="宋体" w:hAnsi="宋体" w:eastAsia="宋体" w:cs="宋体"/>
                <w:color w:val="auto"/>
                <w:sz w:val="18"/>
                <w:szCs w:val="18"/>
              </w:rPr>
            </w:pPr>
            <w:r>
              <w:rPr>
                <w:rFonts w:ascii="宋体" w:hAnsi="宋体" w:eastAsia="宋体" w:cs="宋体"/>
                <w:color w:val="auto"/>
                <w:spacing w:val="2"/>
                <w:sz w:val="18"/>
                <w:szCs w:val="18"/>
              </w:rPr>
              <w:t>70分</w:t>
            </w:r>
          </w:p>
        </w:tc>
        <w:tc>
          <w:tcPr>
            <w:tcW w:w="1149" w:type="dxa"/>
            <w:noWrap w:val="0"/>
            <w:vAlign w:val="center"/>
          </w:tcPr>
          <w:p w14:paraId="3898A5F5">
            <w:pPr>
              <w:keepNext w:val="0"/>
              <w:keepLines w:val="0"/>
              <w:pageBreakBefore w:val="0"/>
              <w:widowControl w:val="0"/>
              <w:kinsoku/>
              <w:wordWrap/>
              <w:overflowPunct/>
              <w:topLinePunct w:val="0"/>
              <w:autoSpaceDE/>
              <w:autoSpaceDN/>
              <w:bidi w:val="0"/>
              <w:adjustRightInd/>
              <w:snapToGrid/>
              <w:spacing w:line="280" w:lineRule="exact"/>
              <w:ind w:left="260" w:right="234"/>
              <w:jc w:val="center"/>
              <w:textAlignment w:val="auto"/>
              <w:rPr>
                <w:rFonts w:ascii="宋体" w:hAnsi="宋体" w:eastAsia="宋体" w:cs="宋体"/>
                <w:color w:val="auto"/>
                <w:sz w:val="18"/>
                <w:szCs w:val="18"/>
              </w:rPr>
            </w:pPr>
            <w:r>
              <w:rPr>
                <w:rFonts w:ascii="宋体" w:hAnsi="宋体" w:eastAsia="宋体" w:cs="宋体"/>
                <w:color w:val="auto"/>
                <w:spacing w:val="-4"/>
                <w:sz w:val="18"/>
                <w:szCs w:val="18"/>
              </w:rPr>
              <w:t>完整性</w:t>
            </w:r>
            <w:r>
              <w:rPr>
                <w:rFonts w:ascii="宋体" w:hAnsi="宋体" w:eastAsia="宋体" w:cs="宋体"/>
                <w:color w:val="auto"/>
                <w:spacing w:val="1"/>
                <w:sz w:val="18"/>
                <w:szCs w:val="18"/>
              </w:rPr>
              <w:t xml:space="preserve"> </w:t>
            </w:r>
            <w:r>
              <w:rPr>
                <w:rFonts w:ascii="宋体" w:hAnsi="宋体" w:eastAsia="宋体" w:cs="宋体"/>
                <w:color w:val="auto"/>
                <w:spacing w:val="8"/>
                <w:sz w:val="18"/>
                <w:szCs w:val="18"/>
              </w:rPr>
              <w:t>(15分)</w:t>
            </w:r>
          </w:p>
        </w:tc>
        <w:tc>
          <w:tcPr>
            <w:tcW w:w="7827" w:type="dxa"/>
            <w:gridSpan w:val="2"/>
            <w:noWrap w:val="0"/>
            <w:vAlign w:val="center"/>
          </w:tcPr>
          <w:p w14:paraId="530D17EC">
            <w:pPr>
              <w:keepNext w:val="0"/>
              <w:keepLines w:val="0"/>
              <w:pageBreakBefore w:val="0"/>
              <w:widowControl w:val="0"/>
              <w:kinsoku/>
              <w:wordWrap/>
              <w:overflowPunct/>
              <w:topLinePunct w:val="0"/>
              <w:autoSpaceDE/>
              <w:autoSpaceDN/>
              <w:bidi w:val="0"/>
              <w:adjustRightInd/>
              <w:snapToGrid/>
              <w:spacing w:line="280" w:lineRule="exact"/>
              <w:ind w:left="101" w:right="115" w:firstLine="100"/>
              <w:jc w:val="both"/>
              <w:textAlignment w:val="auto"/>
              <w:rPr>
                <w:rFonts w:ascii="宋体" w:hAnsi="宋体" w:eastAsia="宋体" w:cs="宋体"/>
                <w:color w:val="auto"/>
                <w:sz w:val="18"/>
                <w:szCs w:val="18"/>
                <w:lang w:eastAsia="zh-CN"/>
              </w:rPr>
            </w:pPr>
            <w:r>
              <w:rPr>
                <w:rFonts w:ascii="宋体" w:hAnsi="宋体" w:eastAsia="宋体" w:cs="宋体"/>
                <w:color w:val="auto"/>
                <w:sz w:val="18"/>
                <w:szCs w:val="18"/>
                <w:lang w:eastAsia="zh-CN"/>
              </w:rPr>
              <w:t>1.绩效自评报告正文部分内容齐全的，得8分；否则每少一个部分扣2分，最多扣8</w:t>
            </w:r>
            <w:r>
              <w:rPr>
                <w:rFonts w:ascii="宋体" w:hAnsi="宋体" w:eastAsia="宋体" w:cs="宋体"/>
                <w:color w:val="auto"/>
                <w:spacing w:val="-1"/>
                <w:sz w:val="18"/>
                <w:szCs w:val="18"/>
                <w:lang w:eastAsia="zh-CN"/>
              </w:rPr>
              <w:t>分。</w:t>
            </w:r>
            <w:r>
              <w:rPr>
                <w:rFonts w:ascii="宋体" w:hAnsi="宋体" w:eastAsia="宋体" w:cs="宋体"/>
                <w:color w:val="auto"/>
                <w:sz w:val="18"/>
                <w:szCs w:val="18"/>
                <w:lang w:eastAsia="zh-CN"/>
              </w:rPr>
              <w:t xml:space="preserve"> 2.绩效自评报告附件部分内容齐全的，得7分；否则每少一个部分扣2分，最多扣7分。</w:t>
            </w:r>
          </w:p>
        </w:tc>
      </w:tr>
      <w:tr w14:paraId="3BFB904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38" w:hRule="atLeast"/>
        </w:trPr>
        <w:tc>
          <w:tcPr>
            <w:tcW w:w="724" w:type="dxa"/>
            <w:vMerge w:val="continue"/>
            <w:tcBorders>
              <w:top w:val="nil"/>
              <w:bottom w:val="nil"/>
            </w:tcBorders>
            <w:noWrap w:val="0"/>
            <w:vAlign w:val="center"/>
          </w:tcPr>
          <w:p w14:paraId="4E8E7ADA">
            <w:pPr>
              <w:pStyle w:val="19"/>
              <w:jc w:val="both"/>
              <w:rPr>
                <w:color w:val="auto"/>
                <w:sz w:val="18"/>
                <w:szCs w:val="18"/>
                <w:lang w:eastAsia="zh-CN"/>
              </w:rPr>
            </w:pPr>
          </w:p>
        </w:tc>
        <w:tc>
          <w:tcPr>
            <w:tcW w:w="1149" w:type="dxa"/>
            <w:noWrap w:val="0"/>
            <w:vAlign w:val="center"/>
          </w:tcPr>
          <w:p w14:paraId="7D22B860">
            <w:pPr>
              <w:keepNext w:val="0"/>
              <w:keepLines w:val="0"/>
              <w:pageBreakBefore w:val="0"/>
              <w:widowControl w:val="0"/>
              <w:kinsoku/>
              <w:wordWrap/>
              <w:overflowPunct/>
              <w:topLinePunct w:val="0"/>
              <w:autoSpaceDE/>
              <w:autoSpaceDN/>
              <w:bidi w:val="0"/>
              <w:adjustRightInd/>
              <w:snapToGrid/>
              <w:spacing w:line="280" w:lineRule="exact"/>
              <w:ind w:right="79" w:rightChars="0"/>
              <w:jc w:val="center"/>
              <w:textAlignment w:val="auto"/>
              <w:rPr>
                <w:rFonts w:ascii="宋体" w:hAnsi="宋体" w:eastAsia="宋体" w:cs="宋体"/>
                <w:color w:val="auto"/>
                <w:spacing w:val="3"/>
                <w:sz w:val="18"/>
                <w:szCs w:val="18"/>
              </w:rPr>
            </w:pPr>
            <w:r>
              <w:rPr>
                <w:rFonts w:ascii="宋体" w:hAnsi="宋体" w:eastAsia="宋体" w:cs="宋体"/>
                <w:color w:val="auto"/>
                <w:spacing w:val="-6"/>
                <w:sz w:val="18"/>
                <w:szCs w:val="18"/>
              </w:rPr>
              <w:t>绩效</w:t>
            </w:r>
            <w:r>
              <w:rPr>
                <w:rFonts w:ascii="宋体" w:hAnsi="宋体" w:eastAsia="宋体" w:cs="宋体"/>
                <w:color w:val="auto"/>
                <w:spacing w:val="3"/>
                <w:sz w:val="18"/>
                <w:szCs w:val="18"/>
              </w:rPr>
              <w:t>自评表</w:t>
            </w:r>
          </w:p>
          <w:p w14:paraId="6D325574">
            <w:pPr>
              <w:keepNext w:val="0"/>
              <w:keepLines w:val="0"/>
              <w:pageBreakBefore w:val="0"/>
              <w:widowControl w:val="0"/>
              <w:kinsoku/>
              <w:wordWrap/>
              <w:overflowPunct/>
              <w:topLinePunct w:val="0"/>
              <w:autoSpaceDE/>
              <w:autoSpaceDN/>
              <w:bidi w:val="0"/>
              <w:adjustRightInd/>
              <w:snapToGrid/>
              <w:spacing w:line="280" w:lineRule="exact"/>
              <w:ind w:right="234"/>
              <w:jc w:val="center"/>
              <w:textAlignment w:val="auto"/>
              <w:rPr>
                <w:rFonts w:ascii="宋体" w:hAnsi="宋体" w:eastAsia="宋体" w:cs="宋体"/>
                <w:color w:val="auto"/>
                <w:sz w:val="18"/>
                <w:szCs w:val="18"/>
              </w:rPr>
            </w:pPr>
            <w:r>
              <w:rPr>
                <w:rFonts w:ascii="宋体" w:hAnsi="宋体" w:eastAsia="宋体" w:cs="宋体"/>
                <w:color w:val="auto"/>
                <w:spacing w:val="8"/>
                <w:sz w:val="18"/>
                <w:szCs w:val="18"/>
              </w:rPr>
              <w:t>(20分)</w:t>
            </w:r>
          </w:p>
        </w:tc>
        <w:tc>
          <w:tcPr>
            <w:tcW w:w="7827" w:type="dxa"/>
            <w:gridSpan w:val="2"/>
            <w:noWrap w:val="0"/>
            <w:vAlign w:val="center"/>
          </w:tcPr>
          <w:p w14:paraId="6C3A468F">
            <w:pPr>
              <w:keepNext w:val="0"/>
              <w:keepLines w:val="0"/>
              <w:pageBreakBefore w:val="0"/>
              <w:widowControl w:val="0"/>
              <w:kinsoku/>
              <w:wordWrap/>
              <w:overflowPunct/>
              <w:topLinePunct w:val="0"/>
              <w:autoSpaceDE/>
              <w:autoSpaceDN/>
              <w:bidi w:val="0"/>
              <w:adjustRightInd/>
              <w:snapToGrid/>
              <w:spacing w:line="280" w:lineRule="exact"/>
              <w:ind w:firstLine="340" w:firstLineChars="200"/>
              <w:jc w:val="both"/>
              <w:textAlignment w:val="auto"/>
              <w:rPr>
                <w:rFonts w:ascii="宋体" w:hAnsi="宋体" w:eastAsia="宋体" w:cs="宋体"/>
                <w:color w:val="auto"/>
                <w:spacing w:val="7"/>
                <w:sz w:val="18"/>
                <w:szCs w:val="18"/>
                <w:lang w:eastAsia="zh-CN"/>
              </w:rPr>
            </w:pPr>
            <w:r>
              <w:rPr>
                <w:rFonts w:ascii="宋体" w:hAnsi="宋体" w:eastAsia="宋体" w:cs="宋体"/>
                <w:color w:val="auto"/>
                <w:spacing w:val="-5"/>
                <w:sz w:val="18"/>
                <w:szCs w:val="18"/>
                <w:lang w:eastAsia="zh-CN"/>
              </w:rPr>
              <w:t>1、部门整体支出和项目支出绩效指标反映产出、效益、服务对象满意度方面</w:t>
            </w:r>
            <w:r>
              <w:rPr>
                <w:rFonts w:ascii="宋体" w:hAnsi="宋体" w:eastAsia="宋体" w:cs="宋体"/>
                <w:color w:val="auto"/>
                <w:spacing w:val="-6"/>
                <w:sz w:val="18"/>
                <w:szCs w:val="18"/>
                <w:lang w:eastAsia="zh-CN"/>
              </w:rPr>
              <w:t>的指标和预算</w:t>
            </w:r>
            <w:r>
              <w:rPr>
                <w:rFonts w:ascii="宋体" w:hAnsi="宋体" w:eastAsia="宋体" w:cs="宋体"/>
                <w:color w:val="auto"/>
                <w:sz w:val="18"/>
                <w:szCs w:val="18"/>
                <w:lang w:eastAsia="zh-CN"/>
              </w:rPr>
              <w:t xml:space="preserve"> 执行率的权重符合《岳阳市市级预算部门绩效自评操作规程》要求的，得5分，否则按比</w:t>
            </w:r>
            <w:r>
              <w:rPr>
                <w:rFonts w:ascii="宋体" w:hAnsi="宋体" w:eastAsia="宋体" w:cs="宋体"/>
                <w:color w:val="auto"/>
                <w:spacing w:val="7"/>
                <w:sz w:val="18"/>
                <w:szCs w:val="18"/>
                <w:lang w:eastAsia="zh-CN"/>
              </w:rPr>
              <w:t xml:space="preserve"> 例扣除相应的分数。</w:t>
            </w:r>
          </w:p>
          <w:p w14:paraId="7D6DA604">
            <w:pPr>
              <w:keepNext w:val="0"/>
              <w:keepLines w:val="0"/>
              <w:pageBreakBefore w:val="0"/>
              <w:widowControl w:val="0"/>
              <w:kinsoku/>
              <w:wordWrap/>
              <w:overflowPunct/>
              <w:topLinePunct w:val="0"/>
              <w:autoSpaceDE/>
              <w:autoSpaceDN/>
              <w:bidi w:val="0"/>
              <w:adjustRightInd/>
              <w:snapToGrid/>
              <w:spacing w:line="280" w:lineRule="exact"/>
              <w:ind w:firstLine="360" w:firstLineChars="200"/>
              <w:jc w:val="both"/>
              <w:textAlignment w:val="auto"/>
              <w:rPr>
                <w:rFonts w:ascii="宋体" w:hAnsi="宋体" w:eastAsia="宋体" w:cs="宋体"/>
                <w:color w:val="auto"/>
                <w:sz w:val="18"/>
                <w:szCs w:val="18"/>
                <w:lang w:eastAsia="zh-CN"/>
              </w:rPr>
            </w:pPr>
            <w:r>
              <w:rPr>
                <w:rFonts w:hint="eastAsia" w:ascii="宋体" w:hAnsi="宋体" w:eastAsia="宋体" w:cs="宋体"/>
                <w:color w:val="auto"/>
                <w:sz w:val="18"/>
                <w:szCs w:val="18"/>
                <w:lang w:val="en-US" w:eastAsia="zh-CN"/>
              </w:rPr>
              <w:t>2、</w:t>
            </w:r>
            <w:r>
              <w:rPr>
                <w:rFonts w:ascii="宋体" w:hAnsi="宋体" w:eastAsia="宋体" w:cs="宋体"/>
                <w:color w:val="auto"/>
                <w:sz w:val="18"/>
                <w:szCs w:val="18"/>
                <w:lang w:eastAsia="zh-CN"/>
              </w:rPr>
              <w:t>部门整体支出和项目支出绩效指标全部细化到三级指标的，</w:t>
            </w:r>
            <w:r>
              <w:rPr>
                <w:rFonts w:ascii="宋体" w:hAnsi="宋体" w:eastAsia="宋体" w:cs="宋体"/>
                <w:color w:val="auto"/>
                <w:spacing w:val="-1"/>
                <w:sz w:val="18"/>
                <w:szCs w:val="18"/>
                <w:lang w:eastAsia="zh-CN"/>
              </w:rPr>
              <w:t>得5分；部分细化的，酌情</w:t>
            </w:r>
            <w:r>
              <w:rPr>
                <w:rFonts w:ascii="宋体" w:hAnsi="宋体" w:eastAsia="宋体" w:cs="宋体"/>
                <w:color w:val="auto"/>
                <w:sz w:val="18"/>
                <w:szCs w:val="18"/>
                <w:lang w:eastAsia="zh-CN"/>
              </w:rPr>
              <w:t xml:space="preserve"> 扣分；没有细化的，不得分。</w:t>
            </w:r>
          </w:p>
          <w:p w14:paraId="7B849C73">
            <w:pPr>
              <w:keepNext w:val="0"/>
              <w:keepLines w:val="0"/>
              <w:pageBreakBefore w:val="0"/>
              <w:widowControl w:val="0"/>
              <w:kinsoku/>
              <w:wordWrap/>
              <w:overflowPunct/>
              <w:topLinePunct w:val="0"/>
              <w:autoSpaceDE/>
              <w:autoSpaceDN/>
              <w:bidi w:val="0"/>
              <w:adjustRightInd/>
              <w:snapToGrid/>
              <w:spacing w:line="280" w:lineRule="exact"/>
              <w:ind w:firstLine="360" w:firstLineChars="200"/>
              <w:jc w:val="both"/>
              <w:textAlignment w:val="auto"/>
              <w:rPr>
                <w:rFonts w:ascii="宋体" w:hAnsi="宋体" w:eastAsia="宋体" w:cs="宋体"/>
                <w:color w:val="auto"/>
                <w:sz w:val="18"/>
                <w:szCs w:val="18"/>
                <w:lang w:eastAsia="zh-CN"/>
              </w:rPr>
            </w:pPr>
            <w:r>
              <w:rPr>
                <w:rFonts w:hint="eastAsia" w:ascii="宋体" w:hAnsi="宋体" w:eastAsia="宋体" w:cs="宋体"/>
                <w:color w:val="auto"/>
                <w:sz w:val="18"/>
                <w:szCs w:val="18"/>
                <w:lang w:val="en-US" w:eastAsia="zh-CN"/>
              </w:rPr>
              <w:t>3、</w:t>
            </w:r>
            <w:r>
              <w:rPr>
                <w:rFonts w:ascii="宋体" w:hAnsi="宋体" w:eastAsia="宋体" w:cs="宋体"/>
                <w:color w:val="auto"/>
                <w:sz w:val="18"/>
                <w:szCs w:val="18"/>
                <w:lang w:eastAsia="zh-CN"/>
              </w:rPr>
              <w:t>部门整体支出和项目支出三级绩效指标内涵明确、具体、可衡量的得5分；突出核心指</w:t>
            </w:r>
            <w:r>
              <w:rPr>
                <w:rFonts w:ascii="宋体" w:hAnsi="宋体" w:eastAsia="宋体" w:cs="宋体"/>
                <w:color w:val="auto"/>
                <w:spacing w:val="12"/>
                <w:sz w:val="18"/>
                <w:szCs w:val="18"/>
                <w:lang w:eastAsia="zh-CN"/>
              </w:rPr>
              <w:t xml:space="preserve"> </w:t>
            </w:r>
            <w:r>
              <w:rPr>
                <w:rFonts w:ascii="宋体" w:hAnsi="宋体" w:eastAsia="宋体" w:cs="宋体"/>
                <w:color w:val="auto"/>
                <w:sz w:val="18"/>
                <w:szCs w:val="18"/>
                <w:lang w:eastAsia="zh-CN"/>
              </w:rPr>
              <w:t>标，精简实用的得3分；指标与部门整体支出和项目支出密切相关</w:t>
            </w:r>
            <w:r>
              <w:rPr>
                <w:rFonts w:ascii="宋体" w:hAnsi="宋体" w:eastAsia="宋体" w:cs="宋体"/>
                <w:color w:val="auto"/>
                <w:spacing w:val="-1"/>
                <w:sz w:val="18"/>
                <w:szCs w:val="18"/>
                <w:lang w:eastAsia="zh-CN"/>
              </w:rPr>
              <w:t>，全面反映产出和效益</w:t>
            </w:r>
            <w:r>
              <w:rPr>
                <w:rFonts w:ascii="宋体" w:hAnsi="宋体" w:eastAsia="宋体" w:cs="宋体"/>
                <w:color w:val="auto"/>
                <w:sz w:val="18"/>
                <w:szCs w:val="18"/>
                <w:lang w:eastAsia="zh-CN"/>
              </w:rPr>
              <w:t xml:space="preserve"> </w:t>
            </w:r>
            <w:r>
              <w:rPr>
                <w:rFonts w:ascii="宋体" w:hAnsi="宋体" w:eastAsia="宋体" w:cs="宋体"/>
                <w:color w:val="auto"/>
                <w:spacing w:val="2"/>
                <w:sz w:val="18"/>
                <w:szCs w:val="18"/>
                <w:lang w:eastAsia="zh-CN"/>
              </w:rPr>
              <w:t>的得2分；否则，每项酌情扣分，最多扣10分。</w:t>
            </w:r>
          </w:p>
        </w:tc>
      </w:tr>
      <w:tr w14:paraId="16B7FAB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14" w:hRule="atLeast"/>
        </w:trPr>
        <w:tc>
          <w:tcPr>
            <w:tcW w:w="724" w:type="dxa"/>
            <w:vMerge w:val="continue"/>
            <w:tcBorders>
              <w:top w:val="nil"/>
              <w:bottom w:val="nil"/>
            </w:tcBorders>
            <w:noWrap w:val="0"/>
            <w:vAlign w:val="center"/>
          </w:tcPr>
          <w:p w14:paraId="30F76CBC">
            <w:pPr>
              <w:pStyle w:val="19"/>
              <w:jc w:val="both"/>
              <w:rPr>
                <w:color w:val="auto"/>
                <w:sz w:val="18"/>
                <w:szCs w:val="18"/>
                <w:lang w:eastAsia="zh-CN"/>
              </w:rPr>
            </w:pPr>
          </w:p>
        </w:tc>
        <w:tc>
          <w:tcPr>
            <w:tcW w:w="1149" w:type="dxa"/>
            <w:noWrap w:val="0"/>
            <w:vAlign w:val="center"/>
          </w:tcPr>
          <w:p w14:paraId="6555B350">
            <w:pPr>
              <w:keepNext w:val="0"/>
              <w:keepLines w:val="0"/>
              <w:pageBreakBefore w:val="0"/>
              <w:widowControl w:val="0"/>
              <w:kinsoku/>
              <w:wordWrap/>
              <w:overflowPunct/>
              <w:topLinePunct w:val="0"/>
              <w:autoSpaceDE/>
              <w:autoSpaceDN/>
              <w:bidi w:val="0"/>
              <w:adjustRightInd/>
              <w:snapToGrid/>
              <w:spacing w:line="280" w:lineRule="exact"/>
              <w:ind w:left="260" w:right="234"/>
              <w:jc w:val="center"/>
              <w:textAlignment w:val="auto"/>
              <w:rPr>
                <w:rFonts w:ascii="宋体" w:hAnsi="宋体" w:eastAsia="宋体" w:cs="宋体"/>
                <w:color w:val="auto"/>
                <w:sz w:val="18"/>
                <w:szCs w:val="18"/>
              </w:rPr>
            </w:pPr>
            <w:r>
              <w:rPr>
                <w:rFonts w:ascii="宋体" w:hAnsi="宋体" w:eastAsia="宋体" w:cs="宋体"/>
                <w:color w:val="auto"/>
                <w:spacing w:val="7"/>
                <w:sz w:val="18"/>
                <w:szCs w:val="18"/>
              </w:rPr>
              <w:t>反映问</w:t>
            </w:r>
            <w:r>
              <w:rPr>
                <w:rFonts w:ascii="宋体" w:hAnsi="宋体" w:eastAsia="宋体" w:cs="宋体"/>
                <w:color w:val="auto"/>
                <w:spacing w:val="1"/>
                <w:sz w:val="18"/>
                <w:szCs w:val="18"/>
              </w:rPr>
              <w:t xml:space="preserve"> </w:t>
            </w:r>
            <w:r>
              <w:rPr>
                <w:rFonts w:ascii="宋体" w:hAnsi="宋体" w:eastAsia="宋体" w:cs="宋体"/>
                <w:color w:val="auto"/>
                <w:spacing w:val="-3"/>
                <w:sz w:val="18"/>
                <w:szCs w:val="18"/>
              </w:rPr>
              <w:t>题情况</w:t>
            </w:r>
            <w:r>
              <w:rPr>
                <w:rFonts w:ascii="宋体" w:hAnsi="宋体" w:eastAsia="宋体" w:cs="宋体"/>
                <w:color w:val="auto"/>
                <w:sz w:val="18"/>
                <w:szCs w:val="18"/>
              </w:rPr>
              <w:t xml:space="preserve"> </w:t>
            </w:r>
            <w:r>
              <w:rPr>
                <w:rFonts w:ascii="宋体" w:hAnsi="宋体" w:eastAsia="宋体" w:cs="宋体"/>
                <w:color w:val="auto"/>
                <w:spacing w:val="8"/>
                <w:sz w:val="18"/>
                <w:szCs w:val="18"/>
              </w:rPr>
              <w:t>(20分)</w:t>
            </w:r>
          </w:p>
        </w:tc>
        <w:tc>
          <w:tcPr>
            <w:tcW w:w="7827" w:type="dxa"/>
            <w:gridSpan w:val="2"/>
            <w:noWrap w:val="0"/>
            <w:vAlign w:val="center"/>
          </w:tcPr>
          <w:p w14:paraId="63F81DF4">
            <w:pPr>
              <w:keepNext w:val="0"/>
              <w:keepLines w:val="0"/>
              <w:pageBreakBefore w:val="0"/>
              <w:widowControl w:val="0"/>
              <w:kinsoku/>
              <w:wordWrap/>
              <w:overflowPunct/>
              <w:topLinePunct w:val="0"/>
              <w:autoSpaceDE/>
              <w:autoSpaceDN/>
              <w:bidi w:val="0"/>
              <w:adjustRightInd/>
              <w:snapToGrid/>
              <w:spacing w:line="280" w:lineRule="exact"/>
              <w:ind w:firstLine="360" w:firstLineChars="200"/>
              <w:jc w:val="both"/>
              <w:textAlignment w:val="auto"/>
              <w:rPr>
                <w:rFonts w:ascii="宋体" w:hAnsi="宋体" w:eastAsia="宋体" w:cs="宋体"/>
                <w:color w:val="auto"/>
                <w:sz w:val="18"/>
                <w:szCs w:val="18"/>
                <w:lang w:eastAsia="zh-CN"/>
              </w:rPr>
            </w:pPr>
            <w:r>
              <w:rPr>
                <w:rFonts w:ascii="宋体" w:hAnsi="宋体" w:eastAsia="宋体" w:cs="宋体"/>
                <w:color w:val="auto"/>
                <w:sz w:val="18"/>
                <w:szCs w:val="18"/>
                <w:lang w:eastAsia="zh-CN"/>
              </w:rPr>
              <w:t>从预算和预算绩效管理，部门履职效能，资金分配、使用和管理</w:t>
            </w:r>
            <w:r>
              <w:rPr>
                <w:rFonts w:ascii="宋体" w:hAnsi="宋体" w:eastAsia="宋体" w:cs="宋体"/>
                <w:color w:val="auto"/>
                <w:spacing w:val="-1"/>
                <w:sz w:val="18"/>
                <w:szCs w:val="18"/>
                <w:lang w:eastAsia="zh-CN"/>
              </w:rPr>
              <w:t>，资产和财务管理，政府</w:t>
            </w:r>
            <w:r>
              <w:rPr>
                <w:rFonts w:ascii="宋体" w:hAnsi="宋体" w:eastAsia="宋体" w:cs="宋体"/>
                <w:color w:val="auto"/>
                <w:spacing w:val="-2"/>
                <w:sz w:val="18"/>
                <w:szCs w:val="18"/>
                <w:lang w:eastAsia="zh-CN"/>
              </w:rPr>
              <w:t>采购等方面归纳问题、分析原因全面的，得20分；反映问题、分析原因</w:t>
            </w:r>
            <w:r>
              <w:rPr>
                <w:rFonts w:ascii="宋体" w:hAnsi="宋体" w:eastAsia="宋体" w:cs="宋体"/>
                <w:color w:val="auto"/>
                <w:spacing w:val="-3"/>
                <w:sz w:val="18"/>
                <w:szCs w:val="18"/>
                <w:lang w:eastAsia="zh-CN"/>
              </w:rPr>
              <w:t>较全面的，得16-18</w:t>
            </w:r>
            <w:r>
              <w:rPr>
                <w:rFonts w:ascii="宋体" w:hAnsi="宋体" w:eastAsia="宋体" w:cs="宋体"/>
                <w:color w:val="auto"/>
                <w:sz w:val="18"/>
                <w:szCs w:val="18"/>
                <w:lang w:eastAsia="zh-CN"/>
              </w:rPr>
              <w:t xml:space="preserve"> 分；反映问题、分析原因不全面的，得13—15分；问题未归纳且过于简单的，得10—12分；只提出资金不足问题的不得分；其他情况酌情扣分。</w:t>
            </w:r>
          </w:p>
        </w:tc>
      </w:tr>
      <w:tr w14:paraId="7D200A1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83" w:hRule="atLeast"/>
        </w:trPr>
        <w:tc>
          <w:tcPr>
            <w:tcW w:w="724" w:type="dxa"/>
            <w:vMerge w:val="continue"/>
            <w:tcBorders>
              <w:top w:val="nil"/>
            </w:tcBorders>
            <w:noWrap w:val="0"/>
            <w:vAlign w:val="center"/>
          </w:tcPr>
          <w:p w14:paraId="02E65485">
            <w:pPr>
              <w:pStyle w:val="19"/>
              <w:jc w:val="both"/>
              <w:rPr>
                <w:color w:val="auto"/>
                <w:sz w:val="18"/>
                <w:szCs w:val="18"/>
                <w:lang w:eastAsia="zh-CN"/>
              </w:rPr>
            </w:pPr>
          </w:p>
        </w:tc>
        <w:tc>
          <w:tcPr>
            <w:tcW w:w="1149" w:type="dxa"/>
            <w:noWrap w:val="0"/>
            <w:vAlign w:val="center"/>
          </w:tcPr>
          <w:p w14:paraId="7A48D662">
            <w:pPr>
              <w:keepNext w:val="0"/>
              <w:keepLines w:val="0"/>
              <w:pageBreakBefore w:val="0"/>
              <w:widowControl w:val="0"/>
              <w:kinsoku/>
              <w:wordWrap/>
              <w:overflowPunct/>
              <w:topLinePunct w:val="0"/>
              <w:autoSpaceDE/>
              <w:autoSpaceDN/>
              <w:bidi w:val="0"/>
              <w:adjustRightInd/>
              <w:snapToGrid/>
              <w:spacing w:line="280" w:lineRule="exact"/>
              <w:ind w:left="161"/>
              <w:jc w:val="center"/>
              <w:textAlignment w:val="auto"/>
              <w:rPr>
                <w:rFonts w:ascii="宋体" w:hAnsi="宋体" w:eastAsia="宋体" w:cs="宋体"/>
                <w:color w:val="auto"/>
                <w:sz w:val="18"/>
                <w:szCs w:val="18"/>
              </w:rPr>
            </w:pPr>
            <w:r>
              <w:rPr>
                <w:rFonts w:ascii="宋体" w:hAnsi="宋体" w:eastAsia="宋体" w:cs="宋体"/>
                <w:color w:val="auto"/>
                <w:spacing w:val="-2"/>
                <w:sz w:val="18"/>
                <w:szCs w:val="18"/>
              </w:rPr>
              <w:t>建议情况</w:t>
            </w:r>
          </w:p>
          <w:p w14:paraId="466F7EFE">
            <w:pPr>
              <w:keepNext w:val="0"/>
              <w:keepLines w:val="0"/>
              <w:pageBreakBefore w:val="0"/>
              <w:widowControl w:val="0"/>
              <w:kinsoku/>
              <w:wordWrap/>
              <w:overflowPunct/>
              <w:topLinePunct w:val="0"/>
              <w:autoSpaceDE/>
              <w:autoSpaceDN/>
              <w:bidi w:val="0"/>
              <w:adjustRightInd/>
              <w:snapToGrid/>
              <w:spacing w:line="280" w:lineRule="exact"/>
              <w:ind w:left="260"/>
              <w:jc w:val="center"/>
              <w:textAlignment w:val="auto"/>
              <w:rPr>
                <w:rFonts w:ascii="宋体" w:hAnsi="宋体" w:eastAsia="宋体" w:cs="宋体"/>
                <w:color w:val="auto"/>
                <w:sz w:val="18"/>
                <w:szCs w:val="18"/>
              </w:rPr>
            </w:pPr>
            <w:r>
              <w:rPr>
                <w:rFonts w:ascii="宋体" w:hAnsi="宋体" w:eastAsia="宋体" w:cs="宋体"/>
                <w:color w:val="auto"/>
                <w:spacing w:val="8"/>
                <w:sz w:val="18"/>
                <w:szCs w:val="18"/>
              </w:rPr>
              <w:t>(15分)</w:t>
            </w:r>
          </w:p>
        </w:tc>
        <w:tc>
          <w:tcPr>
            <w:tcW w:w="7827" w:type="dxa"/>
            <w:gridSpan w:val="2"/>
            <w:noWrap w:val="0"/>
            <w:vAlign w:val="center"/>
          </w:tcPr>
          <w:p w14:paraId="582CB092">
            <w:pPr>
              <w:keepNext w:val="0"/>
              <w:keepLines w:val="0"/>
              <w:pageBreakBefore w:val="0"/>
              <w:widowControl w:val="0"/>
              <w:kinsoku/>
              <w:wordWrap/>
              <w:overflowPunct/>
              <w:topLinePunct w:val="0"/>
              <w:autoSpaceDE/>
              <w:autoSpaceDN/>
              <w:bidi w:val="0"/>
              <w:adjustRightInd/>
              <w:snapToGrid/>
              <w:spacing w:line="280" w:lineRule="exact"/>
              <w:ind w:right="15" w:firstLine="364" w:firstLineChars="200"/>
              <w:jc w:val="both"/>
              <w:textAlignment w:val="auto"/>
              <w:rPr>
                <w:rFonts w:ascii="宋体" w:hAnsi="宋体" w:eastAsia="宋体" w:cs="宋体"/>
                <w:color w:val="auto"/>
                <w:sz w:val="18"/>
                <w:szCs w:val="18"/>
                <w:lang w:eastAsia="zh-CN"/>
              </w:rPr>
            </w:pPr>
            <w:r>
              <w:rPr>
                <w:rFonts w:ascii="宋体" w:hAnsi="宋体" w:eastAsia="宋体" w:cs="宋体"/>
                <w:color w:val="auto"/>
                <w:spacing w:val="1"/>
                <w:sz w:val="18"/>
                <w:szCs w:val="18"/>
                <w:lang w:eastAsia="zh-CN"/>
              </w:rPr>
              <w:t>建议与问题对应且全面的得15分，建议比</w:t>
            </w:r>
            <w:r>
              <w:rPr>
                <w:rFonts w:ascii="宋体" w:hAnsi="宋体" w:eastAsia="宋体" w:cs="宋体"/>
                <w:color w:val="auto"/>
                <w:sz w:val="18"/>
                <w:szCs w:val="18"/>
                <w:lang w:eastAsia="zh-CN"/>
              </w:rPr>
              <w:t>较全面的得12—14分，建议不全面的得9-11  分，建议过于简单的得6-8分，只提出加大资金投入建议的不得分；其他情况酌情扣</w:t>
            </w:r>
            <w:r>
              <w:rPr>
                <w:rFonts w:ascii="宋体" w:hAnsi="宋体" w:eastAsia="宋体" w:cs="宋体"/>
                <w:color w:val="auto"/>
                <w:spacing w:val="-1"/>
                <w:sz w:val="18"/>
                <w:szCs w:val="18"/>
                <w:lang w:eastAsia="zh-CN"/>
              </w:rPr>
              <w:t>分。</w:t>
            </w:r>
          </w:p>
        </w:tc>
      </w:tr>
      <w:tr w14:paraId="4CF2058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14" w:hRule="atLeast"/>
        </w:trPr>
        <w:tc>
          <w:tcPr>
            <w:tcW w:w="724" w:type="dxa"/>
            <w:noWrap w:val="0"/>
            <w:vAlign w:val="center"/>
          </w:tcPr>
          <w:p w14:paraId="4C0D89A2">
            <w:pPr>
              <w:spacing w:before="219" w:line="221" w:lineRule="auto"/>
              <w:ind w:left="154"/>
              <w:jc w:val="both"/>
              <w:rPr>
                <w:rFonts w:ascii="宋体" w:hAnsi="宋体" w:eastAsia="宋体" w:cs="宋体"/>
                <w:color w:val="auto"/>
                <w:sz w:val="18"/>
                <w:szCs w:val="18"/>
              </w:rPr>
            </w:pPr>
            <w:r>
              <w:rPr>
                <w:rFonts w:ascii="宋体" w:hAnsi="宋体" w:eastAsia="宋体" w:cs="宋体"/>
                <w:color w:val="auto"/>
                <w:spacing w:val="-3"/>
                <w:sz w:val="18"/>
                <w:szCs w:val="18"/>
              </w:rPr>
              <w:t>合计</w:t>
            </w:r>
          </w:p>
        </w:tc>
        <w:tc>
          <w:tcPr>
            <w:tcW w:w="1149" w:type="dxa"/>
            <w:noWrap w:val="0"/>
            <w:vAlign w:val="center"/>
          </w:tcPr>
          <w:p w14:paraId="1C073E3F">
            <w:pPr>
              <w:keepNext w:val="0"/>
              <w:keepLines w:val="0"/>
              <w:pageBreakBefore w:val="0"/>
              <w:widowControl w:val="0"/>
              <w:kinsoku/>
              <w:wordWrap/>
              <w:overflowPunct/>
              <w:topLinePunct w:val="0"/>
              <w:autoSpaceDE/>
              <w:autoSpaceDN/>
              <w:bidi w:val="0"/>
              <w:adjustRightInd/>
              <w:snapToGrid/>
              <w:spacing w:line="280" w:lineRule="exact"/>
              <w:ind w:left="311"/>
              <w:jc w:val="both"/>
              <w:textAlignment w:val="auto"/>
              <w:rPr>
                <w:rFonts w:ascii="宋体" w:hAnsi="宋体" w:eastAsia="宋体" w:cs="宋体"/>
                <w:color w:val="auto"/>
                <w:sz w:val="18"/>
                <w:szCs w:val="18"/>
              </w:rPr>
            </w:pPr>
            <w:r>
              <w:rPr>
                <w:rFonts w:ascii="宋体" w:hAnsi="宋体" w:eastAsia="宋体" w:cs="宋体"/>
                <w:color w:val="auto"/>
                <w:spacing w:val="2"/>
                <w:sz w:val="18"/>
                <w:szCs w:val="18"/>
              </w:rPr>
              <w:t>100分</w:t>
            </w:r>
          </w:p>
        </w:tc>
        <w:tc>
          <w:tcPr>
            <w:tcW w:w="7827" w:type="dxa"/>
            <w:gridSpan w:val="2"/>
            <w:noWrap w:val="0"/>
            <w:vAlign w:val="center"/>
          </w:tcPr>
          <w:p w14:paraId="3341B7D4">
            <w:pPr>
              <w:pStyle w:val="19"/>
              <w:keepNext w:val="0"/>
              <w:keepLines w:val="0"/>
              <w:pageBreakBefore w:val="0"/>
              <w:widowControl w:val="0"/>
              <w:kinsoku/>
              <w:wordWrap/>
              <w:overflowPunct/>
              <w:topLinePunct w:val="0"/>
              <w:autoSpaceDE/>
              <w:autoSpaceDN/>
              <w:bidi w:val="0"/>
              <w:adjustRightInd/>
              <w:snapToGrid/>
              <w:spacing w:line="280" w:lineRule="exact"/>
              <w:jc w:val="both"/>
              <w:textAlignment w:val="auto"/>
              <w:rPr>
                <w:color w:val="auto"/>
                <w:sz w:val="18"/>
                <w:szCs w:val="18"/>
              </w:rPr>
            </w:pPr>
          </w:p>
        </w:tc>
      </w:tr>
    </w:tbl>
    <w:p w14:paraId="1070AC3F">
      <w:pPr>
        <w:rPr>
          <w:rFonts w:hint="default"/>
          <w:color w:val="auto"/>
          <w:lang w:val="en-US" w:eastAsia="zh-CN"/>
        </w:rPr>
      </w:pPr>
    </w:p>
    <w:sectPr>
      <w:footerReference r:id="rId4" w:type="default"/>
      <w:pgSz w:w="11906" w:h="16838"/>
      <w:pgMar w:top="1134" w:right="1134" w:bottom="1134" w:left="1134" w:header="851" w:footer="992" w:gutter="0"/>
      <w:cols w:space="0" w:num="1"/>
      <w:rtlGutter w:val="0"/>
      <w:docGrid w:type="linesAndChar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altName w:val="宋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仿宋">
    <w:panose1 w:val="02010609060101010101"/>
    <w:charset w:val="86"/>
    <w:family w:val="auto"/>
    <w:pitch w:val="default"/>
    <w:sig w:usb0="800002BF" w:usb1="38CF7CFA" w:usb2="00000016" w:usb3="00000000" w:csb0="00040001" w:csb1="00000000"/>
  </w:font>
  <w:font w:name="方正小标宋_GBK">
    <w:altName w:val="Arial Unicode MS"/>
    <w:panose1 w:val="03000509000000000000"/>
    <w:charset w:val="86"/>
    <w:family w:val="script"/>
    <w:pitch w:val="default"/>
    <w:sig w:usb0="00000000" w:usb1="00000000" w:usb2="00000000" w:usb3="00000000" w:csb0="00040000" w:csb1="00000000"/>
  </w:font>
  <w:font w:name="Arial Unicode MS">
    <w:panose1 w:val="020B0604020202020204"/>
    <w:charset w:val="86"/>
    <w:family w:val="auto"/>
    <w:pitch w:val="default"/>
    <w:sig w:usb0="FFFFFFFF" w:usb1="E9FFFFFF" w:usb2="0000003F" w:usb3="00000000" w:csb0="603F01FF" w:csb1="FFFF0000"/>
  </w:font>
  <w:font w:name="方正小标宋简体">
    <w:altName w:val="Arial Unicode MS"/>
    <w:panose1 w:val="03000509000000000000"/>
    <w:charset w:val="86"/>
    <w:family w:val="auto"/>
    <w:pitch w:val="default"/>
    <w:sig w:usb0="00000000" w:usb1="00000000" w:usb2="00000000" w:usb3="00000000" w:csb0="00040000" w:csb1="00000000"/>
  </w:font>
  <w:font w:name="仿宋_GB2312">
    <w:altName w:val="仿宋"/>
    <w:panose1 w:val="02010609030101010101"/>
    <w:charset w:val="86"/>
    <w:family w:val="modern"/>
    <w:pitch w:val="default"/>
    <w:sig w:usb0="00000000" w:usb1="00000000" w:usb2="00000000" w:usb3="00000000" w:csb0="00040000" w:csb1="00000000"/>
  </w:font>
  <w:font w:name="方正大标宋简体">
    <w:altName w:val="Arial Unicode MS"/>
    <w:panose1 w:val="02010601030101010101"/>
    <w:charset w:val="86"/>
    <w:family w:val="auto"/>
    <w:pitch w:val="default"/>
    <w:sig w:usb0="00000000" w:usb1="0000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7F4F3F">
    <w:pPr>
      <w:spacing w:line="174" w:lineRule="auto"/>
      <w:ind w:left="8525"/>
      <w:rPr>
        <w:rFonts w:ascii="宋体" w:hAnsi="宋体" w:eastAsia="宋体" w:cs="宋体"/>
        <w:sz w:val="26"/>
        <w:szCs w:val="26"/>
      </w:rPr>
    </w:pPr>
    <w:r>
      <w:rPr>
        <w:rFonts w:ascii="宋体" w:hAnsi="宋体" w:eastAsia="宋体" w:cs="宋体"/>
        <w:spacing w:val="-3"/>
        <w:sz w:val="26"/>
        <w:szCs w:val="26"/>
      </w:rPr>
      <w:t>—7—</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C83B04">
    <w:pPr>
      <w:pStyle w:val="6"/>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EDECFD4"/>
    <w:multiLevelType w:val="singleLevel"/>
    <w:tmpl w:val="8EDECFD4"/>
    <w:lvl w:ilvl="0" w:tentative="0">
      <w:start w:val="3"/>
      <w:numFmt w:val="chineseCounting"/>
      <w:suff w:val="nothing"/>
      <w:lvlText w:val="（%1）"/>
      <w:lvlJc w:val="left"/>
      <w:rPr>
        <w:rFonts w:hint="eastAsia"/>
      </w:rPr>
    </w:lvl>
  </w:abstractNum>
  <w:abstractNum w:abstractNumId="1">
    <w:nsid w:val="73B204C1"/>
    <w:multiLevelType w:val="singleLevel"/>
    <w:tmpl w:val="73B204C1"/>
    <w:lvl w:ilvl="0" w:tentative="0">
      <w:start w:val="7"/>
      <w:numFmt w:val="decimal"/>
      <w:suff w:val="nothing"/>
      <w:lvlText w:val="%1、"/>
      <w:lvlJc w:val="left"/>
      <w:pPr>
        <w:ind w:left="320" w:leftChars="0" w:firstLine="0" w:firstLineChars="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506F9"/>
    <w:rsid w:val="0002229B"/>
    <w:rsid w:val="000273BD"/>
    <w:rsid w:val="00040CBC"/>
    <w:rsid w:val="000415B7"/>
    <w:rsid w:val="00041E3F"/>
    <w:rsid w:val="00055DAA"/>
    <w:rsid w:val="00061F7B"/>
    <w:rsid w:val="000658A3"/>
    <w:rsid w:val="00074155"/>
    <w:rsid w:val="000A3F69"/>
    <w:rsid w:val="00103957"/>
    <w:rsid w:val="00152C6D"/>
    <w:rsid w:val="00162D39"/>
    <w:rsid w:val="001678BD"/>
    <w:rsid w:val="00182373"/>
    <w:rsid w:val="001A67DB"/>
    <w:rsid w:val="001C3C29"/>
    <w:rsid w:val="001D51E5"/>
    <w:rsid w:val="001E080D"/>
    <w:rsid w:val="001E53D0"/>
    <w:rsid w:val="001F0C3B"/>
    <w:rsid w:val="00202C82"/>
    <w:rsid w:val="00214427"/>
    <w:rsid w:val="00226CB7"/>
    <w:rsid w:val="00264552"/>
    <w:rsid w:val="00264EF9"/>
    <w:rsid w:val="00265724"/>
    <w:rsid w:val="0027426B"/>
    <w:rsid w:val="002E0A30"/>
    <w:rsid w:val="003130C4"/>
    <w:rsid w:val="00316C4B"/>
    <w:rsid w:val="0032192B"/>
    <w:rsid w:val="003479BD"/>
    <w:rsid w:val="0037197D"/>
    <w:rsid w:val="003768D5"/>
    <w:rsid w:val="003926B9"/>
    <w:rsid w:val="003C47E6"/>
    <w:rsid w:val="003C4FC2"/>
    <w:rsid w:val="00416E61"/>
    <w:rsid w:val="0042790C"/>
    <w:rsid w:val="004506F9"/>
    <w:rsid w:val="004717A2"/>
    <w:rsid w:val="00473DF3"/>
    <w:rsid w:val="00487911"/>
    <w:rsid w:val="00491741"/>
    <w:rsid w:val="004B0CEE"/>
    <w:rsid w:val="00500E5F"/>
    <w:rsid w:val="005122EF"/>
    <w:rsid w:val="0051441A"/>
    <w:rsid w:val="00517C33"/>
    <w:rsid w:val="00517D5F"/>
    <w:rsid w:val="00523644"/>
    <w:rsid w:val="0054069E"/>
    <w:rsid w:val="00544866"/>
    <w:rsid w:val="005767CC"/>
    <w:rsid w:val="00590D9F"/>
    <w:rsid w:val="00595D26"/>
    <w:rsid w:val="005A74E6"/>
    <w:rsid w:val="005B404E"/>
    <w:rsid w:val="005D4D55"/>
    <w:rsid w:val="005E2CFB"/>
    <w:rsid w:val="005F2103"/>
    <w:rsid w:val="005F3D1C"/>
    <w:rsid w:val="0062378F"/>
    <w:rsid w:val="00641842"/>
    <w:rsid w:val="00651EEC"/>
    <w:rsid w:val="00686673"/>
    <w:rsid w:val="00691E8C"/>
    <w:rsid w:val="006A22C4"/>
    <w:rsid w:val="006A351B"/>
    <w:rsid w:val="006B0422"/>
    <w:rsid w:val="006C1B53"/>
    <w:rsid w:val="006D7730"/>
    <w:rsid w:val="006E5284"/>
    <w:rsid w:val="006F3EB5"/>
    <w:rsid w:val="00702E34"/>
    <w:rsid w:val="00704395"/>
    <w:rsid w:val="00710FE7"/>
    <w:rsid w:val="00717621"/>
    <w:rsid w:val="00720FF1"/>
    <w:rsid w:val="00727A53"/>
    <w:rsid w:val="00787B42"/>
    <w:rsid w:val="007C4539"/>
    <w:rsid w:val="007F3657"/>
    <w:rsid w:val="00812ED5"/>
    <w:rsid w:val="008277D9"/>
    <w:rsid w:val="0084478C"/>
    <w:rsid w:val="0086638C"/>
    <w:rsid w:val="008A3E8D"/>
    <w:rsid w:val="009237C4"/>
    <w:rsid w:val="00944C48"/>
    <w:rsid w:val="00950252"/>
    <w:rsid w:val="00967F5D"/>
    <w:rsid w:val="009A0F95"/>
    <w:rsid w:val="009B3ADF"/>
    <w:rsid w:val="009B4D8E"/>
    <w:rsid w:val="009C3B52"/>
    <w:rsid w:val="009E6817"/>
    <w:rsid w:val="009E6E9A"/>
    <w:rsid w:val="00A01D2B"/>
    <w:rsid w:val="00A42218"/>
    <w:rsid w:val="00A70249"/>
    <w:rsid w:val="00A70B02"/>
    <w:rsid w:val="00A71D9F"/>
    <w:rsid w:val="00A92E9F"/>
    <w:rsid w:val="00AB18FF"/>
    <w:rsid w:val="00B33BEA"/>
    <w:rsid w:val="00B57C9F"/>
    <w:rsid w:val="00B63572"/>
    <w:rsid w:val="00B845B3"/>
    <w:rsid w:val="00B85D8B"/>
    <w:rsid w:val="00BB4A40"/>
    <w:rsid w:val="00BD6C3E"/>
    <w:rsid w:val="00BE3674"/>
    <w:rsid w:val="00C10681"/>
    <w:rsid w:val="00C3049A"/>
    <w:rsid w:val="00C31B1E"/>
    <w:rsid w:val="00C77645"/>
    <w:rsid w:val="00CE04C3"/>
    <w:rsid w:val="00CE76A0"/>
    <w:rsid w:val="00D148C6"/>
    <w:rsid w:val="00D17A8A"/>
    <w:rsid w:val="00D415BA"/>
    <w:rsid w:val="00D63780"/>
    <w:rsid w:val="00D644EE"/>
    <w:rsid w:val="00DD06FF"/>
    <w:rsid w:val="00DD5FE9"/>
    <w:rsid w:val="00E00C7A"/>
    <w:rsid w:val="00E37D6C"/>
    <w:rsid w:val="00E55B68"/>
    <w:rsid w:val="00E561AE"/>
    <w:rsid w:val="00E67BE6"/>
    <w:rsid w:val="00E8683C"/>
    <w:rsid w:val="00EA2B72"/>
    <w:rsid w:val="00F74360"/>
    <w:rsid w:val="00FB462F"/>
    <w:rsid w:val="00FE16FA"/>
    <w:rsid w:val="00FE328A"/>
    <w:rsid w:val="00FE6269"/>
    <w:rsid w:val="00FF5CD6"/>
    <w:rsid w:val="03206535"/>
    <w:rsid w:val="03FC166C"/>
    <w:rsid w:val="0530309F"/>
    <w:rsid w:val="059958AD"/>
    <w:rsid w:val="05E30A12"/>
    <w:rsid w:val="05F4145A"/>
    <w:rsid w:val="06A35E92"/>
    <w:rsid w:val="06BD0C26"/>
    <w:rsid w:val="06C857E7"/>
    <w:rsid w:val="08C24A73"/>
    <w:rsid w:val="08D741C5"/>
    <w:rsid w:val="0A007E1D"/>
    <w:rsid w:val="0A0F4BEC"/>
    <w:rsid w:val="0B8601A9"/>
    <w:rsid w:val="0B8E7D91"/>
    <w:rsid w:val="0CB86B08"/>
    <w:rsid w:val="0E8C14E5"/>
    <w:rsid w:val="11944E2C"/>
    <w:rsid w:val="11D93938"/>
    <w:rsid w:val="12583BA5"/>
    <w:rsid w:val="133E02C4"/>
    <w:rsid w:val="138253D6"/>
    <w:rsid w:val="13BA5B9C"/>
    <w:rsid w:val="13CC77C8"/>
    <w:rsid w:val="14BB35E7"/>
    <w:rsid w:val="156D18D3"/>
    <w:rsid w:val="1574621E"/>
    <w:rsid w:val="160C3234"/>
    <w:rsid w:val="16977443"/>
    <w:rsid w:val="179A232A"/>
    <w:rsid w:val="17F951D5"/>
    <w:rsid w:val="18ED2570"/>
    <w:rsid w:val="19080C81"/>
    <w:rsid w:val="1AF21D20"/>
    <w:rsid w:val="1B145777"/>
    <w:rsid w:val="1B8F3F03"/>
    <w:rsid w:val="1D3E358A"/>
    <w:rsid w:val="1D97DEFF"/>
    <w:rsid w:val="1DFF72E5"/>
    <w:rsid w:val="1E032835"/>
    <w:rsid w:val="1E0563C6"/>
    <w:rsid w:val="1EBF49AE"/>
    <w:rsid w:val="1EFC6F07"/>
    <w:rsid w:val="1F0527A6"/>
    <w:rsid w:val="1FBB4D04"/>
    <w:rsid w:val="201A6008"/>
    <w:rsid w:val="205C6AB9"/>
    <w:rsid w:val="20627E53"/>
    <w:rsid w:val="216A1069"/>
    <w:rsid w:val="21C432EE"/>
    <w:rsid w:val="22AC03C2"/>
    <w:rsid w:val="25F44F02"/>
    <w:rsid w:val="26341C2C"/>
    <w:rsid w:val="283B15FE"/>
    <w:rsid w:val="28886774"/>
    <w:rsid w:val="297A5E02"/>
    <w:rsid w:val="29A808AE"/>
    <w:rsid w:val="2AC12366"/>
    <w:rsid w:val="2B8A1EA0"/>
    <w:rsid w:val="2E5A6335"/>
    <w:rsid w:val="2FDF85B8"/>
    <w:rsid w:val="2FFFEE04"/>
    <w:rsid w:val="306C2865"/>
    <w:rsid w:val="30B002D3"/>
    <w:rsid w:val="30BF77A8"/>
    <w:rsid w:val="31004243"/>
    <w:rsid w:val="31C95635"/>
    <w:rsid w:val="3278015F"/>
    <w:rsid w:val="33122EA7"/>
    <w:rsid w:val="338D69DA"/>
    <w:rsid w:val="34670FD0"/>
    <w:rsid w:val="34763899"/>
    <w:rsid w:val="348A6E92"/>
    <w:rsid w:val="34DF85B0"/>
    <w:rsid w:val="365623F7"/>
    <w:rsid w:val="36694184"/>
    <w:rsid w:val="37353608"/>
    <w:rsid w:val="38054F80"/>
    <w:rsid w:val="39AC7C83"/>
    <w:rsid w:val="3B8F36BC"/>
    <w:rsid w:val="3BC772B6"/>
    <w:rsid w:val="3BE14662"/>
    <w:rsid w:val="3E2B24B1"/>
    <w:rsid w:val="3F4D5E84"/>
    <w:rsid w:val="3F515EE9"/>
    <w:rsid w:val="41925E1B"/>
    <w:rsid w:val="41E33C60"/>
    <w:rsid w:val="439F595A"/>
    <w:rsid w:val="43CD42C2"/>
    <w:rsid w:val="43EB5BA5"/>
    <w:rsid w:val="46DC584E"/>
    <w:rsid w:val="47195C9E"/>
    <w:rsid w:val="491FF225"/>
    <w:rsid w:val="49650CFE"/>
    <w:rsid w:val="49942522"/>
    <w:rsid w:val="49F86888"/>
    <w:rsid w:val="4A517BB2"/>
    <w:rsid w:val="4A87617A"/>
    <w:rsid w:val="4B9764AE"/>
    <w:rsid w:val="4EC310A1"/>
    <w:rsid w:val="4F5A2DE7"/>
    <w:rsid w:val="4FFD214C"/>
    <w:rsid w:val="512A26F8"/>
    <w:rsid w:val="52A05B10"/>
    <w:rsid w:val="5352765A"/>
    <w:rsid w:val="53C71F85"/>
    <w:rsid w:val="541A062E"/>
    <w:rsid w:val="5777D4F5"/>
    <w:rsid w:val="57F22B6F"/>
    <w:rsid w:val="580D5190"/>
    <w:rsid w:val="59DD8326"/>
    <w:rsid w:val="5DBC642D"/>
    <w:rsid w:val="5DD2224E"/>
    <w:rsid w:val="5DEF592A"/>
    <w:rsid w:val="5E207FA8"/>
    <w:rsid w:val="5E371164"/>
    <w:rsid w:val="5EFF17CF"/>
    <w:rsid w:val="5FC6BB1E"/>
    <w:rsid w:val="5FF720F1"/>
    <w:rsid w:val="622964C1"/>
    <w:rsid w:val="62590E29"/>
    <w:rsid w:val="627E0C71"/>
    <w:rsid w:val="63211364"/>
    <w:rsid w:val="633C4C81"/>
    <w:rsid w:val="64243C3A"/>
    <w:rsid w:val="64342B64"/>
    <w:rsid w:val="64B81079"/>
    <w:rsid w:val="660421CC"/>
    <w:rsid w:val="66636EDC"/>
    <w:rsid w:val="66D57EE4"/>
    <w:rsid w:val="67FF5C0B"/>
    <w:rsid w:val="69C77840"/>
    <w:rsid w:val="6A050BC9"/>
    <w:rsid w:val="6AA21BC1"/>
    <w:rsid w:val="6B3E7FD6"/>
    <w:rsid w:val="6BAA4A2F"/>
    <w:rsid w:val="6C9D2ADA"/>
    <w:rsid w:val="6DDEC5C0"/>
    <w:rsid w:val="6EFC0924"/>
    <w:rsid w:val="6F646CC2"/>
    <w:rsid w:val="6FAC5D4F"/>
    <w:rsid w:val="6FB74722"/>
    <w:rsid w:val="6FEF8B7E"/>
    <w:rsid w:val="704470F7"/>
    <w:rsid w:val="70761FC0"/>
    <w:rsid w:val="71374A45"/>
    <w:rsid w:val="717FE77F"/>
    <w:rsid w:val="71A6591B"/>
    <w:rsid w:val="734273A9"/>
    <w:rsid w:val="737D59BA"/>
    <w:rsid w:val="737F32B1"/>
    <w:rsid w:val="73BD3FCA"/>
    <w:rsid w:val="749627E2"/>
    <w:rsid w:val="757C4095"/>
    <w:rsid w:val="75E31EA6"/>
    <w:rsid w:val="77030A3B"/>
    <w:rsid w:val="772E7BF1"/>
    <w:rsid w:val="77377214"/>
    <w:rsid w:val="776BDA01"/>
    <w:rsid w:val="77C37683"/>
    <w:rsid w:val="7845030A"/>
    <w:rsid w:val="789E18A0"/>
    <w:rsid w:val="78EA7678"/>
    <w:rsid w:val="78F22F3F"/>
    <w:rsid w:val="79660E24"/>
    <w:rsid w:val="79FF515B"/>
    <w:rsid w:val="7B8261BE"/>
    <w:rsid w:val="7CBD663F"/>
    <w:rsid w:val="7CC360BE"/>
    <w:rsid w:val="7CE85FC4"/>
    <w:rsid w:val="7D306322"/>
    <w:rsid w:val="7D512340"/>
    <w:rsid w:val="7D6F33E0"/>
    <w:rsid w:val="7DFBFF20"/>
    <w:rsid w:val="7E9E1962"/>
    <w:rsid w:val="7E9F11B4"/>
    <w:rsid w:val="7F37EC1E"/>
    <w:rsid w:val="7F7C0DDA"/>
    <w:rsid w:val="7F7DCD9D"/>
    <w:rsid w:val="7F970A6F"/>
    <w:rsid w:val="7F982450"/>
    <w:rsid w:val="7FC1FFF3"/>
    <w:rsid w:val="7FC69637"/>
    <w:rsid w:val="7FDF8620"/>
    <w:rsid w:val="7FF20966"/>
    <w:rsid w:val="7FFB242F"/>
    <w:rsid w:val="7FFB7D9C"/>
    <w:rsid w:val="7FFDB408"/>
    <w:rsid w:val="7FFE4EEB"/>
    <w:rsid w:val="95FB2B98"/>
    <w:rsid w:val="9A639BC2"/>
    <w:rsid w:val="9FF7D786"/>
    <w:rsid w:val="ABBFB23D"/>
    <w:rsid w:val="B6BE5A03"/>
    <w:rsid w:val="B8C93228"/>
    <w:rsid w:val="C3B4DA5A"/>
    <w:rsid w:val="C4FF458C"/>
    <w:rsid w:val="C7BBD038"/>
    <w:rsid w:val="CBFF70E0"/>
    <w:rsid w:val="CFF50B82"/>
    <w:rsid w:val="CFFFAD89"/>
    <w:rsid w:val="DFFE359E"/>
    <w:rsid w:val="DFFE4FFD"/>
    <w:rsid w:val="DFFF5403"/>
    <w:rsid w:val="EBC3E00A"/>
    <w:rsid w:val="EDFBE100"/>
    <w:rsid w:val="EEABED75"/>
    <w:rsid w:val="EF7E8003"/>
    <w:rsid w:val="F56FDF51"/>
    <w:rsid w:val="F5F3EE78"/>
    <w:rsid w:val="F6B69F17"/>
    <w:rsid w:val="F6E5BB3A"/>
    <w:rsid w:val="F77F1D61"/>
    <w:rsid w:val="F7FED3A9"/>
    <w:rsid w:val="F8C9DB26"/>
    <w:rsid w:val="F97E8EAE"/>
    <w:rsid w:val="FB36E1A6"/>
    <w:rsid w:val="FB3BE134"/>
    <w:rsid w:val="FCFF4275"/>
    <w:rsid w:val="FD7FEEEA"/>
    <w:rsid w:val="FDFFB577"/>
    <w:rsid w:val="FEEA50FE"/>
    <w:rsid w:val="FF7D47A9"/>
    <w:rsid w:val="FFCF21CB"/>
    <w:rsid w:val="FFF94102"/>
    <w:rsid w:val="FFFF1C8B"/>
    <w:rsid w:val="FFFF743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qFormat="1" w:unhideWhenUsed="0" w:uiPriority="0"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name="Body Text"/>
    <w:lsdException w:qFormat="1"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qFormat="1" w:uiPriority="99" w:semiHidden="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10">
    <w:name w:val="Default Paragraph Font"/>
    <w:semiHidden/>
    <w:unhideWhenUsed/>
    <w:qFormat/>
    <w:uiPriority w:val="1"/>
  </w:style>
  <w:style w:type="table" w:default="1" w:styleId="9">
    <w:name w:val="Normal Table"/>
    <w:semiHidden/>
    <w:unhideWhenUsed/>
    <w:qFormat/>
    <w:uiPriority w:val="99"/>
    <w:tblPr>
      <w:tblCellMar>
        <w:top w:w="0" w:type="dxa"/>
        <w:left w:w="108" w:type="dxa"/>
        <w:bottom w:w="0" w:type="dxa"/>
        <w:right w:w="108" w:type="dxa"/>
      </w:tblCellMar>
    </w:tblPr>
  </w:style>
  <w:style w:type="paragraph" w:styleId="2">
    <w:name w:val="Body Text First Indent 2"/>
    <w:basedOn w:val="3"/>
    <w:unhideWhenUsed/>
    <w:qFormat/>
    <w:uiPriority w:val="99"/>
    <w:pPr>
      <w:ind w:firstLine="420" w:firstLineChars="200"/>
    </w:pPr>
  </w:style>
  <w:style w:type="paragraph" w:styleId="3">
    <w:name w:val="Body Text Indent"/>
    <w:basedOn w:val="1"/>
    <w:unhideWhenUsed/>
    <w:qFormat/>
    <w:uiPriority w:val="99"/>
    <w:pPr>
      <w:widowControl/>
      <w:spacing w:after="120"/>
      <w:ind w:left="420" w:leftChars="200"/>
      <w:jc w:val="left"/>
    </w:pPr>
    <w:rPr>
      <w:rFonts w:ascii="宋体" w:hAnsi="宋体" w:eastAsia="宋体" w:cs="宋体"/>
      <w:kern w:val="0"/>
      <w:sz w:val="24"/>
    </w:rPr>
  </w:style>
  <w:style w:type="paragraph" w:styleId="4">
    <w:name w:val="Body Text"/>
    <w:basedOn w:val="1"/>
    <w:semiHidden/>
    <w:qFormat/>
    <w:uiPriority w:val="0"/>
    <w:rPr>
      <w:rFonts w:ascii="仿宋" w:hAnsi="仿宋" w:eastAsia="仿宋" w:cs="仿宋"/>
      <w:sz w:val="31"/>
      <w:szCs w:val="31"/>
      <w:lang w:val="en-US" w:eastAsia="en-US" w:bidi="ar-SA"/>
    </w:rPr>
  </w:style>
  <w:style w:type="paragraph" w:styleId="5">
    <w:name w:val="Balloon Text"/>
    <w:basedOn w:val="1"/>
    <w:link w:val="15"/>
    <w:semiHidden/>
    <w:unhideWhenUsed/>
    <w:qFormat/>
    <w:uiPriority w:val="99"/>
    <w:rPr>
      <w:sz w:val="18"/>
      <w:szCs w:val="18"/>
    </w:rPr>
  </w:style>
  <w:style w:type="paragraph" w:styleId="6">
    <w:name w:val="footer"/>
    <w:basedOn w:val="1"/>
    <w:link w:val="12"/>
    <w:unhideWhenUsed/>
    <w:qFormat/>
    <w:uiPriority w:val="99"/>
    <w:pPr>
      <w:tabs>
        <w:tab w:val="center" w:pos="4153"/>
        <w:tab w:val="right" w:pos="8306"/>
      </w:tabs>
      <w:snapToGrid w:val="0"/>
      <w:jc w:val="left"/>
    </w:pPr>
    <w:rPr>
      <w:sz w:val="18"/>
      <w:szCs w:val="18"/>
    </w:rPr>
  </w:style>
  <w:style w:type="paragraph" w:styleId="7">
    <w:name w:val="header"/>
    <w:basedOn w:val="1"/>
    <w:link w:val="11"/>
    <w:unhideWhenUsed/>
    <w:qFormat/>
    <w:uiPriority w:val="99"/>
    <w:pPr>
      <w:pBdr>
        <w:bottom w:val="single" w:color="auto" w:sz="6" w:space="1"/>
      </w:pBdr>
      <w:tabs>
        <w:tab w:val="center" w:pos="4153"/>
        <w:tab w:val="right" w:pos="8306"/>
      </w:tabs>
      <w:snapToGrid w:val="0"/>
      <w:jc w:val="center"/>
    </w:pPr>
    <w:rPr>
      <w:sz w:val="18"/>
      <w:szCs w:val="18"/>
    </w:rPr>
  </w:style>
  <w:style w:type="paragraph" w:styleId="8">
    <w:name w:val="footnote text"/>
    <w:basedOn w:val="1"/>
    <w:next w:val="2"/>
    <w:semiHidden/>
    <w:qFormat/>
    <w:uiPriority w:val="0"/>
    <w:pPr>
      <w:snapToGrid w:val="0"/>
      <w:jc w:val="left"/>
    </w:pPr>
    <w:rPr>
      <w:sz w:val="18"/>
      <w:szCs w:val="18"/>
    </w:rPr>
  </w:style>
  <w:style w:type="character" w:customStyle="1" w:styleId="11">
    <w:name w:val="页眉 Char"/>
    <w:basedOn w:val="10"/>
    <w:link w:val="7"/>
    <w:qFormat/>
    <w:uiPriority w:val="99"/>
    <w:rPr>
      <w:sz w:val="18"/>
      <w:szCs w:val="18"/>
    </w:rPr>
  </w:style>
  <w:style w:type="character" w:customStyle="1" w:styleId="12">
    <w:name w:val="页脚 Char"/>
    <w:basedOn w:val="10"/>
    <w:link w:val="6"/>
    <w:qFormat/>
    <w:uiPriority w:val="99"/>
    <w:rPr>
      <w:sz w:val="18"/>
      <w:szCs w:val="18"/>
    </w:rPr>
  </w:style>
  <w:style w:type="paragraph" w:customStyle="1" w:styleId="13">
    <w:name w:val="Default"/>
    <w:qFormat/>
    <w:uiPriority w:val="0"/>
    <w:pPr>
      <w:widowControl w:val="0"/>
      <w:autoSpaceDE w:val="0"/>
      <w:autoSpaceDN w:val="0"/>
      <w:adjustRightInd w:val="0"/>
    </w:pPr>
    <w:rPr>
      <w:rFonts w:ascii="黑体" w:eastAsia="黑体" w:cs="黑体" w:hAnsiTheme="minorHAnsi"/>
      <w:color w:val="000000"/>
      <w:kern w:val="0"/>
      <w:sz w:val="24"/>
      <w:szCs w:val="24"/>
      <w:lang w:val="en-US" w:eastAsia="zh-CN" w:bidi="ar-SA"/>
    </w:rPr>
  </w:style>
  <w:style w:type="paragraph" w:styleId="14">
    <w:name w:val="List Paragraph"/>
    <w:basedOn w:val="1"/>
    <w:qFormat/>
    <w:uiPriority w:val="34"/>
    <w:pPr>
      <w:ind w:firstLine="420" w:firstLineChars="200"/>
    </w:pPr>
  </w:style>
  <w:style w:type="character" w:customStyle="1" w:styleId="15">
    <w:name w:val="批注框文本 Char"/>
    <w:basedOn w:val="10"/>
    <w:link w:val="5"/>
    <w:semiHidden/>
    <w:qFormat/>
    <w:uiPriority w:val="99"/>
    <w:rPr>
      <w:sz w:val="18"/>
      <w:szCs w:val="18"/>
    </w:rPr>
  </w:style>
  <w:style w:type="character" w:customStyle="1" w:styleId="16">
    <w:name w:val="font01"/>
    <w:basedOn w:val="10"/>
    <w:qFormat/>
    <w:uiPriority w:val="0"/>
    <w:rPr>
      <w:rFonts w:hint="eastAsia" w:ascii="宋体" w:hAnsi="宋体" w:eastAsia="宋体" w:cs="宋体"/>
      <w:color w:val="000000"/>
      <w:sz w:val="22"/>
      <w:szCs w:val="22"/>
      <w:u w:val="none"/>
    </w:rPr>
  </w:style>
  <w:style w:type="character" w:customStyle="1" w:styleId="17">
    <w:name w:val="font21"/>
    <w:basedOn w:val="10"/>
    <w:qFormat/>
    <w:uiPriority w:val="0"/>
    <w:rPr>
      <w:rFonts w:hint="eastAsia" w:ascii="宋体" w:hAnsi="宋体" w:eastAsia="宋体" w:cs="宋体"/>
      <w:color w:val="000000"/>
      <w:sz w:val="24"/>
      <w:szCs w:val="24"/>
      <w:u w:val="none"/>
    </w:rPr>
  </w:style>
  <w:style w:type="character" w:customStyle="1" w:styleId="18">
    <w:name w:val="font11"/>
    <w:basedOn w:val="10"/>
    <w:qFormat/>
    <w:uiPriority w:val="0"/>
    <w:rPr>
      <w:rFonts w:hint="eastAsia" w:ascii="宋体" w:hAnsi="宋体" w:eastAsia="宋体" w:cs="宋体"/>
      <w:color w:val="000000"/>
      <w:sz w:val="24"/>
      <w:szCs w:val="24"/>
      <w:u w:val="none"/>
    </w:rPr>
  </w:style>
  <w:style w:type="paragraph" w:customStyle="1" w:styleId="19">
    <w:name w:val="Table Text"/>
    <w:basedOn w:val="1"/>
    <w:semiHidden/>
    <w:qFormat/>
    <w:uiPriority w:val="0"/>
    <w:rPr>
      <w:rFonts w:ascii="Arial" w:hAnsi="Arial" w:eastAsia="Arial" w:cs="Arial"/>
      <w:sz w:val="21"/>
      <w:szCs w:val="21"/>
      <w:lang w:val="en-US" w:eastAsia="en-US"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1" Type="http://schemas.openxmlformats.org/officeDocument/2006/relationships/fontTable" Target="fontTable.xml"/><Relationship Id="rId10" Type="http://schemas.openxmlformats.org/officeDocument/2006/relationships/numbering" Target="numbering.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Company>Microsoft</Company>
  <Pages>40</Pages>
  <Words>12720</Words>
  <Characters>13901</Characters>
  <Lines>63</Lines>
  <Paragraphs>18</Paragraphs>
  <TotalTime>0</TotalTime>
  <ScaleCrop>false</ScaleCrop>
  <LinksUpToDate>false</LinksUpToDate>
  <CharactersWithSpaces>14117</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2020-07-10T18:32:00Z</dcterms:created>
  <dc:creator>李航 null</dc:creator>
  <cp:lastModifiedBy>Administrator</cp:lastModifiedBy>
  <cp:lastPrinted>2024-08-11T02:20:00Z</cp:lastPrinted>
  <dcterms:modified xsi:type="dcterms:W3CDTF">2025-09-19T03:34:33Z</dcterms:modified>
  <cp:revision>67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46E16C1F7C074601838EC45B9B568F51_13</vt:lpwstr>
  </property>
  <property fmtid="{D5CDD505-2E9C-101B-9397-08002B2CF9AE}" pid="4" name="KSOTemplateDocerSaveRecord">
    <vt:lpwstr>eyJoZGlkIjoiMDI5YjRiZWVkNDY0YzcxOTUwY2ZkYjBmZGI0MzRjYTUifQ==</vt:lpwstr>
  </property>
</Properties>
</file>