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2023年度</w:t>
      </w:r>
    </w:p>
    <w:p>
      <w:pPr>
        <w:pStyle w:val="12"/>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岳阳市疾控中心部门决算</w:t>
      </w:r>
    </w:p>
    <w:p>
      <w:pPr>
        <w:pStyle w:val="12"/>
        <w:jc w:val="center"/>
        <w:rPr>
          <w:rFonts w:ascii="方正小标宋_GBK" w:hAnsi="方正小标宋_GBK" w:eastAsia="方正小标宋_GBK" w:cs="方正小标宋_GBK"/>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40" w:lineRule="exact"/>
        <w:jc w:val="center"/>
        <w:rPr>
          <w:sz w:val="56"/>
          <w:szCs w:val="56"/>
        </w:rPr>
      </w:pPr>
    </w:p>
    <w:p>
      <w:pPr>
        <w:pStyle w:val="12"/>
        <w:spacing w:line="500" w:lineRule="exact"/>
        <w:jc w:val="both"/>
        <w:rPr>
          <w:b/>
          <w:sz w:val="36"/>
          <w:szCs w:val="28"/>
        </w:rPr>
      </w:pPr>
    </w:p>
    <w:p>
      <w:pPr>
        <w:pStyle w:val="12"/>
        <w:spacing w:line="500" w:lineRule="exact"/>
        <w:jc w:val="center"/>
        <w:rPr>
          <w:b/>
          <w:sz w:val="36"/>
          <w:szCs w:val="28"/>
        </w:rPr>
      </w:pPr>
      <w:r>
        <w:rPr>
          <w:rFonts w:hint="eastAsia"/>
          <w:b/>
          <w:sz w:val="36"/>
          <w:szCs w:val="28"/>
        </w:rPr>
        <w:t>目录</w:t>
      </w:r>
    </w:p>
    <w:p>
      <w:pPr>
        <w:pStyle w:val="12"/>
        <w:spacing w:line="500" w:lineRule="exact"/>
        <w:rPr>
          <w:rFonts w:hAnsi="黑体"/>
          <w:bCs/>
          <w:sz w:val="28"/>
          <w:szCs w:val="28"/>
        </w:rPr>
      </w:pPr>
      <w:r>
        <w:rPr>
          <w:rFonts w:hint="eastAsia" w:hAnsi="黑体"/>
          <w:bCs/>
          <w:sz w:val="28"/>
          <w:szCs w:val="28"/>
        </w:rPr>
        <w:t>第一部分 岳阳市疾控中心概况</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二、机构设置</w:t>
      </w:r>
    </w:p>
    <w:p>
      <w:pPr>
        <w:pStyle w:val="12"/>
        <w:spacing w:line="500" w:lineRule="exact"/>
        <w:rPr>
          <w:rFonts w:hAnsi="黑体"/>
          <w:bCs/>
          <w:sz w:val="28"/>
          <w:szCs w:val="28"/>
        </w:rPr>
      </w:pPr>
      <w:r>
        <w:rPr>
          <w:rFonts w:hint="eastAsia" w:hAnsi="黑体"/>
          <w:bCs/>
          <w:sz w:val="28"/>
          <w:szCs w:val="28"/>
        </w:rPr>
        <w:t>第二部分 部门决算表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2"/>
        <w:spacing w:line="500" w:lineRule="exact"/>
        <w:rPr>
          <w:rFonts w:hAnsi="黑体"/>
          <w:bCs/>
          <w:sz w:val="28"/>
          <w:szCs w:val="28"/>
        </w:rPr>
      </w:pPr>
      <w:r>
        <w:rPr>
          <w:rFonts w:hint="eastAsia" w:hAnsi="黑体"/>
          <w:bCs/>
          <w:sz w:val="28"/>
          <w:szCs w:val="28"/>
        </w:rPr>
        <w:t>第三部分 部门决算情况说明</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48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autoSpaceDE w:val="0"/>
        <w:autoSpaceDN w:val="0"/>
        <w:adjustRightInd w:val="0"/>
        <w:spacing w:line="48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八、</w:t>
      </w:r>
      <w:r>
        <w:rPr>
          <w:rFonts w:hint="eastAsia" w:ascii="仿宋_GB2312" w:hAnsi="仿宋_GB2312" w:eastAsia="仿宋_GB2312" w:cs="仿宋_GB2312"/>
          <w:sz w:val="28"/>
          <w:szCs w:val="28"/>
        </w:rPr>
        <w:t>国有资本经营预算财政拨款支出决算情况</w:t>
      </w:r>
    </w:p>
    <w:p>
      <w:pPr>
        <w:autoSpaceDE w:val="0"/>
        <w:autoSpaceDN w:val="0"/>
        <w:adjustRightInd w:val="0"/>
        <w:spacing w:line="48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九、财政拨款三公经费支出决算情况说明</w:t>
      </w:r>
    </w:p>
    <w:p>
      <w:pPr>
        <w:autoSpaceDE w:val="0"/>
        <w:autoSpaceDN w:val="0"/>
        <w:adjustRightInd w:val="0"/>
        <w:spacing w:line="48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autoSpaceDE w:val="0"/>
        <w:autoSpaceDN w:val="0"/>
        <w:adjustRightInd w:val="0"/>
        <w:spacing w:line="48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autoSpaceDE w:val="0"/>
        <w:autoSpaceDN w:val="0"/>
        <w:adjustRightInd w:val="0"/>
        <w:spacing w:line="480" w:lineRule="exact"/>
        <w:ind w:firstLine="700" w:firstLineChars="250"/>
        <w:jc w:val="left"/>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autoSpaceDE w:val="0"/>
        <w:autoSpaceDN w:val="0"/>
        <w:adjustRightInd w:val="0"/>
        <w:spacing w:line="480" w:lineRule="exact"/>
        <w:ind w:firstLine="700" w:firstLineChars="2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十三、关于国有资产占用情况说明</w:t>
      </w:r>
    </w:p>
    <w:p>
      <w:pPr>
        <w:pStyle w:val="12"/>
        <w:spacing w:line="500" w:lineRule="exact"/>
        <w:ind w:firstLine="700" w:firstLineChars="250"/>
        <w:rPr>
          <w:rFonts w:ascii="仿宋_GB2312" w:hAnsi="仿宋_GB2312" w:eastAsia="仿宋_GB2312" w:cs="仿宋_GB2312"/>
          <w:sz w:val="28"/>
          <w:szCs w:val="28"/>
        </w:rPr>
      </w:pPr>
      <w:r>
        <w:rPr>
          <w:rFonts w:hint="eastAsia" w:ascii="仿宋_GB2312" w:hAnsi="仿宋_GB2312" w:eastAsia="仿宋_GB2312" w:cs="仿宋_GB2312"/>
          <w:sz w:val="28"/>
          <w:szCs w:val="28"/>
        </w:rPr>
        <w:t>十四、关于</w:t>
      </w:r>
      <w:r>
        <w:rPr>
          <w:rFonts w:ascii="Times New Roman" w:hAnsi="Times New Roman" w:eastAsia="仿宋_GB2312" w:cs="Times New Roman"/>
          <w:sz w:val="28"/>
          <w:szCs w:val="28"/>
        </w:rPr>
        <w:t>2023</w:t>
      </w:r>
      <w:r>
        <w:rPr>
          <w:rFonts w:hint="eastAsia" w:ascii="仿宋_GB2312" w:hAnsi="仿宋_GB2312" w:eastAsia="仿宋_GB2312" w:cs="仿宋_GB2312"/>
          <w:sz w:val="28"/>
          <w:szCs w:val="28"/>
        </w:rPr>
        <w:t>年度预算绩效情况的说明</w:t>
      </w:r>
    </w:p>
    <w:p>
      <w:pPr>
        <w:pStyle w:val="12"/>
        <w:spacing w:line="500" w:lineRule="exact"/>
        <w:rPr>
          <w:rFonts w:hAnsi="黑体"/>
          <w:bCs/>
          <w:sz w:val="28"/>
          <w:szCs w:val="28"/>
        </w:rPr>
      </w:pPr>
      <w:r>
        <w:rPr>
          <w:rFonts w:hint="eastAsia" w:hAnsi="黑体"/>
          <w:bCs/>
          <w:sz w:val="28"/>
          <w:szCs w:val="28"/>
        </w:rPr>
        <w:t>第四部分 名词解释</w:t>
      </w:r>
    </w:p>
    <w:p>
      <w:pPr>
        <w:pStyle w:val="12"/>
        <w:spacing w:line="500" w:lineRule="exact"/>
        <w:rPr>
          <w:rFonts w:hAnsi="黑体"/>
          <w:bCs/>
          <w:sz w:val="28"/>
          <w:szCs w:val="28"/>
        </w:rPr>
      </w:pPr>
      <w:r>
        <w:rPr>
          <w:rFonts w:hint="eastAsia" w:hAnsi="黑体"/>
          <w:bCs/>
          <w:sz w:val="28"/>
          <w:szCs w:val="28"/>
        </w:rPr>
        <w:t>第五部分 附件</w:t>
      </w:r>
    </w:p>
    <w:p>
      <w:pPr>
        <w:pStyle w:val="12"/>
        <w:jc w:val="center"/>
        <w:rPr>
          <w:rFonts w:ascii="方正小标宋_GBK" w:hAnsi="方正小标宋_GBK" w:eastAsia="方正小标宋_GBK" w:cs="方正小标宋_GBK"/>
          <w:sz w:val="84"/>
          <w:szCs w:val="84"/>
        </w:rPr>
      </w:pPr>
    </w:p>
    <w:p>
      <w:pPr>
        <w:pStyle w:val="12"/>
        <w:jc w:val="center"/>
        <w:rPr>
          <w:rFonts w:ascii="方正小标宋_GBK" w:hAnsi="方正小标宋_GBK" w:eastAsia="方正小标宋_GBK" w:cs="方正小标宋_GBK"/>
          <w:sz w:val="84"/>
          <w:szCs w:val="84"/>
        </w:rPr>
      </w:pPr>
    </w:p>
    <w:p>
      <w:pPr>
        <w:pStyle w:val="12"/>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2"/>
        <w:jc w:val="center"/>
        <w:rPr>
          <w:rFonts w:ascii="方正小标宋_GBK" w:hAnsi="方正小标宋_GBK" w:eastAsia="方正小标宋_GBK" w:cs="方正小标宋_GBK"/>
          <w:sz w:val="84"/>
          <w:szCs w:val="84"/>
        </w:rPr>
      </w:pPr>
    </w:p>
    <w:p>
      <w:pPr>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岳阳市疾控中心概况</w:t>
      </w:r>
    </w:p>
    <w:p>
      <w:pPr>
        <w:pStyle w:val="2"/>
        <w:rPr>
          <w:rFonts w:ascii="方正小标宋_GBK" w:hAnsi="方正小标宋_GBK" w:eastAsia="方正小标宋_GBK" w:cs="方正小标宋_GBK"/>
          <w:sz w:val="84"/>
          <w:szCs w:val="84"/>
        </w:rPr>
      </w:pPr>
    </w:p>
    <w:p>
      <w:pPr>
        <w:pStyle w:val="3"/>
        <w:ind w:firstLine="1680"/>
        <w:rPr>
          <w:rFonts w:ascii="方正小标宋_GBK" w:hAnsi="方正小标宋_GBK" w:eastAsia="方正小标宋_GBK" w:cs="方正小标宋_GBK"/>
          <w:sz w:val="84"/>
          <w:szCs w:val="84"/>
        </w:rPr>
      </w:pPr>
    </w:p>
    <w:p>
      <w:pPr>
        <w:rPr>
          <w:rFonts w:ascii="方正小标宋_GBK" w:hAnsi="方正小标宋_GBK" w:eastAsia="方正小标宋_GBK" w:cs="方正小标宋_GBK"/>
          <w:sz w:val="84"/>
          <w:szCs w:val="84"/>
        </w:rPr>
      </w:pPr>
    </w:p>
    <w:p>
      <w:pPr>
        <w:pStyle w:val="2"/>
        <w:rPr>
          <w:rFonts w:ascii="方正小标宋_GBK" w:hAnsi="方正小标宋_GBK" w:eastAsia="方正小标宋_GBK" w:cs="方正小标宋_GBK"/>
          <w:sz w:val="84"/>
          <w:szCs w:val="84"/>
        </w:rPr>
      </w:pPr>
    </w:p>
    <w:p>
      <w:pPr>
        <w:pStyle w:val="3"/>
        <w:ind w:firstLine="1680"/>
        <w:rPr>
          <w:rFonts w:ascii="方正小标宋_GBK" w:hAnsi="方正小标宋_GBK" w:eastAsia="方正小标宋_GBK" w:cs="方正小标宋_GBK"/>
          <w:sz w:val="84"/>
          <w:szCs w:val="84"/>
        </w:rPr>
      </w:pPr>
    </w:p>
    <w:p>
      <w:pPr>
        <w:pStyle w:val="13"/>
        <w:numPr>
          <w:ilvl w:val="0"/>
          <w:numId w:val="1"/>
        </w:numPr>
        <w:ind w:firstLineChars="0"/>
        <w:jc w:val="left"/>
        <w:rPr>
          <w:rFonts w:ascii="黑体" w:hAnsi="黑体" w:eastAsia="黑体" w:cs="黑体"/>
          <w:sz w:val="32"/>
          <w:szCs w:val="32"/>
        </w:rPr>
      </w:pPr>
      <w:r>
        <w:rPr>
          <w:rFonts w:hint="eastAsia" w:ascii="黑体" w:hAnsi="黑体" w:eastAsia="黑体" w:cs="黑体"/>
          <w:sz w:val="32"/>
          <w:szCs w:val="32"/>
        </w:rPr>
        <w:t>部门职责</w:t>
      </w:r>
    </w:p>
    <w:p>
      <w:pPr>
        <w:keepNext/>
        <w:keepLines/>
        <w:shd w:val="clear" w:color="auto" w:fill="FFFFFF"/>
        <w:ind w:firstLine="640"/>
        <w:jc w:val="left"/>
        <w:rPr>
          <w:rFonts w:ascii="Times New Roman" w:hAnsi="Times New Roman" w:eastAsia="仿宋_GB2312" w:cs="仿宋_GB2312"/>
          <w:sz w:val="32"/>
          <w:szCs w:val="32"/>
        </w:rPr>
      </w:pPr>
      <w:r>
        <w:rPr>
          <w:rFonts w:hint="eastAsia" w:ascii="Times New Roman" w:hAnsi="Times New Roman" w:eastAsia="仿宋_GB2312" w:cs="仿宋_GB2312"/>
          <w:sz w:val="32"/>
          <w:szCs w:val="32"/>
        </w:rPr>
        <w:t>健康危险因素监测、卫生决策参考、疾病预防控制方案制定及评估、突发公共卫生事件处置技术支持、预防接种指导、对县市区疾控业务开展指导、健康教育健康促进、公共卫生信息报告管理、卫生检验及实验室质控、保健信息咨询、血防工作、其他上级交办的工作。</w:t>
      </w:r>
    </w:p>
    <w:p>
      <w:pPr>
        <w:widowControl/>
        <w:spacing w:line="600" w:lineRule="exact"/>
        <w:rPr>
          <w:rFonts w:ascii="黑体" w:hAnsi="黑体" w:eastAsia="黑体" w:cs="黑体"/>
          <w:bCs/>
          <w:kern w:val="0"/>
          <w:sz w:val="32"/>
          <w:szCs w:val="32"/>
        </w:rPr>
      </w:pPr>
      <w:r>
        <w:rPr>
          <w:rFonts w:hint="eastAsia" w:ascii="黑体" w:hAnsi="黑体" w:eastAsia="黑体" w:cs="黑体"/>
          <w:bCs/>
          <w:kern w:val="0"/>
          <w:sz w:val="32"/>
          <w:szCs w:val="32"/>
        </w:rPr>
        <w:t>二、机构设置及决算单位构成</w:t>
      </w:r>
    </w:p>
    <w:p>
      <w:pPr>
        <w:widowControl/>
        <w:spacing w:line="600" w:lineRule="exact"/>
      </w:pPr>
      <w:r>
        <w:rPr>
          <w:rFonts w:hint="eastAsia" w:ascii="Times New Roman" w:hAnsi="Times New Roman" w:eastAsia="仿宋_GB2312" w:cs="仿宋_GB2312"/>
          <w:bCs/>
          <w:kern w:val="0"/>
          <w:sz w:val="32"/>
          <w:szCs w:val="32"/>
        </w:rPr>
        <w:t>（一）内设机构设置。市疾控中心设置13个内设机构：综合部、人事部、质量控制部、财务部、急性传染病防治部、免疫规划部、性病艾滋病防治部、结核病防治部、血吸虫病防治部、健康教育部、职业卫生防治部、卫生监测部、检验部。（《关于市疾病预防控制中心机构编制调整的通知》岳编办函〔2020〕112号）。</w:t>
      </w:r>
    </w:p>
    <w:p>
      <w:pPr>
        <w:widowControl/>
        <w:spacing w:line="600" w:lineRule="exact"/>
        <w:rPr>
          <w:rFonts w:ascii="仿宋_GB2312" w:eastAsia="仿宋_GB2312" w:hAnsiTheme="minorEastAsia"/>
          <w:sz w:val="28"/>
          <w:szCs w:val="32"/>
        </w:rPr>
      </w:pPr>
      <w:r>
        <w:rPr>
          <w:rFonts w:hint="eastAsia" w:ascii="Times New Roman" w:hAnsi="Times New Roman" w:eastAsia="仿宋_GB2312" w:cs="仿宋_GB2312"/>
          <w:bCs/>
          <w:kern w:val="0"/>
          <w:sz w:val="32"/>
          <w:szCs w:val="32"/>
        </w:rPr>
        <w:t>（二）决算单位构成。本单位无独立核算的下属单位，2023年度部门决算汇总公开单位仅包括岳阳市疾病预防控制中心单位本级。</w:t>
      </w:r>
    </w:p>
    <w:p/>
    <w:p>
      <w:pPr>
        <w:pStyle w:val="2"/>
      </w:pPr>
    </w:p>
    <w:p>
      <w:pPr>
        <w:pStyle w:val="3"/>
        <w:ind w:firstLine="480"/>
      </w:pPr>
    </w:p>
    <w:p/>
    <w:p>
      <w:pPr>
        <w:pStyle w:val="2"/>
      </w:pPr>
    </w:p>
    <w:p>
      <w:pPr>
        <w:pStyle w:val="3"/>
        <w:ind w:firstLine="480"/>
      </w:pPr>
    </w:p>
    <w:p/>
    <w:p>
      <w:pPr>
        <w:pStyle w:val="2"/>
      </w:pPr>
    </w:p>
    <w:p>
      <w:pPr>
        <w:pStyle w:val="3"/>
        <w:ind w:firstLine="480"/>
      </w:pPr>
    </w:p>
    <w:p/>
    <w:p>
      <w:pPr>
        <w:pStyle w:val="2"/>
      </w:pPr>
    </w:p>
    <w:p>
      <w:pPr>
        <w:pStyle w:val="3"/>
        <w:ind w:firstLine="480"/>
      </w:pPr>
    </w:p>
    <w:p/>
    <w:p>
      <w:pPr>
        <w:pStyle w:val="2"/>
      </w:pPr>
    </w:p>
    <w:p>
      <w:pPr>
        <w:pStyle w:val="3"/>
        <w:ind w:firstLine="480"/>
      </w:pPr>
    </w:p>
    <w:p/>
    <w:p>
      <w:pPr>
        <w:pStyle w:val="2"/>
      </w:pPr>
    </w:p>
    <w:p>
      <w:pPr>
        <w:pStyle w:val="3"/>
        <w:ind w:firstLine="480"/>
      </w:pPr>
    </w:p>
    <w:p/>
    <w:p>
      <w:pPr>
        <w:pStyle w:val="2"/>
      </w:pPr>
    </w:p>
    <w:p>
      <w:pPr>
        <w:pStyle w:val="3"/>
        <w:ind w:firstLine="480"/>
      </w:pPr>
    </w:p>
    <w:p/>
    <w:p>
      <w:pPr>
        <w:pStyle w:val="2"/>
      </w:pPr>
    </w:p>
    <w:p>
      <w:pPr>
        <w:pStyle w:val="3"/>
        <w:ind w:firstLine="480"/>
      </w:pPr>
    </w:p>
    <w:p/>
    <w:p>
      <w:pPr>
        <w:pStyle w:val="12"/>
        <w:jc w:val="center"/>
        <w:rPr>
          <w:rFonts w:ascii="方正小标宋_GBK" w:hAnsi="方正小标宋_GBK" w:eastAsia="方正小标宋_GBK" w:cs="方正小标宋_GBK"/>
          <w:sz w:val="84"/>
          <w:szCs w:val="84"/>
        </w:rPr>
      </w:pPr>
    </w:p>
    <w:p>
      <w:pPr>
        <w:pStyle w:val="12"/>
        <w:jc w:val="center"/>
        <w:rPr>
          <w:rFonts w:ascii="方正小标宋_GBK" w:hAnsi="方正小标宋_GBK" w:eastAsia="方正小标宋_GBK" w:cs="方正小标宋_GBK"/>
          <w:sz w:val="84"/>
          <w:szCs w:val="84"/>
        </w:rPr>
      </w:pPr>
    </w:p>
    <w:p>
      <w:pPr>
        <w:pStyle w:val="12"/>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2"/>
        <w:jc w:val="center"/>
        <w:rPr>
          <w:rFonts w:ascii="方正小标宋_GBK" w:hAnsi="方正小标宋_GBK" w:eastAsia="方正小标宋_GBK" w:cs="方正小标宋_GBK"/>
          <w:sz w:val="84"/>
          <w:szCs w:val="84"/>
        </w:rPr>
      </w:pPr>
    </w:p>
    <w:p>
      <w:pPr>
        <w:pStyle w:val="12"/>
        <w:jc w:val="center"/>
        <w:rPr>
          <w:rFonts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2"/>
        <w:jc w:val="center"/>
        <w:rPr>
          <w:rFonts w:ascii="仿宋_GB2312" w:hAnsi="仿宋_GB2312" w:eastAsia="仿宋_GB2312" w:cs="仿宋_GB2312"/>
          <w:sz w:val="72"/>
          <w:szCs w:val="72"/>
        </w:rPr>
      </w:pPr>
      <w:r>
        <w:rPr>
          <w:rFonts w:hint="eastAsia" w:ascii="仿宋_GB2312" w:hAnsi="仿宋_GB2312" w:eastAsia="仿宋_GB2312" w:cs="仿宋_GB2312"/>
          <w:sz w:val="72"/>
          <w:szCs w:val="72"/>
        </w:rPr>
        <w:t>（见附件）</w:t>
      </w:r>
    </w:p>
    <w:p>
      <w:pPr>
        <w:pStyle w:val="12"/>
        <w:jc w:val="center"/>
        <w:rPr>
          <w:rFonts w:ascii="仿宋_GB2312" w:hAnsi="仿宋_GB2312" w:eastAsia="仿宋_GB2312" w:cs="仿宋_GB2312"/>
          <w:sz w:val="72"/>
          <w:szCs w:val="72"/>
        </w:rPr>
      </w:pPr>
    </w:p>
    <w:p>
      <w:pPr>
        <w:pStyle w:val="12"/>
        <w:jc w:val="center"/>
        <w:rPr>
          <w:rFonts w:ascii="仿宋_GB2312" w:hAnsi="仿宋_GB2312" w:eastAsia="仿宋_GB2312" w:cs="仿宋_GB2312"/>
          <w:sz w:val="72"/>
          <w:szCs w:val="72"/>
        </w:rPr>
      </w:pPr>
    </w:p>
    <w:p>
      <w:pPr>
        <w:pStyle w:val="12"/>
        <w:jc w:val="center"/>
        <w:rPr>
          <w:rFonts w:ascii="仿宋_GB2312" w:hAnsi="仿宋_GB2312" w:eastAsia="仿宋_GB2312" w:cs="仿宋_GB2312"/>
          <w:sz w:val="72"/>
          <w:szCs w:val="72"/>
        </w:rPr>
      </w:pPr>
    </w:p>
    <w:p>
      <w:pPr>
        <w:pStyle w:val="12"/>
        <w:jc w:val="center"/>
        <w:rPr>
          <w:rFonts w:ascii="仿宋_GB2312" w:hAnsi="仿宋_GB2312" w:eastAsia="仿宋_GB2312" w:cs="仿宋_GB2312"/>
          <w:sz w:val="72"/>
          <w:szCs w:val="72"/>
        </w:rPr>
      </w:pPr>
    </w:p>
    <w:p>
      <w:pPr>
        <w:pStyle w:val="12"/>
        <w:jc w:val="center"/>
        <w:rPr>
          <w:rFonts w:ascii="仿宋_GB2312" w:hAnsi="仿宋_GB2312" w:eastAsia="仿宋_GB2312" w:cs="仿宋_GB2312"/>
          <w:sz w:val="72"/>
          <w:szCs w:val="72"/>
        </w:rPr>
      </w:pPr>
    </w:p>
    <w:p>
      <w:pPr>
        <w:pStyle w:val="12"/>
        <w:jc w:val="center"/>
        <w:rPr>
          <w:rFonts w:ascii="仿宋_GB2312" w:hAnsi="仿宋_GB2312" w:eastAsia="仿宋_GB2312" w:cs="仿宋_GB2312"/>
          <w:sz w:val="72"/>
          <w:szCs w:val="72"/>
        </w:rPr>
      </w:pPr>
    </w:p>
    <w:p>
      <w:pPr>
        <w:pStyle w:val="12"/>
        <w:jc w:val="center"/>
        <w:rPr>
          <w:rFonts w:ascii="仿宋_GB2312" w:hAnsi="仿宋_GB2312" w:eastAsia="仿宋_GB2312" w:cs="仿宋_GB2312"/>
          <w:sz w:val="72"/>
          <w:szCs w:val="72"/>
        </w:rPr>
      </w:pPr>
    </w:p>
    <w:p>
      <w:pPr>
        <w:pStyle w:val="12"/>
        <w:jc w:val="center"/>
        <w:rPr>
          <w:rFonts w:ascii="方正小标宋_GBK" w:hAnsi="方正小标宋_GBK" w:eastAsia="方正小标宋_GBK" w:cs="方正小标宋_GBK"/>
          <w:sz w:val="72"/>
          <w:szCs w:val="72"/>
        </w:rPr>
      </w:pPr>
    </w:p>
    <w:p>
      <w:pPr>
        <w:pStyle w:val="12"/>
        <w:jc w:val="center"/>
        <w:rPr>
          <w:rFonts w:ascii="方正小标宋_GBK" w:hAnsi="方正小标宋_GBK" w:eastAsia="方正小标宋_GBK" w:cs="方正小标宋_GBK"/>
          <w:sz w:val="72"/>
          <w:szCs w:val="72"/>
        </w:rPr>
      </w:pPr>
    </w:p>
    <w:p>
      <w:pPr>
        <w:pStyle w:val="12"/>
        <w:jc w:val="both"/>
        <w:rPr>
          <w:rFonts w:ascii="方正小标宋_GBK" w:hAnsi="方正小标宋_GBK" w:eastAsia="方正小标宋_GBK" w:cs="方正小标宋_GBK"/>
          <w:sz w:val="72"/>
          <w:szCs w:val="72"/>
        </w:rPr>
      </w:pPr>
    </w:p>
    <w:p>
      <w:pPr>
        <w:pStyle w:val="12"/>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2"/>
        <w:jc w:val="center"/>
        <w:rPr>
          <w:rFonts w:ascii="方正小标宋_GBK" w:hAnsi="方正小标宋_GBK" w:eastAsia="方正小标宋_GBK" w:cs="方正小标宋_GBK"/>
          <w:sz w:val="70"/>
          <w:szCs w:val="70"/>
        </w:rPr>
      </w:pPr>
    </w:p>
    <w:p>
      <w:pPr>
        <w:pStyle w:val="12"/>
        <w:jc w:val="center"/>
        <w:rPr>
          <w:rFonts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2023年度部门决算情况说明</w:t>
      </w:r>
    </w:p>
    <w:p>
      <w:pPr>
        <w:pStyle w:val="12"/>
        <w:jc w:val="center"/>
        <w:rPr>
          <w:rFonts w:ascii="方正小标宋_GBK" w:hAnsi="方正小标宋_GBK" w:eastAsia="方正小标宋_GBK" w:cs="方正小标宋_GBK"/>
          <w:sz w:val="70"/>
          <w:szCs w:val="70"/>
        </w:rPr>
      </w:pPr>
    </w:p>
    <w:p>
      <w:pPr>
        <w:pStyle w:val="12"/>
        <w:jc w:val="center"/>
        <w:rPr>
          <w:rFonts w:ascii="方正小标宋_GBK" w:hAnsi="方正小标宋_GBK" w:eastAsia="方正小标宋_GBK" w:cs="方正小标宋_GBK"/>
          <w:sz w:val="70"/>
          <w:szCs w:val="70"/>
        </w:rPr>
      </w:pPr>
    </w:p>
    <w:p>
      <w:pPr>
        <w:pStyle w:val="12"/>
        <w:jc w:val="center"/>
        <w:rPr>
          <w:rFonts w:ascii="方正小标宋_GBK" w:hAnsi="方正小标宋_GBK" w:eastAsia="方正小标宋_GBK" w:cs="方正小标宋_GBK"/>
          <w:sz w:val="70"/>
          <w:szCs w:val="70"/>
        </w:rPr>
      </w:pPr>
    </w:p>
    <w:p>
      <w:pPr>
        <w:pStyle w:val="12"/>
        <w:jc w:val="center"/>
        <w:rPr>
          <w:rFonts w:ascii="方正小标宋_GBK" w:hAnsi="方正小标宋_GBK" w:eastAsia="方正小标宋_GBK" w:cs="方正小标宋_GBK"/>
          <w:sz w:val="70"/>
          <w:szCs w:val="70"/>
        </w:rPr>
      </w:pPr>
    </w:p>
    <w:p>
      <w:pPr>
        <w:pStyle w:val="12"/>
        <w:jc w:val="center"/>
        <w:rPr>
          <w:rFonts w:ascii="方正小标宋_GBK" w:hAnsi="方正小标宋_GBK" w:eastAsia="方正小标宋_GBK" w:cs="方正小标宋_GBK"/>
          <w:sz w:val="70"/>
          <w:szCs w:val="70"/>
        </w:rPr>
      </w:pPr>
    </w:p>
    <w:p>
      <w:pPr>
        <w:pStyle w:val="12"/>
        <w:jc w:val="center"/>
        <w:rPr>
          <w:rFonts w:ascii="方正小标宋_GBK" w:hAnsi="方正小标宋_GBK" w:eastAsia="方正小标宋_GBK" w:cs="方正小标宋_GBK"/>
          <w:sz w:val="70"/>
          <w:szCs w:val="70"/>
        </w:rPr>
      </w:pPr>
    </w:p>
    <w:p>
      <w:pPr>
        <w:widowControl/>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说明：1、由于部门决算编制时数据明细至“金额单位：元”，而本套部门决算文字说明和公开表格数据取数转换为“金额单位：万元”，可能导致以下文字说明中的各项数据取数以及公开表格中的各项数据取数之间存在0.01的尾数差异。2、以下文字说明中，部分科目由于预算数为0，无法计算完成年初预算的百分比，故未描述“完成年初预算的XX%”。）</w:t>
      </w:r>
    </w:p>
    <w:p>
      <w:pPr>
        <w:pStyle w:val="12"/>
        <w:spacing w:line="600" w:lineRule="exact"/>
        <w:ind w:firstLine="640" w:firstLineChars="200"/>
        <w:rPr>
          <w:rFonts w:hAnsi="黑体"/>
          <w:bCs/>
          <w:sz w:val="32"/>
          <w:szCs w:val="32"/>
        </w:rPr>
      </w:pPr>
      <w:r>
        <w:rPr>
          <w:rFonts w:hint="eastAsia" w:hAnsi="黑体"/>
          <w:bCs/>
          <w:sz w:val="32"/>
          <w:szCs w:val="32"/>
        </w:rPr>
        <w:t>一、收入支出决算总体情况说明</w:t>
      </w:r>
    </w:p>
    <w:p>
      <w:pPr>
        <w:autoSpaceDE w:val="0"/>
        <w:autoSpaceDN w:val="0"/>
        <w:adjustRightInd w:val="0"/>
        <w:ind w:firstLine="640" w:firstLineChars="200"/>
        <w:rPr>
          <w:rFonts w:ascii="仿宋_GB2312" w:hAnsi="仿宋_GB2312" w:eastAsia="仿宋_GB2312" w:cs="仿宋_GB2312"/>
          <w:i/>
          <w:iCs/>
          <w:color w:val="000000"/>
          <w:kern w:val="0"/>
          <w:sz w:val="32"/>
          <w:szCs w:val="32"/>
        </w:rPr>
      </w:pPr>
      <w:r>
        <w:rPr>
          <w:rFonts w:hint="eastAsia" w:ascii="仿宋_GB2312" w:hAnsi="仿宋_GB2312" w:eastAsia="仿宋_GB2312" w:cs="仿宋_GB2312"/>
          <w:sz w:val="32"/>
          <w:szCs w:val="32"/>
        </w:rPr>
        <w:t>2023年度收、支总计3119.63万元。与上年相比，减少489.78万元，减少13.57%，主要是因为2022年实验室能力建设支出金额较大及2023年12月预算管理一体化系统故障提前关账，部分资金待2024年支付。</w:t>
      </w:r>
    </w:p>
    <w:p>
      <w:pPr>
        <w:pStyle w:val="12"/>
        <w:spacing w:line="600" w:lineRule="exact"/>
        <w:ind w:firstLine="640" w:firstLineChars="200"/>
        <w:rPr>
          <w:rFonts w:hAnsi="黑体"/>
          <w:bCs/>
          <w:sz w:val="32"/>
          <w:szCs w:val="32"/>
        </w:rPr>
      </w:pPr>
      <w:r>
        <w:rPr>
          <w:rFonts w:hint="eastAsia" w:hAnsi="黑体"/>
          <w:bCs/>
          <w:sz w:val="32"/>
          <w:szCs w:val="32"/>
        </w:rPr>
        <w:t>二、收入决算情况说明</w:t>
      </w:r>
    </w:p>
    <w:p>
      <w:pPr>
        <w:pStyle w:val="12"/>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2023年度收入合计3119.63万元，其中：财政拨款收入3061.84万元，占98.15%；上级补助收入0万元，占0%；事业收入0万元，占0%；经营收入0万元，占0%；附属单位上缴收入0万元，占0%；其他收入57.79万元，占1.85%。</w:t>
      </w:r>
    </w:p>
    <w:p>
      <w:pPr>
        <w:pStyle w:val="12"/>
        <w:spacing w:line="600" w:lineRule="exact"/>
        <w:ind w:firstLine="640" w:firstLineChars="200"/>
        <w:rPr>
          <w:rFonts w:hAnsi="黑体"/>
          <w:bCs/>
          <w:sz w:val="32"/>
          <w:szCs w:val="32"/>
        </w:rPr>
      </w:pPr>
      <w:r>
        <w:rPr>
          <w:rFonts w:hint="eastAsia" w:hAnsi="黑体"/>
          <w:bCs/>
          <w:sz w:val="32"/>
          <w:szCs w:val="32"/>
        </w:rPr>
        <w:t>三、支出决算情况说明</w:t>
      </w:r>
    </w:p>
    <w:p>
      <w:pPr>
        <w:pStyle w:val="12"/>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2023年度支出合计3116.44万元，其中：基本支出2031.77万元，占65.2%；项目支出1084.67万元，占34.8%；上缴上级支出0万元，占0%；经营支出0万元，占0%；对附属单位补助支出0万元，占0%。</w:t>
      </w:r>
    </w:p>
    <w:p>
      <w:pPr>
        <w:pStyle w:val="12"/>
        <w:spacing w:line="600" w:lineRule="exact"/>
        <w:ind w:firstLine="640" w:firstLineChars="200"/>
        <w:rPr>
          <w:rFonts w:hAnsi="黑体"/>
          <w:bCs/>
          <w:sz w:val="32"/>
          <w:szCs w:val="32"/>
        </w:rPr>
      </w:pPr>
      <w:r>
        <w:rPr>
          <w:rFonts w:hint="eastAsia" w:hAnsi="黑体"/>
          <w:bCs/>
          <w:sz w:val="32"/>
          <w:szCs w:val="32"/>
        </w:rPr>
        <w:t>四、财政拨款收入支出决算总体情况说明</w:t>
      </w:r>
    </w:p>
    <w:p>
      <w:pPr>
        <w:pStyle w:val="12"/>
        <w:spacing w:line="600" w:lineRule="exact"/>
        <w:rPr>
          <w:rFonts w:ascii="仿宋_GB2312" w:hAnsi="仿宋_GB2312" w:eastAsia="仿宋_GB2312" w:cs="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2023年度财政拨款收、支总计3061.84万元，与上年相比，减少427.89万元,减少12.26%，主要是因为2022年财政下拨实验室能力建设资金500多万，2023年没有这部分经费。</w:t>
      </w:r>
    </w:p>
    <w:p>
      <w:pPr>
        <w:pStyle w:val="12"/>
        <w:spacing w:line="600" w:lineRule="exact"/>
        <w:ind w:firstLine="640" w:firstLineChars="200"/>
        <w:rPr>
          <w:rFonts w:hAnsi="黑体"/>
          <w:bCs/>
          <w:sz w:val="32"/>
          <w:szCs w:val="32"/>
        </w:rPr>
      </w:pPr>
      <w:r>
        <w:rPr>
          <w:rFonts w:hint="eastAsia" w:hAnsi="黑体"/>
          <w:bCs/>
          <w:sz w:val="32"/>
          <w:szCs w:val="32"/>
        </w:rPr>
        <w:t>五、一般公共预算财政拨款支出决算情况说明</w:t>
      </w:r>
    </w:p>
    <w:p>
      <w:pPr>
        <w:pStyle w:val="12"/>
        <w:spacing w:line="6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（一）一般公共预算财政拨款支出决算总体情况</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2023年度财政拨款支出3061.84万元，占本年支出合计的98.25%，与上年相比，财政拨款支出减少427.89万元，减少12.26%，主要是因为2022年财政下拨实验室能力建设资金500多万，2023年没有这部分经费。</w:t>
      </w:r>
    </w:p>
    <w:p>
      <w:pPr>
        <w:pStyle w:val="12"/>
        <w:spacing w:line="60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（二）一般公共预算财政拨款支出决算结构情况</w:t>
      </w:r>
    </w:p>
    <w:p>
      <w:pPr>
        <w:pStyle w:val="12"/>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2023年度财政拨款支出3061.84万元，主要用于以下方面：社会保障和就业支出146.96万元，占4.8%；卫生健康支出2792.73万元，占91.21%;住房保障支出122.15万元，占3.99%。</w:t>
      </w:r>
    </w:p>
    <w:p>
      <w:pPr>
        <w:pStyle w:val="12"/>
        <w:spacing w:line="60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（三）一般公共预算财政拨款支出决算具体情况</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2023年度财政拨款支出年初预算数为2044.5万元，支出决算数为3061.84万元，完成年初预算的149.76%，其中：</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1、社会保障和就业支出（类）行政事业单位养老支出（款）机关事业单位基本养老保险缴费支出（项）。</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年初预算为126.29万元，支出决算为126.29万元，完成年初预算的100%。</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2、社会保障和就业支出（类）抚恤（款）其他优抚支出（项）。</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年初预算为0万元，支出决算为6.69万元，决算数大于年初预算数的主要原因是：</w:t>
      </w:r>
      <w:r>
        <w:rPr>
          <w:rFonts w:hint="eastAsia" w:ascii="Times New Roman" w:hAnsi="Times New Roman" w:eastAsia="仿宋_GB2312"/>
          <w:sz w:val="32"/>
          <w:szCs w:val="32"/>
        </w:rPr>
        <w:t>两名退休职工离世。</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3、社会保障和就业支出（类）残疾人事业（款）其他残疾人事业支出（项）。</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年初预算为10.31万元，支出决算为10.31万元，完成年初预算的100%。</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4、社会保障和就业支出（类）其他社会保障和就业支出（款）其他社会保障和就业支出（项）。</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年初预算为3.82万元，支出决算为3.67万元，完成年初预算的96.07%，决算数小于年初预算数的主要原因是：2023年有职工离职及退休。</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5、卫生健康支出（类）基层医疗卫生机构（款）其他基层医疗卫生机构支出（项）。</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年初预算为0万元，支出决算为46.4万元，决算数大于年初预算数的主要原因是：</w:t>
      </w:r>
      <w:r>
        <w:rPr>
          <w:rFonts w:hint="eastAsia" w:ascii="Times New Roman" w:hAnsi="Times New Roman" w:eastAsia="仿宋_GB2312"/>
          <w:sz w:val="32"/>
          <w:szCs w:val="32"/>
        </w:rPr>
        <w:t>中央省级上年项目资金结转结余的支出。</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6、卫生健康支出（类）公共卫生（款）疾病预防控制机构（项）。</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年初预算为1781.06万元，支出决算为2107.64万元，完成年初预算的118.34%，决算数大于年初预算数的主要原因是：</w:t>
      </w:r>
      <w:r>
        <w:rPr>
          <w:rFonts w:hint="eastAsia" w:ascii="Times New Roman" w:hAnsi="Times New Roman" w:eastAsia="仿宋_GB2312"/>
          <w:sz w:val="32"/>
          <w:szCs w:val="32"/>
        </w:rPr>
        <w:t>单位当年新进职工及年底人员经费补差等。</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7、卫生健康支出（类）公共卫生（款）重大公共卫生服务（项）。</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年初预算为0万元，支出决算为330.75万元，决算数大于年初预算数的主要原因是：</w:t>
      </w:r>
      <w:r>
        <w:rPr>
          <w:rFonts w:hint="eastAsia" w:ascii="Times New Roman" w:hAnsi="Times New Roman" w:eastAsia="仿宋_GB2312"/>
          <w:sz w:val="32"/>
          <w:szCs w:val="32"/>
        </w:rPr>
        <w:t>中央省当年下拨项目资金及上年项目资金结转结余的支出。</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8、卫生健康支出（类）公共卫生（款）突发公共卫生事件应急处理（项）。</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年初预算为0万元，支出决算为0.5万元，决算数大于年初预算数的主要原因是：</w:t>
      </w:r>
      <w:r>
        <w:rPr>
          <w:rFonts w:hint="eastAsia" w:ascii="Times New Roman" w:hAnsi="Times New Roman" w:eastAsia="仿宋_GB2312"/>
          <w:sz w:val="32"/>
          <w:szCs w:val="32"/>
        </w:rPr>
        <w:t>中央省级当年下拨项目资金的支出。</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9、卫生健康支出（类）公共卫生（款）其他公共卫生支出（项）。</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年初预算为0万元，支出决算为24.35万元，决算数大于年初预算数的主要原因是：</w:t>
      </w:r>
      <w:r>
        <w:rPr>
          <w:rFonts w:hint="eastAsia" w:ascii="Times New Roman" w:hAnsi="Times New Roman" w:eastAsia="仿宋_GB2312"/>
          <w:sz w:val="32"/>
          <w:szCs w:val="32"/>
        </w:rPr>
        <w:t>中央省当年下拨项目资金及上年项目资金结转结余的支出。</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10、卫生健康支出（类）其他卫生健康支出（款）其他卫生健康支出（项）。</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年初预算为0万元，支出决算为283.09万元，决算数大于年初预算数的主要原因是：</w:t>
      </w:r>
      <w:r>
        <w:rPr>
          <w:rFonts w:hint="eastAsia" w:ascii="Times New Roman" w:hAnsi="Times New Roman" w:eastAsia="仿宋_GB2312"/>
          <w:sz w:val="32"/>
          <w:szCs w:val="32"/>
        </w:rPr>
        <w:t>中央省当年下拨项目资金及上年项目资金结转结余的支出。</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11、住房保障支出（类）住房改革支出（款）住房公积金（项）。</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年初预算为123.02万元，支出决算为122.15万元，完成年初预算的99.29%，决算数小于年初预算数的主要原因是：2023年有职工离职及退休。</w:t>
      </w:r>
    </w:p>
    <w:p>
      <w:pPr>
        <w:pStyle w:val="12"/>
        <w:spacing w:line="600" w:lineRule="exact"/>
        <w:ind w:firstLine="640" w:firstLineChars="200"/>
        <w:rPr>
          <w:rFonts w:hAnsi="黑体"/>
          <w:bCs/>
          <w:sz w:val="32"/>
          <w:szCs w:val="32"/>
        </w:rPr>
      </w:pPr>
      <w:r>
        <w:rPr>
          <w:rFonts w:hint="eastAsia" w:hAnsi="黑体"/>
          <w:bCs/>
          <w:sz w:val="32"/>
          <w:szCs w:val="32"/>
        </w:rPr>
        <w:t>六、一般公共预算财政拨款基本支出决算情况说明</w:t>
      </w:r>
    </w:p>
    <w:p>
      <w:pPr>
        <w:pStyle w:val="12"/>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2023年度财政拨款基本支出1977.17万元，其中：</w:t>
      </w:r>
    </w:p>
    <w:p>
      <w:pPr>
        <w:pStyle w:val="12"/>
        <w:spacing w:line="600"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1910.77万元，占基本支出的96.64%,主要包括基本工资、津贴补贴、奖金、伙食补助费、绩效工资、机关事业单位基本养老保险缴费、职工基本医疗保险缴费、其他社会保障缴费、住房公积金、医疗费、退休费、抚恤金、医疗费补助、奖励金、其他对个人和家庭的补助。</w:t>
      </w:r>
    </w:p>
    <w:p>
      <w:pPr>
        <w:autoSpaceDE w:val="0"/>
        <w:autoSpaceDN w:val="0"/>
        <w:adjustRightInd w:val="0"/>
        <w:spacing w:line="60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rPr>
        <w:t>66.4万元，占基本支出的3.36%，主要包括办公费、印刷费、邮电费、差旅费、维修（护）费、培训费、公务接待费、劳务费、工会经费、其他交通费用、其他商品和服务支出。</w:t>
      </w:r>
    </w:p>
    <w:p>
      <w:pPr>
        <w:pStyle w:val="12"/>
        <w:spacing w:line="600" w:lineRule="exact"/>
        <w:ind w:firstLine="640" w:firstLineChars="200"/>
        <w:rPr>
          <w:rFonts w:hAnsi="黑体"/>
          <w:bCs/>
          <w:sz w:val="32"/>
          <w:szCs w:val="32"/>
        </w:rPr>
      </w:pPr>
      <w:r>
        <w:rPr>
          <w:rFonts w:hint="eastAsia" w:hAnsi="黑体"/>
          <w:bCs/>
          <w:sz w:val="32"/>
          <w:szCs w:val="32"/>
        </w:rPr>
        <w:t>七、政府性基金预算收入支出决算情况</w:t>
      </w:r>
    </w:p>
    <w:p>
      <w:pPr>
        <w:pStyle w:val="12"/>
        <w:spacing w:line="600" w:lineRule="exact"/>
        <w:rPr>
          <w:rFonts w:ascii="仿宋_GB2312" w:hAnsi="仿宋_GB2312" w:eastAsia="仿宋_GB2312" w:cs="仿宋_GB2312"/>
          <w:b/>
          <w:bCs/>
          <w:i/>
          <w:color w:val="auto"/>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2023年度政府性基金预算财政拨款收入0万元；年初结转和结余0万元；支出0万元，其中基本支出0万元，项目支出0万元；年末结转和结余0万元。</w:t>
      </w:r>
    </w:p>
    <w:p>
      <w:pPr>
        <w:autoSpaceDE w:val="0"/>
        <w:autoSpaceDN w:val="0"/>
        <w:adjustRightInd w:val="0"/>
        <w:spacing w:line="600" w:lineRule="exact"/>
        <w:ind w:firstLine="640" w:firstLineChars="200"/>
        <w:rPr>
          <w:rFonts w:ascii="黑体" w:hAnsi="黑体" w:eastAsia="黑体" w:cs="黑体"/>
          <w:bCs/>
          <w:color w:val="000000"/>
          <w:kern w:val="0"/>
          <w:sz w:val="32"/>
          <w:szCs w:val="32"/>
        </w:rPr>
      </w:pPr>
      <w:r>
        <w:rPr>
          <w:rFonts w:hint="eastAsia" w:ascii="黑体" w:hAnsi="黑体" w:eastAsia="黑体" w:cs="黑体"/>
          <w:bCs/>
          <w:color w:val="000000"/>
          <w:kern w:val="0"/>
          <w:sz w:val="32"/>
          <w:szCs w:val="32"/>
        </w:rPr>
        <w:t>八、国有资本经营预算财政拨款支出决算情况</w:t>
      </w:r>
    </w:p>
    <w:p>
      <w:pPr>
        <w:autoSpaceDE w:val="0"/>
        <w:autoSpaceDN w:val="0"/>
        <w:adjustRightInd w:val="0"/>
        <w:ind w:firstLine="640" w:firstLineChars="200"/>
        <w:rPr>
          <w:rFonts w:ascii="黑体" w:hAnsi="黑体" w:eastAsia="黑体" w:cs="黑体"/>
          <w:bCs/>
          <w:sz w:val="32"/>
          <w:szCs w:val="32"/>
        </w:rPr>
      </w:pPr>
      <w:r>
        <w:rPr>
          <w:rFonts w:hint="eastAsia" w:ascii="仿宋_GB2312" w:hAnsi="仿宋_GB2312" w:eastAsia="仿宋_GB2312" w:cs="仿宋_GB2312"/>
          <w:color w:val="000000"/>
          <w:kern w:val="0"/>
          <w:sz w:val="32"/>
          <w:szCs w:val="32"/>
        </w:rPr>
        <w:t>2023年度国有资本经营预算财政拨款收入0万元；年初结转和结余0万；支出0万元；年末结转和结余0万元。</w:t>
      </w:r>
    </w:p>
    <w:p>
      <w:pPr>
        <w:pStyle w:val="12"/>
        <w:spacing w:line="600" w:lineRule="exact"/>
        <w:ind w:firstLine="640" w:firstLineChars="200"/>
        <w:rPr>
          <w:rFonts w:ascii="Times New Roman" w:hAnsi="Times New Roman" w:eastAsia="仿宋_GB2312"/>
          <w:b/>
          <w:sz w:val="32"/>
          <w:szCs w:val="32"/>
        </w:rPr>
      </w:pPr>
      <w:r>
        <w:rPr>
          <w:rFonts w:hint="eastAsia" w:hAnsi="黑体"/>
          <w:bCs/>
          <w:sz w:val="32"/>
          <w:szCs w:val="32"/>
        </w:rPr>
        <w:t>九、财政拨款三公经费支出决算情况说明</w:t>
      </w:r>
    </w:p>
    <w:p>
      <w:pPr>
        <w:pStyle w:val="12"/>
        <w:spacing w:line="600" w:lineRule="exact"/>
        <w:ind w:firstLine="640" w:firstLineChars="200"/>
        <w:rPr>
          <w:rFonts w:ascii="楷体" w:hAnsi="楷体" w:eastAsia="楷体" w:cs="楷体"/>
          <w:b/>
          <w:sz w:val="32"/>
          <w:szCs w:val="32"/>
        </w:rPr>
      </w:pPr>
      <w:r>
        <w:rPr>
          <w:rFonts w:hint="eastAsia" w:ascii="楷体" w:hAnsi="楷体" w:eastAsia="楷体" w:cs="楷体"/>
          <w:b/>
          <w:sz w:val="32"/>
          <w:szCs w:val="32"/>
        </w:rPr>
        <w:t>（一）“三公”经费财政拨款支出决算总体情况说明</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“三公”经费财政拨款支出预算为1.09万元，支出决算为1.09万元，完成预算的100%，与上年相比减少1.69万元，减少60.79%,减少的主要原因是公务接待费减少， 12月预算管理一体化系统故障提前关账，部分款项待2024年开账后支付。其中：</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因公出国（境）费支出预算为0万元，支出决算为0万元，决算数等于预算数，</w:t>
      </w:r>
      <w:r>
        <w:rPr>
          <w:rFonts w:hint="eastAsia" w:ascii="Times New Roman" w:hAnsi="Times New Roman" w:eastAsia="仿宋_GB2312"/>
          <w:sz w:val="32"/>
          <w:szCs w:val="32"/>
        </w:rPr>
        <w:t>主要原因是我单位严格按预算执行决算；与上年一致，无增减变动，主要原因是未安排因公出国（境）活动</w:t>
      </w:r>
      <w:r>
        <w:rPr>
          <w:rFonts w:hint="eastAsia" w:ascii="仿宋_GB2312" w:hAnsi="仿宋_GB2312" w:eastAsia="仿宋_GB2312" w:cs="仿宋_GB2312"/>
          <w:sz w:val="32"/>
          <w:szCs w:val="32"/>
        </w:rPr>
        <w:t>。</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公务接待费支出预算为1.09万元，支出决算为1.09万元，完成预算的100%，决算数等于预算数的主要原因是</w:t>
      </w:r>
      <w:r>
        <w:rPr>
          <w:rFonts w:hint="eastAsia" w:ascii="Times New Roman" w:hAnsi="Times New Roman" w:eastAsia="仿宋_GB2312"/>
          <w:sz w:val="32"/>
          <w:szCs w:val="32"/>
        </w:rPr>
        <w:t>我单位严格按预算执行决算</w:t>
      </w:r>
      <w:r>
        <w:rPr>
          <w:rFonts w:hint="eastAsia" w:ascii="仿宋_GB2312" w:hAnsi="仿宋_GB2312" w:eastAsia="仿宋_GB2312" w:cs="仿宋_GB2312"/>
          <w:sz w:val="32"/>
          <w:szCs w:val="32"/>
        </w:rPr>
        <w:t>，与上年相比减少1.69万元，减少60.79%,减少的主要原因是12月预算管理一体化系统故障提前关账，部分款项待2024年开账后支付。</w:t>
      </w:r>
    </w:p>
    <w:p>
      <w:pPr>
        <w:pStyle w:val="12"/>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公务用车购置费支出预算为0万元，支出决算为0万元，</w:t>
      </w:r>
      <w:r>
        <w:rPr>
          <w:rFonts w:hint="eastAsia" w:ascii="Times New Roman" w:hAnsi="Times New Roman" w:eastAsia="仿宋_GB2312"/>
          <w:sz w:val="32"/>
          <w:szCs w:val="32"/>
        </w:rPr>
        <w:t>决算数等于预算数，主要原因是我单位严格按预算执行决算；与上年一致，无增减变动，主要原因是两年均未购置公务用车</w:t>
      </w:r>
      <w:r>
        <w:rPr>
          <w:rFonts w:hint="eastAsia" w:ascii="仿宋_GB2312" w:hAnsi="仿宋_GB2312" w:eastAsia="仿宋_GB2312" w:cs="仿宋_GB2312"/>
          <w:sz w:val="32"/>
          <w:szCs w:val="32"/>
        </w:rPr>
        <w:t>。</w:t>
      </w:r>
    </w:p>
    <w:p>
      <w:pPr>
        <w:pStyle w:val="12"/>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公务用车运行维护费支出预算为0万元，支出决算为0万元，</w:t>
      </w:r>
      <w:r>
        <w:rPr>
          <w:rFonts w:hint="eastAsia" w:ascii="Times New Roman" w:hAnsi="Times New Roman" w:eastAsia="仿宋_GB2312"/>
          <w:sz w:val="32"/>
          <w:szCs w:val="32"/>
        </w:rPr>
        <w:t>决算数等于预算数，主要原因是我单位严格按预算执行决算；与上年一致，无增减变动，主要原因是两年均无公务用车需要运行维护。</w:t>
      </w:r>
    </w:p>
    <w:p>
      <w:pPr>
        <w:pStyle w:val="12"/>
        <w:spacing w:line="600" w:lineRule="exact"/>
        <w:ind w:firstLine="640" w:firstLineChars="200"/>
        <w:rPr>
          <w:rFonts w:ascii="楷体" w:hAnsi="楷体" w:eastAsia="楷体" w:cs="楷体"/>
          <w:b/>
          <w:sz w:val="32"/>
          <w:szCs w:val="32"/>
        </w:rPr>
      </w:pPr>
      <w:r>
        <w:rPr>
          <w:rFonts w:hint="eastAsia" w:ascii="楷体" w:hAnsi="楷体" w:eastAsia="楷体" w:cs="楷体"/>
          <w:b/>
          <w:sz w:val="32"/>
          <w:szCs w:val="32"/>
        </w:rPr>
        <w:t>（二）“三公”经费财政拨款支出决算具体情况说明</w:t>
      </w:r>
    </w:p>
    <w:p>
      <w:pPr>
        <w:pStyle w:val="12"/>
        <w:spacing w:line="600" w:lineRule="exact"/>
        <w:ind w:firstLine="640" w:firstLineChars="200"/>
        <w:rPr>
          <w:rFonts w:ascii="仿宋_GB2312" w:hAnsi="仿宋_GB2312" w:eastAsia="仿宋_GB2312" w:cs="仿宋_GB2312"/>
          <w:sz w:val="32"/>
          <w:szCs w:val="32"/>
        </w:rPr>
      </w:pPr>
      <w:r>
        <w:rPr>
          <w:rFonts w:hint="eastAsia" w:ascii="Times New Roman" w:hAnsi="Times New Roman" w:eastAsia="仿宋_GB2312"/>
          <w:sz w:val="32"/>
          <w:szCs w:val="32"/>
        </w:rPr>
        <w:t>2</w:t>
      </w:r>
      <w:r>
        <w:rPr>
          <w:rFonts w:hint="eastAsia" w:ascii="仿宋_GB2312" w:hAnsi="仿宋_GB2312" w:eastAsia="仿宋_GB2312" w:cs="仿宋_GB2312"/>
          <w:sz w:val="32"/>
          <w:szCs w:val="32"/>
        </w:rPr>
        <w:t>023年度“三公”经费财政拨款支出决算中，公务接待费支出决算1.09万元，占100%,因公出国（境）费支出决算0万元，占0%,公务用车购置费及运行维护费支出决算0万元，占0%。其中：</w:t>
      </w:r>
    </w:p>
    <w:p>
      <w:pPr>
        <w:pStyle w:val="12"/>
        <w:spacing w:line="600" w:lineRule="exact"/>
        <w:ind w:firstLine="640" w:firstLineChars="200"/>
        <w:rPr>
          <w:rFonts w:ascii="仿宋_GB2312" w:hAnsi="仿宋_GB2312" w:eastAsia="仿宋_GB2312" w:cs="仿宋_GB2312"/>
          <w:b/>
          <w:bCs/>
          <w:i/>
          <w:color w:val="auto"/>
          <w:sz w:val="32"/>
          <w:szCs w:val="32"/>
        </w:rPr>
      </w:pPr>
      <w:r>
        <w:rPr>
          <w:rFonts w:hint="eastAsia" w:ascii="仿宋_GB2312" w:hAnsi="仿宋_GB2312" w:eastAsia="仿宋_GB2312" w:cs="仿宋_GB2312"/>
          <w:sz w:val="32"/>
          <w:szCs w:val="32"/>
        </w:rPr>
        <w:t>1、因公出国（境）费支出决算为0万元，全年安排因公出国（境）团组0个，累计0人次</w:t>
      </w:r>
      <w:r>
        <w:rPr>
          <w:rFonts w:hint="eastAsia" w:ascii="仿宋_GB2312" w:hAnsi="仿宋_GB2312" w:eastAsia="仿宋_GB2312" w:cs="仿宋_GB2312"/>
          <w:b/>
          <w:bCs/>
          <w:i/>
          <w:color w:val="auto"/>
          <w:sz w:val="32"/>
          <w:szCs w:val="32"/>
        </w:rPr>
        <w:t>,</w:t>
      </w:r>
      <w:r>
        <w:rPr>
          <w:rFonts w:hint="eastAsia" w:ascii="Times New Roman" w:hAnsi="Times New Roman" w:eastAsia="仿宋_GB2312"/>
          <w:sz w:val="32"/>
          <w:szCs w:val="32"/>
        </w:rPr>
        <w:t>我单位2023年度无因公出国（境）费支出。</w:t>
      </w:r>
    </w:p>
    <w:p>
      <w:pPr>
        <w:pStyle w:val="12"/>
        <w:spacing w:line="60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2、公务接待费支出决算为1.09万元，全年共接待来访团组27个、来宾168人次，主要是迎接上级检查督导、其他地市工作交流以及县区疾控送样、工作联系</w:t>
      </w:r>
      <w:r>
        <w:rPr>
          <w:rFonts w:hint="eastAsia" w:ascii="Times New Roman" w:hAnsi="Times New Roman" w:eastAsia="仿宋_GB2312"/>
          <w:sz w:val="32"/>
          <w:szCs w:val="32"/>
        </w:rPr>
        <w:t>等发生的接待支</w:t>
      </w:r>
      <w:r>
        <w:rPr>
          <w:rFonts w:hint="eastAsia" w:ascii="仿宋_GB2312" w:hAnsi="仿宋_GB2312" w:eastAsia="仿宋_GB2312" w:cs="仿宋_GB2312"/>
          <w:sz w:val="32"/>
          <w:szCs w:val="32"/>
        </w:rPr>
        <w:t>出。</w:t>
      </w:r>
    </w:p>
    <w:p>
      <w:pPr>
        <w:spacing w:line="600" w:lineRule="exact"/>
        <w:ind w:firstLine="800" w:firstLineChars="250"/>
        <w:rPr>
          <w:rFonts w:ascii="仿宋_GB2312" w:hAnsi="仿宋_GB2312" w:eastAsia="仿宋_GB2312" w:cs="仿宋_GB2312"/>
          <w:b/>
          <w:bCs/>
          <w:i/>
          <w:kern w:val="0"/>
          <w:sz w:val="32"/>
          <w:szCs w:val="32"/>
        </w:rPr>
      </w:pPr>
      <w:r>
        <w:rPr>
          <w:rFonts w:hint="eastAsia" w:ascii="仿宋_GB2312" w:hAnsi="仿宋_GB2312" w:eastAsia="仿宋_GB2312" w:cs="仿宋_GB2312"/>
          <w:sz w:val="32"/>
          <w:szCs w:val="32"/>
        </w:rPr>
        <w:t>3、公务用车购置费及运行维护费支出决算为0万元，其中：公务用车购置费0万元，</w:t>
      </w:r>
      <w:r>
        <w:rPr>
          <w:rFonts w:hint="eastAsia" w:ascii="Times New Roman" w:hAnsi="Times New Roman" w:eastAsia="仿宋_GB2312"/>
          <w:sz w:val="32"/>
          <w:szCs w:val="32"/>
        </w:rPr>
        <w:t>当年没有购置公务用车</w:t>
      </w:r>
      <w:r>
        <w:rPr>
          <w:rFonts w:hint="eastAsia" w:ascii="仿宋_GB2312" w:hAnsi="仿宋_GB2312" w:eastAsia="仿宋_GB2312" w:cs="仿宋_GB2312"/>
          <w:color w:val="000000" w:themeColor="text1"/>
          <w:sz w:val="32"/>
          <w:szCs w:val="32"/>
        </w:rPr>
        <w:t>。</w:t>
      </w:r>
      <w:r>
        <w:rPr>
          <w:rFonts w:hint="eastAsia" w:ascii="仿宋_GB2312" w:hAnsi="仿宋_GB2312" w:eastAsia="仿宋_GB2312" w:cs="仿宋_GB2312"/>
          <w:sz w:val="32"/>
          <w:szCs w:val="32"/>
        </w:rPr>
        <w:t>公务用车运行维护费0万元，截止2023年12月31日，我单位开支财政拨款的公务用车保有量为3辆。</w:t>
      </w:r>
    </w:p>
    <w:p>
      <w:pPr>
        <w:pStyle w:val="12"/>
        <w:spacing w:line="600" w:lineRule="exact"/>
        <w:ind w:firstLine="640" w:firstLineChars="200"/>
        <w:rPr>
          <w:rFonts w:ascii="Times New Roman" w:hAnsi="Times New Roman" w:eastAsia="仿宋_GB2312"/>
          <w:b/>
          <w:color w:val="auto"/>
          <w:sz w:val="32"/>
          <w:szCs w:val="32"/>
        </w:rPr>
      </w:pPr>
      <w:r>
        <w:rPr>
          <w:rFonts w:hint="eastAsia" w:ascii="Times New Roman" w:hAnsi="Times New Roman" w:eastAsia="仿宋_GB2312"/>
          <w:b/>
          <w:color w:val="auto"/>
          <w:sz w:val="32"/>
          <w:szCs w:val="32"/>
        </w:rPr>
        <w:t>十、关于机关运行经费支出说明</w:t>
      </w:r>
    </w:p>
    <w:p>
      <w:pPr>
        <w:pStyle w:val="12"/>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本单位为事业单位，按照机关运行经费的口径，本年度机关运行经费为0</w:t>
      </w:r>
      <w:r>
        <w:rPr>
          <w:rFonts w:hint="eastAsia" w:ascii="楷体" w:hAnsi="楷体" w:eastAsia="楷体" w:cs="楷体"/>
          <w:sz w:val="32"/>
          <w:szCs w:val="32"/>
        </w:rPr>
        <w:t>。</w:t>
      </w:r>
    </w:p>
    <w:p>
      <w:pPr>
        <w:pStyle w:val="12"/>
        <w:spacing w:line="600" w:lineRule="exact"/>
        <w:ind w:firstLine="640" w:firstLineChars="200"/>
        <w:rPr>
          <w:rFonts w:hAnsi="黑体"/>
          <w:bCs/>
          <w:sz w:val="32"/>
          <w:szCs w:val="32"/>
        </w:rPr>
      </w:pPr>
      <w:r>
        <w:rPr>
          <w:rFonts w:hint="eastAsia" w:hAnsi="黑体"/>
          <w:bCs/>
          <w:sz w:val="32"/>
          <w:szCs w:val="32"/>
        </w:rPr>
        <w:t>十一、一般性支出情况说明</w:t>
      </w:r>
    </w:p>
    <w:p>
      <w:pPr>
        <w:pStyle w:val="12"/>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2023年年度，会议费年初预算3万元，支出决算为0.16万元，完成年初预算的5.33%。用于参加会议缴纳会务费。</w:t>
      </w:r>
    </w:p>
    <w:p>
      <w:pPr>
        <w:autoSpaceDE w:val="0"/>
        <w:autoSpaceDN w:val="0"/>
        <w:adjustRightInd w:val="0"/>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培训费年初预算3万元，支出决算为57.53万元，完成年初预算的1917.67%。主要原因是年初预算数计算口径为公用财政批复数，支出决算数计算口径为公用及项目经费支出数。用于开展22次培训，人数1100人，内容为血吸虫病防治、免疫规划能力提升、慢病工作健康与营养调查、结核病防控、地方病寄生虫病防治、重点传染病监测预警及网报管理、艾滋病性病丙肝综合防治培训等。</w:t>
      </w:r>
    </w:p>
    <w:p>
      <w:pPr>
        <w:autoSpaceDE w:val="0"/>
        <w:autoSpaceDN w:val="0"/>
        <w:adjustRightInd w:val="0"/>
        <w:ind w:firstLine="640" w:firstLineChars="200"/>
        <w:rPr>
          <w:rFonts w:ascii="仿宋_GB2312" w:hAnsi="仿宋_GB2312" w:eastAsia="仿宋_GB2312" w:cs="仿宋_GB2312"/>
          <w:b/>
          <w:bCs/>
          <w:i/>
          <w:color w:val="FF0000"/>
          <w:kern w:val="0"/>
          <w:sz w:val="32"/>
          <w:szCs w:val="32"/>
        </w:rPr>
      </w:pPr>
      <w:r>
        <w:rPr>
          <w:rFonts w:hint="eastAsia" w:ascii="Times New Roman" w:hAnsi="Times New Roman" w:eastAsia="仿宋_GB2312"/>
          <w:sz w:val="32"/>
          <w:szCs w:val="32"/>
        </w:rPr>
        <w:t>本单位无举办节庆、晚会、论坛、赛事等活动的预算和支出决算数</w:t>
      </w:r>
      <w:r>
        <w:rPr>
          <w:rFonts w:hint="eastAsia" w:ascii="仿宋_GB2312" w:hAnsi="仿宋_GB2312" w:eastAsia="仿宋_GB2312" w:cs="仿宋_GB2312"/>
          <w:color w:val="000000"/>
          <w:kern w:val="0"/>
          <w:sz w:val="32"/>
          <w:szCs w:val="32"/>
        </w:rPr>
        <w:t>。</w:t>
      </w:r>
    </w:p>
    <w:p>
      <w:pPr>
        <w:pStyle w:val="12"/>
        <w:spacing w:line="600" w:lineRule="exact"/>
        <w:ind w:firstLine="640" w:firstLineChars="200"/>
        <w:rPr>
          <w:rFonts w:hAnsi="黑体"/>
          <w:bCs/>
          <w:sz w:val="32"/>
          <w:szCs w:val="32"/>
        </w:rPr>
      </w:pPr>
      <w:r>
        <w:rPr>
          <w:rFonts w:hint="eastAsia" w:hAnsi="黑体"/>
          <w:bCs/>
          <w:sz w:val="32"/>
          <w:szCs w:val="32"/>
        </w:rPr>
        <w:t>十二、关于政府采购支出说明</w:t>
      </w:r>
    </w:p>
    <w:p>
      <w:pPr>
        <w:pStyle w:val="12"/>
        <w:spacing w:line="60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2023年度政府采购支出总额971.7万元，其中：政府采购货物支出718.08万元、政府采购工程支出91.63万元、政府采购服务支出161.99万元。授予中小企业合同金额964.99万元，占政府采购支出总额的99.31%，其中：授予小微企业合同金额704.86万元，</w:t>
      </w:r>
      <w:r>
        <w:rPr>
          <w:rFonts w:hint="eastAsia" w:ascii="仿宋_GB2312" w:hAnsi="仿宋_GB2312" w:eastAsia="仿宋_GB2312" w:cs="仿宋_GB2312"/>
          <w:color w:val="auto"/>
          <w:sz w:val="32"/>
          <w:szCs w:val="32"/>
        </w:rPr>
        <w:t>占授予中小企业合同金额的73.04%。货物采购授予中小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额占货物支出金额的100%，工程采购授予中小企业合同金额占工程支出金额的100%，服务采购授予中小企业合同金额占服务支出金额的95.86%。</w:t>
      </w:r>
    </w:p>
    <w:p>
      <w:pPr>
        <w:pStyle w:val="12"/>
        <w:spacing w:line="580" w:lineRule="exact"/>
        <w:ind w:firstLine="640" w:firstLineChars="200"/>
        <w:rPr>
          <w:rFonts w:hAnsi="黑体"/>
          <w:bCs/>
          <w:color w:val="auto"/>
          <w:sz w:val="32"/>
          <w:szCs w:val="32"/>
        </w:rPr>
      </w:pPr>
      <w:r>
        <w:rPr>
          <w:rFonts w:hint="eastAsia" w:hAnsi="黑体"/>
          <w:bCs/>
          <w:color w:val="auto"/>
          <w:sz w:val="32"/>
          <w:szCs w:val="32"/>
        </w:rPr>
        <w:t>十三、关于国有资产占用情况说明</w:t>
      </w:r>
    </w:p>
    <w:p>
      <w:pPr>
        <w:pStyle w:val="12"/>
        <w:spacing w:line="58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2023年12月31日，本单位共有车辆3辆，其中，副部（省）级及以上领导用车0辆、主要负责人用车0辆、机要通信用车0辆、应急保障用车0辆、执法执勤用车0辆、特种专业技术用车3辆、离退休干部服务用车0辆、其他用车0辆；单位价值100万元以上设备（不含车辆）6台（套）。</w:t>
      </w:r>
    </w:p>
    <w:p>
      <w:pPr>
        <w:pStyle w:val="12"/>
        <w:spacing w:line="580" w:lineRule="exact"/>
        <w:ind w:firstLine="640" w:firstLineChars="200"/>
        <w:rPr>
          <w:rFonts w:hAnsi="黑体"/>
          <w:bCs/>
          <w:color w:val="auto"/>
          <w:sz w:val="32"/>
          <w:szCs w:val="32"/>
        </w:rPr>
      </w:pPr>
      <w:r>
        <w:rPr>
          <w:rFonts w:hint="eastAsia" w:hAnsi="黑体"/>
          <w:bCs/>
          <w:color w:val="auto"/>
          <w:sz w:val="32"/>
          <w:szCs w:val="32"/>
        </w:rPr>
        <w:t>十四、关于</w:t>
      </w:r>
      <w:r>
        <w:rPr>
          <w:rFonts w:hint="eastAsia" w:ascii="Times New Roman" w:hAnsi="Times New Roman" w:eastAsia="仿宋_GB2312"/>
          <w:color w:val="auto"/>
          <w:sz w:val="32"/>
          <w:szCs w:val="32"/>
        </w:rPr>
        <w:t>2023</w:t>
      </w:r>
      <w:r>
        <w:rPr>
          <w:rFonts w:hint="eastAsia" w:hAnsi="黑体"/>
          <w:bCs/>
          <w:color w:val="auto"/>
          <w:sz w:val="32"/>
          <w:szCs w:val="32"/>
        </w:rPr>
        <w:t>年度预算绩效情况的说明</w:t>
      </w:r>
    </w:p>
    <w:p>
      <w:pPr>
        <w:pStyle w:val="12"/>
        <w:spacing w:line="58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（一）绩效管理工作开展情况</w:t>
      </w:r>
    </w:p>
    <w:p>
      <w:pPr>
        <w:autoSpaceDE w:val="0"/>
        <w:autoSpaceDN w:val="0"/>
        <w:adjustRightInd w:val="0"/>
        <w:spacing w:line="600" w:lineRule="exact"/>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根据预算绩效管理要求，我们组织对2023年度整体支出和项目资金实施了全覆盖性的绩效评价，撰写了绩效自评报告。</w:t>
      </w:r>
    </w:p>
    <w:p>
      <w:pPr>
        <w:autoSpaceDE w:val="0"/>
        <w:autoSpaceDN w:val="0"/>
        <w:adjustRightInd w:val="0"/>
        <w:spacing w:line="600" w:lineRule="exact"/>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组织开展整体支出绩效评价，涉及一般公共预算支出</w:t>
      </w:r>
      <w:r>
        <w:rPr>
          <w:rFonts w:hint="eastAsia" w:ascii="仿宋_GB2312" w:hAnsi="仿宋_GB2312" w:eastAsia="仿宋_GB2312" w:cs="仿宋_GB2312"/>
          <w:sz w:val="32"/>
          <w:szCs w:val="32"/>
        </w:rPr>
        <w:t>3061.84</w:t>
      </w:r>
      <w:r>
        <w:rPr>
          <w:rFonts w:hint="eastAsia" w:ascii="仿宋_GB2312" w:hAnsi="仿宋_GB2312" w:eastAsia="仿宋_GB2312" w:cs="仿宋_GB2312"/>
          <w:color w:val="000000"/>
          <w:kern w:val="0"/>
          <w:sz w:val="32"/>
          <w:szCs w:val="32"/>
        </w:rPr>
        <w:t>万元，政府性基金预算支出0万元，国有资本经营预算支出0万元。从评价情况来看，整体支出绩效评价中，2023年整体支出</w:t>
      </w:r>
      <w:r>
        <w:rPr>
          <w:rFonts w:hint="eastAsia" w:ascii="仿宋_GB2312" w:hAnsi="仿宋_GB2312" w:eastAsia="仿宋_GB2312" w:cs="仿宋_GB2312"/>
          <w:sz w:val="32"/>
          <w:szCs w:val="32"/>
        </w:rPr>
        <w:t>3116.44</w:t>
      </w:r>
      <w:r>
        <w:rPr>
          <w:rFonts w:hint="eastAsia" w:ascii="仿宋_GB2312" w:hAnsi="仿宋_GB2312" w:eastAsia="仿宋_GB2312" w:cs="仿宋_GB2312"/>
          <w:color w:val="000000"/>
          <w:kern w:val="0"/>
          <w:sz w:val="32"/>
          <w:szCs w:val="32"/>
        </w:rPr>
        <w:t>万元，其中：基本支出</w:t>
      </w:r>
      <w:r>
        <w:rPr>
          <w:rFonts w:hint="eastAsia" w:ascii="仿宋_GB2312" w:hAnsi="仿宋_GB2312" w:eastAsia="仿宋_GB2312" w:cs="仿宋_GB2312"/>
          <w:sz w:val="32"/>
          <w:szCs w:val="32"/>
        </w:rPr>
        <w:t>2031.77</w:t>
      </w:r>
      <w:r>
        <w:rPr>
          <w:rFonts w:hint="eastAsia" w:ascii="仿宋_GB2312" w:hAnsi="仿宋_GB2312" w:eastAsia="仿宋_GB2312" w:cs="仿宋_GB2312"/>
          <w:color w:val="000000"/>
          <w:kern w:val="0"/>
          <w:sz w:val="32"/>
          <w:szCs w:val="32"/>
        </w:rPr>
        <w:t>万元，项目支出</w:t>
      </w:r>
      <w:r>
        <w:rPr>
          <w:rFonts w:hint="eastAsia" w:ascii="仿宋_GB2312" w:hAnsi="仿宋_GB2312" w:eastAsia="仿宋_GB2312" w:cs="仿宋_GB2312"/>
          <w:sz w:val="32"/>
          <w:szCs w:val="32"/>
        </w:rPr>
        <w:t>1084.67</w:t>
      </w:r>
      <w:r>
        <w:rPr>
          <w:rFonts w:hint="eastAsia" w:ascii="仿宋_GB2312" w:hAnsi="仿宋_GB2312" w:eastAsia="仿宋_GB2312" w:cs="仿宋_GB2312"/>
          <w:color w:val="000000"/>
          <w:kern w:val="0"/>
          <w:sz w:val="32"/>
          <w:szCs w:val="32"/>
        </w:rPr>
        <w:t>万元，本单位整体支出绩效自评综合评分100分，评价结果等次为优秀。</w:t>
      </w:r>
    </w:p>
    <w:p>
      <w:pPr>
        <w:autoSpaceDE w:val="0"/>
        <w:autoSpaceDN w:val="0"/>
        <w:adjustRightInd w:val="0"/>
        <w:spacing w:line="600" w:lineRule="exact"/>
        <w:ind w:firstLine="640" w:firstLineChars="200"/>
        <w:jc w:val="left"/>
        <w:rPr>
          <w:rFonts w:ascii="仿宋_GB2312" w:hAnsi="仿宋_GB2312" w:eastAsia="仿宋_GB2312" w:cs="仿宋_GB2312"/>
          <w:b/>
          <w:bCs/>
          <w:sz w:val="32"/>
          <w:szCs w:val="32"/>
        </w:rPr>
      </w:pPr>
      <w:r>
        <w:rPr>
          <w:rFonts w:hint="eastAsia" w:ascii="仿宋_GB2312" w:hAnsi="仿宋_GB2312" w:eastAsia="仿宋_GB2312" w:cs="仿宋_GB2312"/>
          <w:color w:val="000000"/>
          <w:kern w:val="0"/>
          <w:sz w:val="32"/>
          <w:szCs w:val="32"/>
        </w:rPr>
        <w:t>组织对一般公共预算项目支出全面开展绩效自评，项目15个，共涉及资金532.46万元，占一般公共预算项目支出总额的49.09%。组织对政府性基金预算项目支出开展绩效自评，项目0个，共涉及资金0万元，占政府性基金预算项目支出总额的0%。组织对国有资本经营预算项目支出开展绩效自评，项目0个，共涉及资金0万元，占国有资本经营预算项目支出总额的0%。从评价情况来看，项目绩效自评得分100分，评价结果等次为优秀。</w:t>
      </w:r>
    </w:p>
    <w:p>
      <w:pPr>
        <w:pStyle w:val="12"/>
        <w:spacing w:line="58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（二）部门（单位）整体支出绩效情况</w:t>
      </w:r>
    </w:p>
    <w:p>
      <w:pPr>
        <w:autoSpaceDE w:val="0"/>
        <w:autoSpaceDN w:val="0"/>
        <w:adjustRightInd w:val="0"/>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根据年初设定的绩效目标，绩效自评得分为100分。全年预算数为2044.5万元，执行数为1980.56万元，完成预算的96.87%。绩效目标完成情况：</w:t>
      </w:r>
      <w:r>
        <w:rPr>
          <w:rFonts w:hint="eastAsia" w:ascii="仿宋_GB2312" w:hAnsi="仿宋_GB2312" w:eastAsia="仿宋_GB2312" w:cs="仿宋_GB2312"/>
          <w:sz w:val="32"/>
          <w:szCs w:val="32"/>
        </w:rPr>
        <w:t>预算下拨经费基本按进度使用，基本支出及免疫规划项目经费已全部使用</w:t>
      </w:r>
      <w:r>
        <w:rPr>
          <w:rFonts w:hint="eastAsia" w:ascii="仿宋_GB2312" w:hAnsi="仿宋_GB2312" w:eastAsia="仿宋_GB2312" w:cs="仿宋_GB2312"/>
          <w:color w:val="000000"/>
          <w:kern w:val="0"/>
          <w:sz w:val="32"/>
          <w:szCs w:val="32"/>
        </w:rPr>
        <w:t>。发现的主要问题及原因：</w:t>
      </w:r>
      <w:r>
        <w:rPr>
          <w:rFonts w:hint="eastAsia" w:ascii="仿宋_GB2312" w:hAnsi="仿宋_GB2312" w:eastAsia="仿宋_GB2312" w:cs="仿宋_GB2312"/>
          <w:sz w:val="32"/>
          <w:szCs w:val="32"/>
        </w:rPr>
        <w:t>疾病控制项目资金结余1.89万元，免疫规划项目资金结余62.05万元。</w:t>
      </w:r>
      <w:r>
        <w:rPr>
          <w:rFonts w:hint="eastAsia" w:eastAsia="仿宋" w:cs="仿宋"/>
          <w:sz w:val="32"/>
          <w:szCs w:val="32"/>
        </w:rPr>
        <w:t>因</w:t>
      </w:r>
      <w:r>
        <w:rPr>
          <w:rFonts w:hint="eastAsia" w:ascii="仿宋_GB2312" w:hAnsi="仿宋_GB2312" w:eastAsia="仿宋_GB2312" w:cs="仿宋_GB2312"/>
          <w:sz w:val="32"/>
          <w:szCs w:val="32"/>
        </w:rPr>
        <w:t>12月预算管理一体化系统故障提前关账</w:t>
      </w:r>
      <w:bookmarkStart w:id="0" w:name="_GoBack"/>
      <w:bookmarkEnd w:id="0"/>
      <w:r>
        <w:rPr>
          <w:rFonts w:hint="eastAsia" w:ascii="仿宋_GB2312" w:hAnsi="仿宋_GB2312" w:eastAsia="仿宋_GB2312" w:cs="仿宋_GB2312"/>
          <w:color w:val="000000"/>
          <w:kern w:val="0"/>
          <w:sz w:val="32"/>
          <w:szCs w:val="32"/>
        </w:rPr>
        <w:t>，结余资金已于2024年开账后支付。下一步改进措施：加快资金使用进度。</w:t>
      </w:r>
    </w:p>
    <w:p>
      <w:pPr>
        <w:pStyle w:val="12"/>
        <w:spacing w:line="58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（三）存在的问题及原因分析</w:t>
      </w:r>
    </w:p>
    <w:p>
      <w:pPr>
        <w:autoSpaceDE w:val="0"/>
        <w:autoSpaceDN w:val="0"/>
        <w:adjustRightInd w:val="0"/>
        <w:ind w:firstLine="640" w:firstLineChars="200"/>
        <w:jc w:val="left"/>
        <w:rPr>
          <w:rFonts w:ascii="仿宋_GB2312" w:hAnsi="仿宋_GB2312" w:eastAsia="仿宋_GB2312" w:cs="仿宋_GB2312"/>
          <w:sz w:val="32"/>
          <w:szCs w:val="32"/>
        </w:rPr>
      </w:pPr>
      <w:r>
        <w:rPr>
          <w:rFonts w:hint="eastAsia" w:ascii="仿宋" w:hAnsi="仿宋" w:eastAsia="仿宋"/>
          <w:sz w:val="32"/>
          <w:szCs w:val="32"/>
        </w:rPr>
        <w:t>部分专项资金拨付不及时。部分项目资金下达时间与相关文件下达以及项目实施、经费使用的时间不同步。在专项资金下达的工作任务和资金分配方案中，部分项目专项资金用途、开支标准不明确。</w:t>
      </w:r>
      <w:r>
        <w:rPr>
          <w:rFonts w:hint="eastAsia" w:ascii="仿宋_GB2312" w:hAnsi="仿宋_GB2312" w:eastAsia="仿宋_GB2312" w:cs="仿宋_GB2312"/>
          <w:sz w:val="32"/>
          <w:szCs w:val="32"/>
        </w:rPr>
        <w:t>预算绩效管理开展情况、绩效目标和绩效评价报告等，已在市政府部门财政预决算公开平台上向社会公开，详见附件。</w:t>
      </w:r>
    </w:p>
    <w:p>
      <w:pPr>
        <w:autoSpaceDE w:val="0"/>
        <w:autoSpaceDN w:val="0"/>
        <w:adjustRightInd w:val="0"/>
        <w:jc w:val="left"/>
        <w:rPr>
          <w:rFonts w:ascii="楷体" w:hAnsi="楷体" w:eastAsia="楷体" w:cs="楷体"/>
          <w:b/>
          <w:bCs/>
          <w:color w:val="FF0000"/>
          <w:kern w:val="0"/>
          <w:sz w:val="36"/>
          <w:szCs w:val="36"/>
        </w:rPr>
      </w:pPr>
    </w:p>
    <w:p>
      <w:pPr>
        <w:pStyle w:val="12"/>
        <w:jc w:val="both"/>
        <w:rPr>
          <w:sz w:val="72"/>
          <w:szCs w:val="72"/>
        </w:rPr>
      </w:pPr>
    </w:p>
    <w:p>
      <w:pPr>
        <w:pStyle w:val="12"/>
        <w:jc w:val="center"/>
        <w:rPr>
          <w:sz w:val="72"/>
          <w:szCs w:val="72"/>
        </w:rPr>
      </w:pPr>
    </w:p>
    <w:p>
      <w:pPr>
        <w:pStyle w:val="12"/>
        <w:jc w:val="center"/>
        <w:rPr>
          <w:rFonts w:ascii="方正小标宋_GBK" w:hAnsi="方正小标宋_GBK" w:eastAsia="方正小标宋_GBK" w:cs="方正小标宋_GBK"/>
          <w:sz w:val="70"/>
          <w:szCs w:val="70"/>
        </w:rPr>
      </w:pPr>
    </w:p>
    <w:p>
      <w:pPr>
        <w:pStyle w:val="12"/>
        <w:jc w:val="center"/>
        <w:rPr>
          <w:rFonts w:ascii="方正小标宋_GBK" w:hAnsi="方正小标宋_GBK" w:eastAsia="方正小标宋_GBK" w:cs="方正小标宋_GBK"/>
          <w:sz w:val="70"/>
          <w:szCs w:val="70"/>
        </w:rPr>
      </w:pPr>
    </w:p>
    <w:p>
      <w:pPr>
        <w:pStyle w:val="12"/>
        <w:jc w:val="center"/>
        <w:rPr>
          <w:rFonts w:ascii="方正小标宋_GBK" w:hAnsi="方正小标宋_GBK" w:eastAsia="方正小标宋_GBK" w:cs="方正小标宋_GBK"/>
          <w:sz w:val="72"/>
          <w:szCs w:val="72"/>
        </w:rPr>
      </w:pPr>
    </w:p>
    <w:p>
      <w:pPr>
        <w:pStyle w:val="12"/>
        <w:jc w:val="center"/>
        <w:rPr>
          <w:rFonts w:ascii="方正小标宋_GBK" w:hAnsi="方正小标宋_GBK" w:eastAsia="方正小标宋_GBK" w:cs="方正小标宋_GBK"/>
          <w:sz w:val="72"/>
          <w:szCs w:val="72"/>
        </w:rPr>
      </w:pPr>
    </w:p>
    <w:p>
      <w:pPr>
        <w:pStyle w:val="12"/>
        <w:jc w:val="center"/>
        <w:rPr>
          <w:rFonts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ascii="方正小标宋_GBK" w:hAnsi="方正小标宋_GBK" w:eastAsia="方正小标宋_GBK" w:cs="方正小标宋_GBK"/>
          <w:color w:val="000000"/>
          <w:kern w:val="0"/>
          <w:sz w:val="70"/>
          <w:szCs w:val="70"/>
        </w:rPr>
      </w:pPr>
    </w:p>
    <w:p>
      <w:pPr>
        <w:pStyle w:val="12"/>
        <w:jc w:val="center"/>
        <w:rPr>
          <w:rFonts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名词解释</w:t>
      </w:r>
    </w:p>
    <w:p>
      <w:pPr>
        <w:pStyle w:val="2"/>
      </w:pPr>
    </w:p>
    <w:p>
      <w:pPr>
        <w:pStyle w:val="3"/>
        <w:ind w:firstLine="480"/>
      </w:pPr>
    </w:p>
    <w:p/>
    <w:p>
      <w:pPr>
        <w:pStyle w:val="2"/>
      </w:pPr>
    </w:p>
    <w:p>
      <w:pPr>
        <w:pStyle w:val="3"/>
        <w:ind w:firstLine="480"/>
      </w:pPr>
    </w:p>
    <w:p/>
    <w:p>
      <w:pPr>
        <w:pStyle w:val="2"/>
      </w:pPr>
    </w:p>
    <w:p>
      <w:pPr>
        <w:pStyle w:val="3"/>
        <w:ind w:firstLine="480"/>
      </w:pPr>
    </w:p>
    <w:p/>
    <w:p>
      <w:pPr>
        <w:pStyle w:val="2"/>
      </w:pPr>
    </w:p>
    <w:p>
      <w:pPr>
        <w:pStyle w:val="3"/>
        <w:ind w:firstLine="480"/>
      </w:pPr>
    </w:p>
    <w:p/>
    <w:p>
      <w:pPr>
        <w:pStyle w:val="2"/>
      </w:pPr>
    </w:p>
    <w:p>
      <w:pPr>
        <w:pStyle w:val="3"/>
        <w:ind w:firstLine="480"/>
      </w:pPr>
    </w:p>
    <w:p/>
    <w:p>
      <w:pPr>
        <w:pStyle w:val="2"/>
      </w:pPr>
    </w:p>
    <w:p>
      <w:pPr>
        <w:pStyle w:val="3"/>
        <w:ind w:firstLine="480"/>
      </w:pPr>
    </w:p>
    <w:p/>
    <w:p>
      <w:pPr>
        <w:pStyle w:val="2"/>
      </w:pPr>
    </w:p>
    <w:p>
      <w:pPr>
        <w:pStyle w:val="3"/>
        <w:ind w:firstLine="480"/>
      </w:pPr>
    </w:p>
    <w:p/>
    <w:p>
      <w:pPr>
        <w:pStyle w:val="2"/>
      </w:pPr>
    </w:p>
    <w:p>
      <w:pPr>
        <w:pStyle w:val="3"/>
        <w:ind w:firstLine="480"/>
      </w:pPr>
    </w:p>
    <w:p/>
    <w:p>
      <w:pPr>
        <w:pStyle w:val="2"/>
      </w:pPr>
    </w:p>
    <w:p>
      <w:pPr>
        <w:pStyle w:val="3"/>
        <w:ind w:firstLine="480"/>
      </w:pPr>
    </w:p>
    <w:p/>
    <w:p>
      <w:pPr>
        <w:pStyle w:val="2"/>
      </w:pPr>
    </w:p>
    <w:p>
      <w:pPr>
        <w:pStyle w:val="3"/>
        <w:ind w:firstLine="480"/>
      </w:pPr>
    </w:p>
    <w:p/>
    <w:p>
      <w:pPr>
        <w:pStyle w:val="2"/>
      </w:pPr>
    </w:p>
    <w:p>
      <w:pPr>
        <w:pStyle w:val="3"/>
        <w:ind w:firstLine="480"/>
      </w:pPr>
    </w:p>
    <w:p>
      <w:pPr>
        <w:pStyle w:val="3"/>
        <w:ind w:firstLine="480"/>
      </w:pPr>
    </w:p>
    <w:p/>
    <w:p>
      <w:pPr>
        <w:pStyle w:val="2"/>
      </w:pPr>
    </w:p>
    <w:p>
      <w:pPr>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指为保障行政单位（包括参照公务员法管理的事业单位）运行用于购买货物和服务的各项资金，包括办公费、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w:t>
      </w:r>
    </w:p>
    <w:p>
      <w:pPr>
        <w:autoSpaceDE w:val="0"/>
        <w:autoSpaceDN w:val="0"/>
        <w:adjustRightInd w:val="0"/>
        <w:spacing w:line="600" w:lineRule="exact"/>
        <w:ind w:firstLine="640" w:firstLineChars="200"/>
        <w:rPr>
          <w:rFonts w:ascii="仿宋_GB2312" w:hAnsi="仿宋_GB2312" w:eastAsia="仿宋_GB2312" w:cs="仿宋_GB2312"/>
          <w:b/>
          <w:bCs/>
          <w:i/>
          <w:color w:val="FF0000"/>
          <w:kern w:val="0"/>
          <w:sz w:val="32"/>
          <w:szCs w:val="32"/>
        </w:rPr>
      </w:pPr>
    </w:p>
    <w:p>
      <w:pPr>
        <w:pStyle w:val="12"/>
        <w:jc w:val="center"/>
        <w:rPr>
          <w:rFonts w:ascii="仿宋_GB2312" w:hAnsi="仿宋_GB2312" w:eastAsia="仿宋_GB2312" w:cs="仿宋_GB2312"/>
          <w:sz w:val="32"/>
          <w:szCs w:val="32"/>
        </w:rPr>
      </w:pPr>
    </w:p>
    <w:p>
      <w:pPr>
        <w:pStyle w:val="3"/>
        <w:ind w:firstLine="480"/>
      </w:pPr>
    </w:p>
    <w:p/>
    <w:p>
      <w:pPr>
        <w:pStyle w:val="2"/>
      </w:pPr>
    </w:p>
    <w:p>
      <w:pPr>
        <w:pStyle w:val="3"/>
        <w:ind w:firstLine="480"/>
      </w:pPr>
    </w:p>
    <w:p/>
    <w:p>
      <w:pPr>
        <w:pStyle w:val="2"/>
      </w:pPr>
    </w:p>
    <w:p>
      <w:pPr>
        <w:pStyle w:val="3"/>
        <w:ind w:firstLine="480"/>
      </w:pPr>
    </w:p>
    <w:p/>
    <w:p>
      <w:pPr>
        <w:pStyle w:val="2"/>
      </w:pPr>
    </w:p>
    <w:p>
      <w:pPr>
        <w:pStyle w:val="3"/>
        <w:ind w:firstLine="480"/>
      </w:pPr>
    </w:p>
    <w:p/>
    <w:p>
      <w:pPr>
        <w:pStyle w:val="2"/>
      </w:pPr>
    </w:p>
    <w:p>
      <w:pPr>
        <w:pStyle w:val="3"/>
        <w:ind w:firstLine="480"/>
      </w:pPr>
    </w:p>
    <w:p/>
    <w:p>
      <w:pPr>
        <w:pStyle w:val="2"/>
      </w:pPr>
    </w:p>
    <w:p>
      <w:pPr>
        <w:pStyle w:val="3"/>
        <w:ind w:firstLine="480"/>
      </w:pPr>
    </w:p>
    <w:p>
      <w:pPr>
        <w:pStyle w:val="12"/>
        <w:jc w:val="center"/>
        <w:rPr>
          <w:rFonts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第五部分</w:t>
      </w:r>
    </w:p>
    <w:p>
      <w:pPr>
        <w:pStyle w:val="12"/>
        <w:jc w:val="both"/>
        <w:rPr>
          <w:rFonts w:ascii="方正小标宋_GBK" w:hAnsi="方正小标宋_GBK" w:eastAsia="方正小标宋_GBK" w:cs="方正小标宋_GBK"/>
          <w:sz w:val="70"/>
          <w:szCs w:val="70"/>
        </w:rPr>
      </w:pPr>
    </w:p>
    <w:p>
      <w:pPr>
        <w:pStyle w:val="12"/>
        <w:jc w:val="center"/>
        <w:rPr>
          <w:rFonts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附 件</w:t>
      </w:r>
    </w:p>
    <w:p>
      <w:pPr>
        <w:ind w:firstLine="640" w:firstLineChars="200"/>
        <w:jc w:val="left"/>
        <w:rPr>
          <w:rFonts w:ascii="宋体" w:hAnsi="宋体" w:eastAsia="宋体" w:cs="黑体"/>
          <w:b/>
          <w:color w:val="000000"/>
          <w:kern w:val="0"/>
          <w:sz w:val="32"/>
          <w:szCs w:val="32"/>
        </w:rPr>
      </w:pPr>
    </w:p>
    <w:p>
      <w:pPr>
        <w:ind w:firstLine="640" w:firstLineChars="200"/>
        <w:jc w:val="left"/>
        <w:rPr>
          <w:rFonts w:ascii="宋体" w:hAnsi="宋体" w:eastAsia="宋体" w:cs="黑体"/>
          <w:b/>
          <w:color w:val="000000"/>
          <w:kern w:val="0"/>
          <w:sz w:val="32"/>
          <w:szCs w:val="32"/>
        </w:rPr>
      </w:pPr>
      <w:r>
        <w:rPr>
          <w:rFonts w:hint="eastAsia" w:ascii="宋体" w:hAnsi="宋体" w:eastAsia="宋体" w:cs="黑体"/>
          <w:b/>
          <w:color w:val="000000"/>
          <w:kern w:val="0"/>
          <w:sz w:val="32"/>
          <w:szCs w:val="32"/>
        </w:rPr>
        <w:t>1、2023年部门决算公开表格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rPr>
        <w:t>2、2023年度部门整体支出绩效评价报告</w:t>
      </w:r>
    </w:p>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WZiYWViMjY4ZWE4Njc4YTk1MjUyNjYxOTllY2ZhMmYifQ=="/>
    <w:docVar w:name="KSO_WPS_MARK_KEY" w:val="6038899a-2730-477e-9752-2ee7f08df60f"/>
  </w:docVars>
  <w:rsids>
    <w:rsidRoot w:val="004506F9"/>
    <w:rsid w:val="0002229B"/>
    <w:rsid w:val="000273BD"/>
    <w:rsid w:val="00040CBC"/>
    <w:rsid w:val="000415B7"/>
    <w:rsid w:val="00041E3F"/>
    <w:rsid w:val="00055DAA"/>
    <w:rsid w:val="00061F7B"/>
    <w:rsid w:val="000658A3"/>
    <w:rsid w:val="00074155"/>
    <w:rsid w:val="000A3F69"/>
    <w:rsid w:val="00103957"/>
    <w:rsid w:val="0012667D"/>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53516"/>
    <w:rsid w:val="005767CC"/>
    <w:rsid w:val="00590D9F"/>
    <w:rsid w:val="00595D26"/>
    <w:rsid w:val="005A74E6"/>
    <w:rsid w:val="005B404E"/>
    <w:rsid w:val="005D4D55"/>
    <w:rsid w:val="005E2CFB"/>
    <w:rsid w:val="005E3095"/>
    <w:rsid w:val="005F2103"/>
    <w:rsid w:val="005F3D1C"/>
    <w:rsid w:val="0062378F"/>
    <w:rsid w:val="00640B87"/>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25CC0"/>
    <w:rsid w:val="00B33BEA"/>
    <w:rsid w:val="00B57C9F"/>
    <w:rsid w:val="00B63572"/>
    <w:rsid w:val="00B845B3"/>
    <w:rsid w:val="00B85D8B"/>
    <w:rsid w:val="00BB4A40"/>
    <w:rsid w:val="00BD6C3E"/>
    <w:rsid w:val="00BE3674"/>
    <w:rsid w:val="00C10681"/>
    <w:rsid w:val="00C3049A"/>
    <w:rsid w:val="00C31B1E"/>
    <w:rsid w:val="00C77645"/>
    <w:rsid w:val="00CA17E2"/>
    <w:rsid w:val="00CE04C3"/>
    <w:rsid w:val="00CE76A0"/>
    <w:rsid w:val="00D148C6"/>
    <w:rsid w:val="00D17A8A"/>
    <w:rsid w:val="00D35841"/>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12583BA5"/>
    <w:rsid w:val="13BA5B9C"/>
    <w:rsid w:val="170677B9"/>
    <w:rsid w:val="1CF95F0F"/>
    <w:rsid w:val="1D97DEFF"/>
    <w:rsid w:val="1DFF72E5"/>
    <w:rsid w:val="1EFC6F07"/>
    <w:rsid w:val="216C065A"/>
    <w:rsid w:val="22AC03C2"/>
    <w:rsid w:val="24EA02AB"/>
    <w:rsid w:val="29E959F6"/>
    <w:rsid w:val="2D0F025B"/>
    <w:rsid w:val="2F756F26"/>
    <w:rsid w:val="2FDF85B8"/>
    <w:rsid w:val="2FFFEE04"/>
    <w:rsid w:val="31C95635"/>
    <w:rsid w:val="34DF85B0"/>
    <w:rsid w:val="36650855"/>
    <w:rsid w:val="38852734"/>
    <w:rsid w:val="3B4041C6"/>
    <w:rsid w:val="3B8F36BC"/>
    <w:rsid w:val="3C3270A7"/>
    <w:rsid w:val="401D6B38"/>
    <w:rsid w:val="44161611"/>
    <w:rsid w:val="491FF225"/>
    <w:rsid w:val="4E530A5B"/>
    <w:rsid w:val="4FFD214C"/>
    <w:rsid w:val="51441A30"/>
    <w:rsid w:val="525067C3"/>
    <w:rsid w:val="5352765A"/>
    <w:rsid w:val="5777D4F5"/>
    <w:rsid w:val="57A53277"/>
    <w:rsid w:val="57D24867"/>
    <w:rsid w:val="59DD8326"/>
    <w:rsid w:val="5DEF592A"/>
    <w:rsid w:val="5FC6BB1E"/>
    <w:rsid w:val="5FF720F1"/>
    <w:rsid w:val="649B7130"/>
    <w:rsid w:val="65C509E2"/>
    <w:rsid w:val="67150A86"/>
    <w:rsid w:val="67FF5C0B"/>
    <w:rsid w:val="699C43D0"/>
    <w:rsid w:val="6BAA4A2F"/>
    <w:rsid w:val="6EFC0924"/>
    <w:rsid w:val="6FB74722"/>
    <w:rsid w:val="6FEF8B7E"/>
    <w:rsid w:val="71A6591B"/>
    <w:rsid w:val="737D59BA"/>
    <w:rsid w:val="737F32B1"/>
    <w:rsid w:val="77C37683"/>
    <w:rsid w:val="79FF515B"/>
    <w:rsid w:val="7BED0E7B"/>
    <w:rsid w:val="7E9E1962"/>
    <w:rsid w:val="7E9F11B4"/>
    <w:rsid w:val="7F37EC1E"/>
    <w:rsid w:val="7F7DCD9D"/>
    <w:rsid w:val="7F970A6F"/>
    <w:rsid w:val="7FC1FFF3"/>
    <w:rsid w:val="7FC69637"/>
    <w:rsid w:val="7FDF8620"/>
    <w:rsid w:val="7FFB242F"/>
    <w:rsid w:val="7FFDB408"/>
    <w:rsid w:val="7FFE4EEB"/>
    <w:rsid w:val="95FB2B98"/>
    <w:rsid w:val="9A639BC2"/>
    <w:rsid w:val="9FF7D786"/>
    <w:rsid w:val="ABBFB23D"/>
    <w:rsid w:val="C3B4DA5A"/>
    <w:rsid w:val="CBFF70E0"/>
    <w:rsid w:val="CFF50B82"/>
    <w:rsid w:val="CFFFAD89"/>
    <w:rsid w:val="DFFE359E"/>
    <w:rsid w:val="DFFE4FFD"/>
    <w:rsid w:val="EEABED75"/>
    <w:rsid w:val="F56FDF51"/>
    <w:rsid w:val="F6B69F17"/>
    <w:rsid w:val="F77F1D61"/>
    <w:rsid w:val="F7FED3A9"/>
    <w:rsid w:val="F8C9DB26"/>
    <w:rsid w:val="F97E8EAE"/>
    <w:rsid w:val="FB36E1A6"/>
    <w:rsid w:val="FB3BE134"/>
    <w:rsid w:val="FCFF4275"/>
    <w:rsid w:val="FD7FEEEA"/>
    <w:rsid w:val="FDFFB577"/>
    <w:rsid w:val="FEEA50FE"/>
    <w:rsid w:val="FF7D47A9"/>
    <w:rsid w:val="FFCF21CB"/>
    <w:rsid w:val="FFFF1C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5"/>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16</Pages>
  <Words>5468</Words>
  <Characters>6076</Characters>
  <Lines>45</Lines>
  <Paragraphs>12</Paragraphs>
  <TotalTime>0</TotalTime>
  <ScaleCrop>false</ScaleCrop>
  <LinksUpToDate>false</LinksUpToDate>
  <CharactersWithSpaces>6093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刘洋</cp:lastModifiedBy>
  <cp:lastPrinted>2024-09-20T02:47:00Z</cp:lastPrinted>
  <dcterms:modified xsi:type="dcterms:W3CDTF">2024-09-20T08:20:55Z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BF887356A558438F9E3609D8FEC1B566_13</vt:lpwstr>
  </property>
</Properties>
</file>