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岳阳市发展和改革委员会2023年度部门预算</w:t>
      </w:r>
    </w:p>
    <w:p>
      <w:pPr>
        <w:rPr>
          <w:rFonts w:hint="eastAsia"/>
          <w:b/>
          <w:bCs/>
          <w:sz w:val="44"/>
          <w:szCs w:val="44"/>
        </w:rPr>
      </w:pPr>
    </w:p>
    <w:p>
      <w:pPr>
        <w:rPr>
          <w:rFonts w:hint="eastAsia"/>
          <w:b/>
          <w:bCs/>
          <w:sz w:val="44"/>
          <w:szCs w:val="44"/>
        </w:rPr>
      </w:pPr>
    </w:p>
    <w:p>
      <w:pPr>
        <w:jc w:val="center"/>
        <w:rPr>
          <w:rFonts w:hint="eastAsia" w:ascii="黑体" w:hAnsi="黑体" w:eastAsia="黑体" w:cs="黑体"/>
          <w:b/>
          <w:bCs/>
          <w:sz w:val="40"/>
          <w:szCs w:val="40"/>
        </w:rPr>
      </w:pPr>
      <w:r>
        <w:rPr>
          <w:rFonts w:hint="eastAsia" w:ascii="黑体" w:hAnsi="黑体" w:eastAsia="黑体" w:cs="黑体"/>
          <w:b/>
          <w:bCs/>
          <w:sz w:val="40"/>
          <w:szCs w:val="40"/>
        </w:rPr>
        <w:t>目录</w:t>
      </w:r>
    </w:p>
    <w:p>
      <w:pPr>
        <w:numPr>
          <w:ilvl w:val="0"/>
          <w:numId w:val="1"/>
        </w:numPr>
        <w:rPr>
          <w:rFonts w:hint="eastAsia" w:ascii="黑体" w:hAnsi="黑体" w:eastAsia="黑体" w:cs="黑体"/>
          <w:b/>
          <w:bCs/>
          <w:sz w:val="28"/>
          <w:szCs w:val="28"/>
        </w:rPr>
      </w:pPr>
      <w:r>
        <w:rPr>
          <w:rFonts w:hint="eastAsia" w:ascii="黑体" w:hAnsi="黑体" w:eastAsia="黑体" w:cs="黑体"/>
          <w:b/>
          <w:bCs/>
          <w:sz w:val="28"/>
          <w:szCs w:val="28"/>
        </w:rPr>
        <w:t xml:space="preserve"> 2023年部门预算说明</w:t>
      </w:r>
    </w:p>
    <w:p>
      <w:pPr>
        <w:numPr>
          <w:ilvl w:val="0"/>
          <w:numId w:val="0"/>
        </w:numPr>
        <w:rPr>
          <w:rFonts w:hint="eastAsia" w:ascii="黑体" w:hAnsi="黑体" w:eastAsia="黑体" w:cs="黑体"/>
          <w:b/>
          <w:bCs/>
          <w:sz w:val="32"/>
          <w:szCs w:val="32"/>
        </w:rPr>
      </w:pPr>
    </w:p>
    <w:p>
      <w:pPr>
        <w:numPr>
          <w:ilvl w:val="0"/>
          <w:numId w:val="0"/>
        </w:numPr>
        <w:rPr>
          <w:rFonts w:hint="eastAsia" w:ascii="黑体" w:hAnsi="黑体" w:eastAsia="黑体" w:cs="黑体"/>
          <w:b/>
          <w:bCs/>
          <w:sz w:val="28"/>
          <w:szCs w:val="28"/>
        </w:rPr>
      </w:pPr>
      <w:r>
        <w:rPr>
          <w:rFonts w:hint="eastAsia" w:ascii="黑体" w:hAnsi="黑体" w:eastAsia="黑体" w:cs="黑体"/>
          <w:b/>
          <w:bCs/>
          <w:sz w:val="28"/>
          <w:szCs w:val="28"/>
        </w:rPr>
        <w:t>第二部分  2023年部门预算公开表格</w:t>
      </w:r>
    </w:p>
    <w:p>
      <w:pPr>
        <w:numPr>
          <w:ilvl w:val="0"/>
          <w:numId w:val="2"/>
        </w:numPr>
        <w:rPr>
          <w:rFonts w:hint="eastAsia" w:ascii="仿宋" w:hAnsi="仿宋" w:eastAsia="仿宋" w:cs="仿宋"/>
          <w:sz w:val="28"/>
          <w:szCs w:val="28"/>
        </w:rPr>
      </w:pPr>
      <w:r>
        <w:rPr>
          <w:rFonts w:hint="eastAsia" w:ascii="仿宋" w:hAnsi="仿宋" w:eastAsia="仿宋" w:cs="仿宋"/>
          <w:sz w:val="28"/>
          <w:szCs w:val="28"/>
        </w:rPr>
        <w:t>收支总表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收入总表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支出总表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支出预算分类汇总表（按政府预算经济分类）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支出预算分类汇总表（按部门预算经济分类）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财政拨款收支总表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一般公共预算支出表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一般公共预算基本支出表-人员经费（工资福利支出）（按政府预算经济分类）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一般公共预算基本支出表-人员经费（工资福利支出）（按部门预算经济分类）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一般公共预算基本支出表-人员经费（对个人和家庭的补助）（按政府预算经济分类）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一般公共预算基本支出表-人员经费（对个人和家庭的补助）（按部门预算经济分类）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一般公共预算基本支出表-公用经费（商品和服务支出）（按政府预算经济分类）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一般公共预算基本支出表-公用经费（商品和服务支出）（按部门预算经济分类）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一般公共预算“三公”经费支出表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政府性基金预算支出表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政府性基金预算支出分类汇总表（按政府预算经济分类）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政府性基金预算支出分类汇总表（按部门预算经济分类）</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国有资本经营预算支出表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财政专户管理资金预算支出表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专项资金预算汇总表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项目支出绩效目标表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部门整体支出绩效目标表</w:t>
      </w:r>
    </w:p>
    <w:p>
      <w:pPr>
        <w:numPr>
          <w:ilvl w:val="0"/>
          <w:numId w:val="2"/>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一般公共预算基本支出表</w:t>
      </w:r>
    </w:p>
    <w:p>
      <w:pPr>
        <w:numPr>
          <w:ilvl w:val="0"/>
          <w:numId w:val="0"/>
        </w:numPr>
        <w:ind w:leftChars="0"/>
        <w:rPr>
          <w:rFonts w:hint="eastAsia" w:ascii="仿宋" w:hAnsi="仿宋" w:eastAsia="仿宋" w:cs="仿宋"/>
          <w:b/>
          <w:bCs/>
          <w:color w:val="FF0000"/>
          <w:sz w:val="28"/>
          <w:szCs w:val="28"/>
        </w:rPr>
      </w:pPr>
      <w:r>
        <w:rPr>
          <w:rFonts w:hint="eastAsia" w:ascii="仿宋" w:hAnsi="仿宋" w:eastAsia="仿宋" w:cs="仿宋"/>
          <w:b/>
          <w:bCs/>
          <w:color w:val="FF0000"/>
          <w:sz w:val="28"/>
          <w:szCs w:val="28"/>
        </w:rPr>
        <w:t>注：以上部门预算公开报表中，空表表示本部门无相关收支情况。</w:t>
      </w:r>
    </w:p>
    <w:p>
      <w:pPr>
        <w:numPr>
          <w:ilvl w:val="0"/>
          <w:numId w:val="0"/>
        </w:numPr>
        <w:ind w:leftChars="0"/>
        <w:rPr>
          <w:rFonts w:hint="eastAsia" w:ascii="仿宋" w:hAnsi="仿宋" w:eastAsia="仿宋" w:cs="仿宋"/>
          <w:color w:val="FF0000"/>
          <w:sz w:val="32"/>
          <w:szCs w:val="32"/>
        </w:rPr>
      </w:pPr>
    </w:p>
    <w:p>
      <w:pPr>
        <w:numPr>
          <w:ilvl w:val="0"/>
          <w:numId w:val="0"/>
        </w:numPr>
        <w:ind w:leftChars="0"/>
        <w:rPr>
          <w:rFonts w:hint="eastAsia" w:ascii="仿宋" w:hAnsi="仿宋" w:eastAsia="仿宋" w:cs="仿宋"/>
          <w:color w:val="FF0000"/>
          <w:sz w:val="32"/>
          <w:szCs w:val="32"/>
        </w:rPr>
      </w:pPr>
    </w:p>
    <w:p>
      <w:pPr>
        <w:numPr>
          <w:ilvl w:val="0"/>
          <w:numId w:val="3"/>
        </w:numPr>
        <w:jc w:val="center"/>
        <w:rPr>
          <w:rFonts w:hint="eastAsia" w:ascii="黑体" w:hAnsi="黑体" w:eastAsia="黑体" w:cs="黑体"/>
          <w:b/>
          <w:bCs/>
          <w:sz w:val="32"/>
          <w:szCs w:val="32"/>
        </w:rPr>
      </w:pPr>
      <w:r>
        <w:rPr>
          <w:rFonts w:hint="eastAsia" w:ascii="黑体" w:hAnsi="黑体" w:eastAsia="黑体" w:cs="黑体"/>
          <w:b/>
          <w:bCs/>
          <w:sz w:val="32"/>
          <w:szCs w:val="32"/>
        </w:rPr>
        <w:t>2023年部门预算说明</w:t>
      </w:r>
    </w:p>
    <w:p>
      <w:pPr>
        <w:numPr>
          <w:ilvl w:val="0"/>
          <w:numId w:val="4"/>
        </w:numPr>
        <w:ind w:left="630" w:leftChars="0" w:firstLine="0" w:firstLineChars="0"/>
        <w:rPr>
          <w:rFonts w:hint="eastAsia" w:ascii="仿宋" w:hAnsi="仿宋" w:eastAsia="仿宋" w:cs="仿宋"/>
          <w:sz w:val="32"/>
          <w:szCs w:val="32"/>
        </w:rPr>
      </w:pPr>
      <w:r>
        <w:rPr>
          <w:rFonts w:hint="eastAsia" w:ascii="黑体" w:hAnsi="黑体" w:eastAsia="黑体" w:cs="黑体"/>
          <w:sz w:val="32"/>
          <w:szCs w:val="32"/>
        </w:rPr>
        <w:t xml:space="preserve">部门基本概况  </w:t>
      </w:r>
    </w:p>
    <w:p>
      <w:pPr>
        <w:numPr>
          <w:ilvl w:val="0"/>
          <w:numId w:val="5"/>
        </w:numPr>
        <w:ind w:left="210" w:leftChars="0"/>
        <w:rPr>
          <w:rFonts w:hint="eastAsia" w:ascii="宋体" w:hAnsi="宋体" w:eastAsia="宋体" w:cs="宋体"/>
          <w:b w:val="0"/>
          <w:bCs w:val="0"/>
          <w:sz w:val="28"/>
          <w:szCs w:val="28"/>
        </w:rPr>
      </w:pPr>
      <w:r>
        <w:rPr>
          <w:rFonts w:hint="eastAsia" w:ascii="宋体" w:hAnsi="宋体" w:eastAsia="宋体" w:cs="宋体"/>
          <w:b w:val="0"/>
          <w:bCs w:val="0"/>
          <w:sz w:val="28"/>
          <w:szCs w:val="28"/>
        </w:rPr>
        <w:t>职能职责</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拟订并组织实施全市国民经济和社会发展战略、中长期规划和年度计划。拟定全市能源发展战略、规划、计划和政策。牵头组织统一规划体系建设。负责市级专项规划、区域规划、空间规划与全市发展规划的统筹衔接。研究拟订全市国民经济和社会发展、经济体制改革和对外开放的有关规章制度，协调解决有关重大问题。受市人民政府委托向市人民代表大会提交国民经济和社会发展计划的报告。</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2、研究提出加快建设现代化经济体系、推动高质量发展的总体目标、重大任务以及相关政策。组织开展重大战略规划、重大政策、重大工程等评估督导，提出相关调整建议。</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3、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4、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负责推进能源体制改革，协调能源发展和改革中的重大问题。</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5、研究提出全市利用外资和境外投资的战略、规划、总量平衡和结构优化的政策。牵头推进实施“一带一区”建设。统筹协调“走出去”有关工作。负责全市全口径外债的总量控制、结构优化和监测工作。</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6、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审批、管理政府投资项目初步设计概算。拟订并推动落实鼓励民间投资政策措施。研究提出市重点建设项目计划，负责政府投资项目代建制实施的指导、协调和监督管理。指导工程咨询业发展。</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7、推进落实区域协调发展战略、新型城镇化战略和重大政策，组织拟订相关区域规划和政策。贯彻落实国家西部开发、中部崛起、长江经济带开发建设的政策措施，牵头落实“一带一区”发展战略。组织编制区域规划并协调实施。研究制订并统筹促进市内区域协调发展的战略、规划和重大政策。协调两型社会建设。拟订并组织实施全市易地扶贫搬迁、以工代赈规划和计划。参与研究拟订全市新型城镇化发展战略和重大政策措施。制定开发区发展规划和政策。统筹协调区域合作和对口支援工作。</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8、组织拟订综合性产业政策，负责协调一二三产业发展的重大问题并统筹衔接相关发展规划和重大政策。协调推进重大基础设施建设。协调农业农村经济发展有关重大问题。统筹全市服务业发展与改革，组织拟订并推动实施服务业发展规划及现代物流业发展规划和重大政策。综合研判消费变动趋势，研究协调解决扩大居民消费中的重大问题，拟订实施促进消费的综合性政策措施。</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9、推动实施创新驱动发展战略。会同相关部门拟订推进创新创业的规划和政策，提出创新发展和培育经济发展新动能的政策措施。组织拟订战略性新兴产业发展规划政策；会同有关部门组织拟订实施高技术产业发展、产业技术进步规划政策；研究提出新型工业化和产业集群发展的政策措施；实施高新技术产业发展的宏观指导，协调产业升级、重大技术装备推广应用等方面的重大问题。</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10、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根据经济运行情况对计划进行调整。研究提出全市战略物资储备规划、全市储备品种目录的建议。根据全市储备总体发展规划和品种目录，组织实施全市战略和应急储备物资的收储、轮换和日常管理，落实有关动用计划和指令。</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11、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12、推进可持续发展战略，推动生态文明建设和改革，协调生态环境保护与修复、能源资源节约和综合利用等工作。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负责能源行业统计、预测预警；拟订煤炭、电力、石油、天然气、新能源、可再生能源和分布式能源发展规划、计划和政策并组织实施。</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13、拟订全市价格改革方案和年度计划，研究提出价格调控目标和政策建议，组织实施价格总水平调控。组织起草有关价格收费法规草案和政策。承担问政府管理的重要商品和服务价格管理工作。承担行政事业性收费管理工作。承担价格监测、市场价格形势分析和涉案物价格鉴证工作。负责价格成本调查和监审。</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14、指导和协调全市公共资源交易平台建设，牵头组织监督公共资源交易活动。牵头开展社会信用体系建设，研究拟订推进社会信用体系建设的规划和政策措施，统筹推进统一的信用信息平台建设，协调有关重大问题。</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15、会同有关部门拟订推进全市经济建设与国防建设协调发展的战略和规划，协调有关重大问题。推动实施军民融合发展战略，组织编制全市国民经济动员规划，协调和组织实施全市国民经济动员有关工作。</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16、承担市国防动员委员会、市推动长江经济带发展领导小组、洞庭湖生态经济区建设等有关具体工作。</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17、完成市委、市政府交办的其他任务。</w:t>
      </w:r>
    </w:p>
    <w:p>
      <w:pPr>
        <w:numPr>
          <w:ilvl w:val="0"/>
          <w:numId w:val="0"/>
        </w:numPr>
        <w:ind w:left="210" w:leftChars="0"/>
        <w:rPr>
          <w:rFonts w:hint="eastAsia" w:ascii="仿宋" w:hAnsi="仿宋" w:eastAsia="仿宋" w:cs="仿宋"/>
          <w:sz w:val="32"/>
          <w:szCs w:val="32"/>
        </w:rPr>
      </w:pPr>
      <w:r>
        <w:rPr>
          <w:rFonts w:hint="eastAsia" w:ascii="仿宋" w:hAnsi="仿宋" w:eastAsia="仿宋" w:cs="仿宋"/>
          <w:sz w:val="32"/>
          <w:szCs w:val="32"/>
        </w:rPr>
        <w:t xml:space="preserve">  （二）机构设置</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 xml:space="preserve">根据编委核定，我委内设27个科室，所属事业单位3个，全部纳入2023年部门预算编制范围。 </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 xml:space="preserve">内设科室分别是 ：办公室、国民经济综合和规划科、法规科、固定资产投资科、地区经济科、农村经济科和对口支援科、工业交通外经科、财贸服务和信用建设科、资源节约环境保护和两型社会建设科、社会发展科、服务价格和收费管理科、商品价格和调控管理科、行政审批科、长江经济带和洞庭湖发展办公室、能源科、评估督导科、成本调查监审科、粮食产业发展科、粮食调控与储备科、物资储备科、财经科、人事科、机关党委、机关纪委、离退休人员管理科、财务科、工会。 </w:t>
      </w:r>
    </w:p>
    <w:p>
      <w:pPr>
        <w:numPr>
          <w:ilvl w:val="0"/>
          <w:numId w:val="0"/>
        </w:numPr>
        <w:ind w:left="210" w:leftChars="0"/>
        <w:rPr>
          <w:rFonts w:hint="eastAsia" w:ascii="仿宋" w:hAnsi="仿宋" w:eastAsia="仿宋" w:cs="仿宋"/>
          <w:sz w:val="32"/>
          <w:szCs w:val="32"/>
        </w:rPr>
      </w:pPr>
      <w:r>
        <w:rPr>
          <w:rFonts w:hint="eastAsia" w:ascii="仿宋" w:hAnsi="仿宋" w:eastAsia="仿宋" w:cs="仿宋"/>
          <w:sz w:val="32"/>
          <w:szCs w:val="32"/>
        </w:rPr>
        <w:t>所属事业单位分别是 ：岳阳市重点项目事务中心、岳阳市发展改革事务中心、军粮供应中心。</w:t>
      </w:r>
    </w:p>
    <w:p>
      <w:pPr>
        <w:numPr>
          <w:ilvl w:val="0"/>
          <w:numId w:val="6"/>
        </w:num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部门预算构成</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本部门预算为汇总预算，纳入编制范围的预算单位包括：</w:t>
      </w:r>
    </w:p>
    <w:p>
      <w:pPr>
        <w:numPr>
          <w:ilvl w:val="0"/>
          <w:numId w:val="7"/>
        </w:numPr>
        <w:ind w:left="525" w:leftChars="0" w:firstLine="0" w:firstLineChars="0"/>
        <w:rPr>
          <w:rFonts w:hint="eastAsia" w:ascii="仿宋" w:hAnsi="仿宋" w:eastAsia="仿宋" w:cs="仿宋"/>
          <w:sz w:val="32"/>
          <w:szCs w:val="32"/>
        </w:rPr>
      </w:pPr>
      <w:r>
        <w:rPr>
          <w:rFonts w:hint="eastAsia" w:ascii="仿宋" w:hAnsi="仿宋" w:eastAsia="仿宋" w:cs="仿宋"/>
          <w:sz w:val="32"/>
          <w:szCs w:val="32"/>
        </w:rPr>
        <w:t>岳阳市发展和改革委本级</w:t>
      </w:r>
    </w:p>
    <w:p>
      <w:pPr>
        <w:numPr>
          <w:ilvl w:val="0"/>
          <w:numId w:val="6"/>
        </w:num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部门收支总体情况</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p>
      <w:pPr>
        <w:numPr>
          <w:ilvl w:val="0"/>
          <w:numId w:val="8"/>
        </w:numPr>
        <w:ind w:left="42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收入预算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一般公共预算、政府性基金、国有资本经营预算等财政拨款收入，以及经营收入、事业收入等单位资金。2023年度本部门收入预算1996.69万元，其中，一般公共预算拨款1996.69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2023年收入较去年增加128.8元，主要是因为2023年我单位人员增加。</w:t>
      </w:r>
    </w:p>
    <w:p>
      <w:pPr>
        <w:numPr>
          <w:ilvl w:val="0"/>
          <w:numId w:val="8"/>
        </w:numPr>
        <w:ind w:left="42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支出预算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部门支出预算1996.69万元，其中，201一般公共服务支出1377.98万元，208社会保障和就业支出363.77万元，210卫生健康支出136.09万元，221住房保障支出118.85万元，支出较去年增加128.8万元，主要是因为我单位人员增加，并增加下单位经费15万元。</w:t>
      </w:r>
    </w:p>
    <w:p>
      <w:pPr>
        <w:numPr>
          <w:ilvl w:val="0"/>
          <w:numId w:val="6"/>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一般公共预算拨款支出预算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一般公共预算拨款支出预算1996.69万元，其中，201一般公共服务支出1377.98万元，占69.01%；208社会保障和就业支出363.77万元，占18.22%；210卫生健康支出136.09万元，占6.82%；221住房保障支出118.85万元，占5.95%；具体安排情况如下：</w:t>
      </w:r>
    </w:p>
    <w:p>
      <w:pPr>
        <w:numPr>
          <w:ilvl w:val="0"/>
          <w:numId w:val="9"/>
        </w:numPr>
        <w:ind w:left="42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2023年基本支出年初预算数为1979.19万元（数据来源见表23），是指为保障单位机构正常运转、完成日常工作任务而发生的各项支出，包括用于基本工资、津贴补贴等人员经费以及办公费、印刷费、水电费、差旅费等日常公用经费。</w:t>
      </w:r>
    </w:p>
    <w:p>
      <w:pPr>
        <w:numPr>
          <w:ilvl w:val="0"/>
          <w:numId w:val="9"/>
        </w:numPr>
        <w:ind w:left="42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2023年项目支出年初预算数为17.50万元（数据来源见表20），是指部门为完成特定行政工作任务或事业发展目标而发生的支出，包括有关业务工作经费、运行维护经费、其他事业发展资金等。其中：办案费专项支出2.50万元，主要用于开展专项检查办案等服务支出方面,财经办经费专项支出15.00万元，主要用于围绕全市社会经济发展的总打问题，组织开展调研；统筹相关方案和措施；对相关事项进行评估；承担相关会议会务工作；协调落实情况督查、总结及推广等方面。</w:t>
      </w:r>
    </w:p>
    <w:p>
      <w:pPr>
        <w:numPr>
          <w:ilvl w:val="0"/>
          <w:numId w:val="6"/>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政府性基金预算支出</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2023年度本部门无政府性基金安排的支出，所以公开的附件15-17（政府性基金预算）为空。</w:t>
      </w:r>
    </w:p>
    <w:p>
      <w:pPr>
        <w:numPr>
          <w:ilvl w:val="0"/>
          <w:numId w:val="6"/>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其他重要事项的情况说明 </w:t>
      </w:r>
    </w:p>
    <w:p>
      <w:pPr>
        <w:numPr>
          <w:ilvl w:val="0"/>
          <w:numId w:val="1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机关运行经费本</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2023年机关运行经费当年一般公共预算拨款327.33万元（数据来源见表12），比上一年增加161.28万元，增加49.27%。主要原因是2023年我委人员增加，办公费用提高；2022年其他交通费用（公车补贴）委纳入办公经费。</w:t>
      </w:r>
    </w:p>
    <w:p>
      <w:pPr>
        <w:numPr>
          <w:ilvl w:val="0"/>
          <w:numId w:val="10"/>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“三公”经费预算</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2023年“三公”经费预算数14.00万元（数据来源见表14），其中，公务接待费2.00万元，因公出国（境）费0.00万元，公务用车购置及运行费12.00万元（其中，公务用车购置费0.00万元，公务用车运行费12.00万元）。2023年三公经费预算较上年减少19万元，主要原因是厉行节约，进一步压缩三公经费；2022年11月机关事务局我委核定车辆减少一台，因此23年度公务用车运行经费减少。</w:t>
      </w:r>
    </w:p>
    <w:p>
      <w:pPr>
        <w:numPr>
          <w:ilvl w:val="0"/>
          <w:numId w:val="10"/>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一般性支出情况本</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2023年会议费预算2.00万元（数据来源见表13会议费、培训费），拟召开6次会议，人数570人，内容为党中央统一部署的主题教育；培训费预算1万元，拟开展2次培训，人数285人，内容为开展主题教育的培训；2023年度本部门未计划举办节庆、晚会、论坛、赛事活动。</w:t>
      </w:r>
    </w:p>
    <w:p>
      <w:pPr>
        <w:numPr>
          <w:ilvl w:val="0"/>
          <w:numId w:val="10"/>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政府采购情况 </w:t>
      </w:r>
    </w:p>
    <w:p>
      <w:pPr>
        <w:numPr>
          <w:ilvl w:val="0"/>
          <w:numId w:val="0"/>
        </w:numPr>
        <w:ind w:leftChars="0"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2023年度本部门未安排政府采购预算，</w:t>
      </w:r>
      <w:bookmarkStart w:id="0" w:name="_GoBack"/>
      <w:bookmarkEnd w:id="0"/>
      <w:r>
        <w:rPr>
          <w:rFonts w:hint="eastAsia" w:ascii="仿宋" w:hAnsi="仿宋" w:eastAsia="仿宋" w:cs="仿宋"/>
          <w:sz w:val="32"/>
          <w:szCs w:val="32"/>
          <w:lang w:val="en-US" w:eastAsia="zh-CN"/>
        </w:rPr>
        <w:t>政府采购预算总额0万元，其中工程类0万元，服务类0万元。</w:t>
      </w:r>
    </w:p>
    <w:p>
      <w:pPr>
        <w:numPr>
          <w:ilvl w:val="0"/>
          <w:numId w:val="10"/>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国有资产占有使用及新增资产配置情况</w:t>
      </w:r>
    </w:p>
    <w:p>
      <w:pPr>
        <w:numPr>
          <w:ilvl w:val="0"/>
          <w:numId w:val="0"/>
        </w:numPr>
        <w:ind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截至上年底，本部门共有车辆5辆，其中领导干部用车0辆，一般公务用车5辆，其他用车0辆。单位价值50万元以上通用设备0台，单位价值100万元以上专用设备0台。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拟报废处置车辆0辆，其中：报废处置领导干部用车0辆，报废处置一般公务用车0辆，报废处置其他用车0辆，报废处置单位价值50万元以上通用设备0台，报废处置单位价值100万元以上通用设备0台。拟新增配置车辆0辆，其中领导干部用车0辆，一般公务用车0辆，其他用车0辆，主要用于无，资金来源为无。</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2023年拟新增配备领导干部用车0辆，一般公务用车0辆，其他用车0辆，新增配备单位价值50万元以上通用设备0台，单位价值100万元以上专用设备0台。2023年度本部门未计划处置或新增车辆、设备等。</w:t>
      </w:r>
    </w:p>
    <w:p>
      <w:pPr>
        <w:numPr>
          <w:ilvl w:val="0"/>
          <w:numId w:val="10"/>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预算绩效目标说明</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本部门所有支出实行绩效目标管理。纳入2023年部门整体支出绩效目标的金额为1996.69万元，其中，基本支出1979.19万元，项目支出17.50万元，详见文尾附表中部门预算公开表格的表21-22。  </w:t>
      </w:r>
    </w:p>
    <w:p>
      <w:pPr>
        <w:numPr>
          <w:ilvl w:val="0"/>
          <w:numId w:val="6"/>
        </w:numPr>
        <w:ind w:left="0" w:leftChars="0" w:firstLine="0" w:firstLineChars="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名词解释</w:t>
      </w:r>
      <w:r>
        <w:rPr>
          <w:rFonts w:hint="eastAsia" w:ascii="仿宋" w:hAnsi="仿宋" w:eastAsia="仿宋" w:cs="仿宋"/>
          <w:sz w:val="32"/>
          <w:szCs w:val="32"/>
          <w:lang w:val="en-US" w:eastAsia="zh-CN"/>
        </w:rPr>
        <w:t xml:space="preserve"> </w:t>
      </w:r>
    </w:p>
    <w:p>
      <w:pPr>
        <w:numPr>
          <w:ilvl w:val="0"/>
          <w:numId w:val="11"/>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numPr>
          <w:ilvl w:val="0"/>
          <w:numId w:val="11"/>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p>
      <w:pPr>
        <w:numPr>
          <w:ilvl w:val="0"/>
          <w:numId w:val="3"/>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2023年部门预算公开表格</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收支总表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收入总表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支出总表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支出预算分类汇总表（按政府预算经济分类）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支出预算分类汇总表（按部门预算经济分类）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财政拨款收支总表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一般公共预算支出表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一般公共预算基本支出表-人员经费（工资福利支出）（按政府预算经济分类）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一般公共预算基本支出表-人员经费（工资福利支出）（按部门预算经济分类）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一般公共预算基本支出表-人员经费（对个人和家庭的补助）（按政府预算经济分类）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一般公共预算基本支出表-人员经费（对个人和家庭的补助）（按部门预算经济分类）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一般公共预算基本支出表-公用经费（商品和服务支出）（按政府预算经济分类）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一般公共预算基本支出表-公用经费（商品和服务支出）（按部门预算经济分类）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一般公共预算“三公”经费支出表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政府性基金预算支出表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政府性基金预算支出分类汇总表（按政府预算经济分类）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政府性基金预算支出分类汇总表（按部门预算经济分类）</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国有资本经营预算支出表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财政专户管理资金预算支出表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专项资金预算汇总表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项目支出绩效目标表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部门整体支出绩效目标表</w:t>
      </w:r>
    </w:p>
    <w:p>
      <w:pPr>
        <w:numPr>
          <w:ilvl w:val="0"/>
          <w:numId w:val="12"/>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一般公共预算基本支出表</w:t>
      </w:r>
    </w:p>
    <w:p>
      <w:pPr>
        <w:numPr>
          <w:ilvl w:val="0"/>
          <w:numId w:val="0"/>
        </w:numPr>
        <w:jc w:val="both"/>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注：以上部门预算公开报表中，空表表示本部门无相关收支情况。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C3EB"/>
    <w:multiLevelType w:val="singleLevel"/>
    <w:tmpl w:val="827AC3EB"/>
    <w:lvl w:ilvl="0" w:tentative="0">
      <w:start w:val="1"/>
      <w:numFmt w:val="chineseCounting"/>
      <w:suff w:val="space"/>
      <w:lvlText w:val="第%1部分"/>
      <w:lvlJc w:val="left"/>
      <w:rPr>
        <w:rFonts w:hint="eastAsia"/>
      </w:rPr>
    </w:lvl>
  </w:abstractNum>
  <w:abstractNum w:abstractNumId="1">
    <w:nsid w:val="A43EC61E"/>
    <w:multiLevelType w:val="singleLevel"/>
    <w:tmpl w:val="A43EC61E"/>
    <w:lvl w:ilvl="0" w:tentative="0">
      <w:start w:val="2"/>
      <w:numFmt w:val="chineseCounting"/>
      <w:suff w:val="nothing"/>
      <w:lvlText w:val="%1、"/>
      <w:lvlJc w:val="left"/>
      <w:pPr>
        <w:ind w:left="0" w:leftChars="0" w:firstLine="0" w:firstLineChars="0"/>
      </w:pPr>
      <w:rPr>
        <w:rFonts w:hint="eastAsia"/>
      </w:rPr>
    </w:lvl>
  </w:abstractNum>
  <w:abstractNum w:abstractNumId="2">
    <w:nsid w:val="BE220CC8"/>
    <w:multiLevelType w:val="singleLevel"/>
    <w:tmpl w:val="BE220CC8"/>
    <w:lvl w:ilvl="0" w:tentative="0">
      <w:start w:val="1"/>
      <w:numFmt w:val="decimal"/>
      <w:suff w:val="nothing"/>
      <w:lvlText w:val="%1、"/>
      <w:lvlJc w:val="left"/>
      <w:pPr>
        <w:ind w:left="525" w:leftChars="0" w:firstLine="0" w:firstLineChars="0"/>
      </w:pPr>
    </w:lvl>
  </w:abstractNum>
  <w:abstractNum w:abstractNumId="3">
    <w:nsid w:val="D47AFD15"/>
    <w:multiLevelType w:val="singleLevel"/>
    <w:tmpl w:val="D47AFD15"/>
    <w:lvl w:ilvl="0" w:tentative="0">
      <w:start w:val="1"/>
      <w:numFmt w:val="chineseCounting"/>
      <w:suff w:val="nothing"/>
      <w:lvlText w:val="（%1）"/>
      <w:lvlJc w:val="left"/>
      <w:rPr>
        <w:rFonts w:hint="eastAsia"/>
      </w:rPr>
    </w:lvl>
  </w:abstractNum>
  <w:abstractNum w:abstractNumId="4">
    <w:nsid w:val="FBD681AF"/>
    <w:multiLevelType w:val="singleLevel"/>
    <w:tmpl w:val="FBD681AF"/>
    <w:lvl w:ilvl="0" w:tentative="0">
      <w:start w:val="1"/>
      <w:numFmt w:val="chineseCounting"/>
      <w:suff w:val="nothing"/>
      <w:lvlText w:val="（%1）"/>
      <w:lvlJc w:val="left"/>
      <w:rPr>
        <w:rFonts w:hint="eastAsia"/>
      </w:rPr>
    </w:lvl>
  </w:abstractNum>
  <w:abstractNum w:abstractNumId="5">
    <w:nsid w:val="0C27AAA1"/>
    <w:multiLevelType w:val="singleLevel"/>
    <w:tmpl w:val="0C27AAA1"/>
    <w:lvl w:ilvl="0" w:tentative="0">
      <w:start w:val="1"/>
      <w:numFmt w:val="chineseCounting"/>
      <w:suff w:val="nothing"/>
      <w:lvlText w:val="（%1）"/>
      <w:lvlJc w:val="left"/>
      <w:rPr>
        <w:rFonts w:hint="eastAsia"/>
      </w:rPr>
    </w:lvl>
  </w:abstractNum>
  <w:abstractNum w:abstractNumId="6">
    <w:nsid w:val="42D029F8"/>
    <w:multiLevelType w:val="singleLevel"/>
    <w:tmpl w:val="42D029F8"/>
    <w:lvl w:ilvl="0" w:tentative="0">
      <w:start w:val="1"/>
      <w:numFmt w:val="decimal"/>
      <w:suff w:val="nothing"/>
      <w:lvlText w:val="%1、"/>
      <w:lvlJc w:val="left"/>
    </w:lvl>
  </w:abstractNum>
  <w:abstractNum w:abstractNumId="7">
    <w:nsid w:val="43724FAA"/>
    <w:multiLevelType w:val="singleLevel"/>
    <w:tmpl w:val="43724FAA"/>
    <w:lvl w:ilvl="0" w:tentative="0">
      <w:start w:val="1"/>
      <w:numFmt w:val="chineseCounting"/>
      <w:suff w:val="nothing"/>
      <w:lvlText w:val="（%1）"/>
      <w:lvlJc w:val="left"/>
      <w:pPr>
        <w:ind w:left="420" w:leftChars="0" w:firstLine="0" w:firstLineChars="0"/>
      </w:pPr>
      <w:rPr>
        <w:rFonts w:hint="eastAsia"/>
      </w:rPr>
    </w:lvl>
  </w:abstractNum>
  <w:abstractNum w:abstractNumId="8">
    <w:nsid w:val="43FD30F8"/>
    <w:multiLevelType w:val="singleLevel"/>
    <w:tmpl w:val="43FD30F8"/>
    <w:lvl w:ilvl="0" w:tentative="0">
      <w:start w:val="1"/>
      <w:numFmt w:val="chineseCounting"/>
      <w:suff w:val="space"/>
      <w:lvlText w:val="第%1部分"/>
      <w:lvlJc w:val="left"/>
      <w:rPr>
        <w:rFonts w:hint="eastAsia"/>
      </w:rPr>
    </w:lvl>
  </w:abstractNum>
  <w:abstractNum w:abstractNumId="9">
    <w:nsid w:val="67F14750"/>
    <w:multiLevelType w:val="singleLevel"/>
    <w:tmpl w:val="67F14750"/>
    <w:lvl w:ilvl="0" w:tentative="0">
      <w:start w:val="1"/>
      <w:numFmt w:val="chineseCounting"/>
      <w:suff w:val="nothing"/>
      <w:lvlText w:val="%1、"/>
      <w:lvlJc w:val="left"/>
      <w:pPr>
        <w:ind w:left="630" w:leftChars="0" w:firstLine="0" w:firstLineChars="0"/>
      </w:pPr>
      <w:rPr>
        <w:rFonts w:hint="eastAsia"/>
      </w:rPr>
    </w:lvl>
  </w:abstractNum>
  <w:abstractNum w:abstractNumId="10">
    <w:nsid w:val="6E1BC4EA"/>
    <w:multiLevelType w:val="singleLevel"/>
    <w:tmpl w:val="6E1BC4EA"/>
    <w:lvl w:ilvl="0" w:tentative="0">
      <w:start w:val="1"/>
      <w:numFmt w:val="decimal"/>
      <w:suff w:val="nothing"/>
      <w:lvlText w:val="%1、"/>
      <w:lvlJc w:val="left"/>
    </w:lvl>
  </w:abstractNum>
  <w:abstractNum w:abstractNumId="11">
    <w:nsid w:val="7BA97770"/>
    <w:multiLevelType w:val="singleLevel"/>
    <w:tmpl w:val="7BA97770"/>
    <w:lvl w:ilvl="0" w:tentative="0">
      <w:start w:val="1"/>
      <w:numFmt w:val="decimal"/>
      <w:suff w:val="nothing"/>
      <w:lvlText w:val="%1、"/>
      <w:lvlJc w:val="left"/>
    </w:lvl>
  </w:abstractNum>
  <w:num w:numId="1">
    <w:abstractNumId w:val="0"/>
  </w:num>
  <w:num w:numId="2">
    <w:abstractNumId w:val="6"/>
  </w:num>
  <w:num w:numId="3">
    <w:abstractNumId w:val="8"/>
  </w:num>
  <w:num w:numId="4">
    <w:abstractNumId w:val="9"/>
  </w:num>
  <w:num w:numId="5">
    <w:abstractNumId w:val="3"/>
  </w:num>
  <w:num w:numId="6">
    <w:abstractNumId w:val="1"/>
  </w:num>
  <w:num w:numId="7">
    <w:abstractNumId w:val="2"/>
  </w:num>
  <w:num w:numId="8">
    <w:abstractNumId w:val="7"/>
  </w:num>
  <w:num w:numId="9">
    <w:abstractNumId w:val="4"/>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54D77"/>
    <w:rsid w:val="3D88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2024-08-19T07:36:00Z</dcterms:created>
  <dc:creator>Administrator</dc:creator>
  <cp:lastModifiedBy>Administrator</cp:lastModifiedBy>
  <dcterms:modified xsi:type="dcterms:W3CDTF">2024-12-04T01:58:02Z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F3A10221A02741D6A0B2188274976458</vt:lpwstr>
  </property>
</Properties>
</file>