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84"/>
          <w:szCs w:val="84"/>
        </w:rPr>
      </w:pPr>
    </w:p>
    <w:p>
      <w:pPr>
        <w:pStyle w:val="13"/>
        <w:jc w:val="center"/>
        <w:rPr>
          <w:sz w:val="84"/>
          <w:szCs w:val="84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年度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  <w:t>湖南民族职业学院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32"/>
          <w:szCs w:val="32"/>
        </w:rPr>
      </w:pPr>
    </w:p>
    <w:p>
      <w:pPr>
        <w:pStyle w:val="13"/>
        <w:jc w:val="center"/>
        <w:rPr>
          <w:sz w:val="32"/>
          <w:szCs w:val="32"/>
        </w:rPr>
      </w:pPr>
    </w:p>
    <w:p>
      <w:pPr>
        <w:pStyle w:val="13"/>
        <w:jc w:val="center"/>
        <w:rPr>
          <w:sz w:val="32"/>
          <w:szCs w:val="32"/>
        </w:rPr>
      </w:pPr>
    </w:p>
    <w:p>
      <w:pPr>
        <w:pStyle w:val="13"/>
        <w:jc w:val="center"/>
        <w:rPr>
          <w:sz w:val="32"/>
          <w:szCs w:val="32"/>
        </w:rPr>
      </w:pPr>
    </w:p>
    <w:p>
      <w:pPr>
        <w:pStyle w:val="13"/>
        <w:jc w:val="center"/>
        <w:rPr>
          <w:sz w:val="32"/>
          <w:szCs w:val="32"/>
        </w:rPr>
      </w:pPr>
    </w:p>
    <w:p>
      <w:pPr>
        <w:pStyle w:val="13"/>
        <w:spacing w:line="540" w:lineRule="exact"/>
        <w:jc w:val="center"/>
        <w:rPr>
          <w:sz w:val="56"/>
          <w:szCs w:val="56"/>
        </w:rPr>
      </w:pPr>
    </w:p>
    <w:p>
      <w:pPr>
        <w:pStyle w:val="13"/>
        <w:spacing w:line="500" w:lineRule="exact"/>
        <w:ind w:firstLine="3960" w:firstLineChars="1100"/>
        <w:jc w:val="both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湖南民族职业学院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概况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及决算单位构成</w:t>
      </w:r>
    </w:p>
    <w:p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部门决算情况说明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七、政府性基金预算收入支出决算情况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八、</w:t>
      </w:r>
      <w:r>
        <w:rPr>
          <w:rFonts w:hint="eastAsia" w:ascii="仿宋_GB2312" w:hAnsi="仿宋_GB2312" w:eastAsia="仿宋_GB2312" w:cs="仿宋_GB2312"/>
          <w:sz w:val="28"/>
          <w:szCs w:val="28"/>
        </w:rPr>
        <w:t>国有资本经营预算财政拨款支出决算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九、财政拨款三公经费支出决算情况说明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十、关于机关运行经费支出说明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十一、一般性支出情况说明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关于政府采购支出说明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十三、关于国有资产占用情况说明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关于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</w:rPr>
        <w:t>绩效情况的说明</w:t>
      </w:r>
    </w:p>
    <w:p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名词解释</w:t>
      </w:r>
    </w:p>
    <w:p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附件</w:t>
      </w:r>
    </w:p>
    <w:p>
      <w:pPr>
        <w:pStyle w:val="13"/>
        <w:tabs>
          <w:tab w:val="left" w:pos="4671"/>
        </w:tabs>
        <w:jc w:val="left"/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  <w:tab/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  <w:t>湖南民族职业学院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概况</w:t>
      </w:r>
    </w:p>
    <w:p>
      <w:pPr>
        <w:pStyle w:val="2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3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2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3"/>
        <w:rPr>
          <w:rFonts w:hint="eastAsia"/>
        </w:rPr>
      </w:pPr>
    </w:p>
    <w:p>
      <w:pPr>
        <w:pStyle w:val="2"/>
        <w:rPr>
          <w:rFonts w:hint="eastAsia" w:ascii="方正小标宋_GBK" w:hAnsi="方正小标宋_GBK" w:eastAsia="方正小标宋_GBK" w:cs="方正小标宋_GBK"/>
          <w:sz w:val="24"/>
          <w:szCs w:val="24"/>
        </w:rPr>
      </w:pPr>
    </w:p>
    <w:p>
      <w:pPr>
        <w:pStyle w:val="2"/>
        <w:rPr>
          <w:rFonts w:hint="eastAsia"/>
        </w:rPr>
      </w:pPr>
    </w:p>
    <w:p>
      <w:pPr>
        <w:pStyle w:val="14"/>
        <w:numPr>
          <w:ilvl w:val="0"/>
          <w:numId w:val="1"/>
        </w:numPr>
        <w:ind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部门职责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（一）部门职责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培养高等专科学历技术人才，促进高等职业教育和民族教育共同发展。以开展中小学教师教育、高等职业教育、民族职业教育为主，相关教育教学科学研究和相关继续教育培训为辅的教育教学活动。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（二）人员情况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 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 xml:space="preserve"> 2022年本单位年末实有人数1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021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人，比上年增加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人。人员变化的主要原因是招聘新进教职员工。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（三）当年取得的主要事业成效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在2023年全国职业院校技能竞赛小学教育活动设计与实施教师赛中，杨韵霖、黄敏团队以全国第二名的好成绩获得一等奖。此外还斩获学生赛国家级一等奖1项、二等奖1项、三等奖3项，创历史最好成绩。在2024年湖南省“楚怡”杯职业院校技能竞赛中我校共获得省级一等奖14项，二等奖20项，三等奖10项，其中7个团队跻身国赛，再次刷新了记录。在积极参赛的同时，学校还成功承办了小学教育活动设计与实施学生赛、小学教育活动设计与实施教师赛、数字艺术设计学生赛等三个省赛赛项的赛点工作。极大的扩大了学校的办学影响力。与此同时，学校坚持“以赛促教、以赛促研、以赛促改、以赛促建”，组织11个教学团队参加全省教师教学技能竞赛，获得4个一等奖、1个二等奖、3个三等奖。组织教师参加湖南省高校思想政治理论课教学展示活动获特等奖1项、二等奖1项。组织教师参加湖南省经典诵读比赛获一等奖；参加湖南省“湘语时光”诵读大会总决赛获一等奖第一名。</w:t>
      </w:r>
    </w:p>
    <w:p>
      <w:pPr>
        <w:pStyle w:val="2"/>
        <w:ind w:firstLine="640"/>
        <w:rPr>
          <w:rFonts w:hint="default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widowControl/>
        <w:spacing w:line="600" w:lineRule="exac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二、机构设置及决算单位构成</w:t>
      </w:r>
    </w:p>
    <w:p>
      <w:pPr>
        <w:widowControl/>
        <w:spacing w:line="600" w:lineRule="exact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（一）内设机构设置。</w:t>
      </w:r>
    </w:p>
    <w:p>
      <w:pPr>
        <w:pStyle w:val="2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 xml:space="preserve">   根据编委核定，湖南民族职业学院内部设置党政管理机构14个、教辅机构4个、教学机构11个，纪检监察机构1个。全部纳入2023年部门预算编制范围。</w:t>
      </w:r>
    </w:p>
    <w:p>
      <w:pPr>
        <w:pStyle w:val="2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    内设部门分别是党政办公室、组织人事处、宣传统战部、教务处、学生工作处、招生就业指导处、计划财务处、科研处、基建后勤处、安全保卫处、资产管理处、审计处、教学督导与质量管理处、发展规划处、信息化建设与管理中心、实训中心、图书馆、创新创业学院、学前教育学院、小学教育学院、艺术设计学院、商贸旅游学院、数智技术学院、电子信息工程学院、基础教育学院、马克思主义学院、成人教育学院、社会培训学院、“一带一路”国际教育交流学院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按相关规定设置纪检监察机构:纪检监察室。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校级工会、共青团组织按有关章程设置，与相关党政管理机构合署办公。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-SA"/>
        </w:rPr>
        <w:t>决算单位构成。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仿宋_GB2312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-SA"/>
        </w:rPr>
        <w:t>本单位无独立核算的下属单位，2023年度部门决算汇总公开单位仅包括湖南民族职业学院本级。</w:t>
      </w: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  <w:t>（见附件）</w:t>
      </w: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3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202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年度部门决算情况说明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i/>
          <w:i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22767.89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万元。与上年相比，减少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467.46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2.01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学校厉行节俭，减少有关项目开支。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22767.89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11360.2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49.9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%；事业收入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9414.37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41.35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%；附属单位上缴收入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1993.32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8.75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22767.89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13134.1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57.69</w:t>
      </w:r>
      <w:r>
        <w:rPr>
          <w:rFonts w:hint="eastAsia" w:ascii="仿宋_GB2312" w:hAnsi="仿宋_GB2312" w:eastAsia="仿宋_GB2312" w:cs="仿宋_GB2312"/>
          <w:sz w:val="32"/>
          <w:szCs w:val="32"/>
        </w:rPr>
        <w:t>%；项目支出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9633.79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42.31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%；上缴上级支出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%；对附属单位补助支出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11360.2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万元，与上年相比，减少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1413.69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14.21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未新借政府性债务。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（一）一般公共预算财政拨款支出决算总体情况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11360.2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万元，占本年支出合计的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49.9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%，与上年相比，财政拨款支出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1413.7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14.21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一般公共服务支出减少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0.65万元，国防支出增加11.58万元，教育支出增加1064.15万元，科学技术支出增加0.58万元，文化旅游体育与传媒支出减少5万元，社会保障和就业支出减少9.96万元，农林水支出增加353万元。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（二）一般公共预算财政拨款支出决算结构情况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11360.2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万元，主要用于以下方面：一般公共服务（类）支出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0.02</w:t>
      </w:r>
      <w:r>
        <w:rPr>
          <w:rFonts w:hint="eastAsia" w:ascii="仿宋_GB2312" w:hAnsi="仿宋_GB2312" w:eastAsia="仿宋_GB2312" w:cs="仿宋_GB2312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国防支出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11.58万元，占0.11%；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教育（类）支出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10971.59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96.58</w:t>
      </w:r>
      <w:r>
        <w:rPr>
          <w:rFonts w:hint="eastAsia" w:ascii="仿宋_GB2312" w:hAnsi="仿宋_GB2312" w:eastAsia="仿宋_GB2312" w:cs="仿宋_GB2312"/>
          <w:sz w:val="32"/>
          <w:szCs w:val="32"/>
        </w:rPr>
        <w:t>%;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科学技术支出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0.58万元，占0.01%；文化旅游体育与传媒支出15万元，占0.13%；社会保障和就业支出5.69万元，占0.05%；农林水支出353万元，占3.1%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（三）一般公共预算财政拨款支出决算具体情况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年度财政拨款支出年初预算数为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11360.2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11360.2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民族事务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民族工作专项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国防支出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（类）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国防动员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兵役征集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11.58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11.58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3.教育支出（类）教育管理事务（款）一般行政管理事务（项）。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4.教育支出（类）普通教育（款）其他普通教育支出（项）。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年初预算为24.65万元，支出决算为24.65万元，完成年初预算的100%，主要原因是我单位严格按预算执行决算。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5.教育支出（类）职业教育（款）高等职业教育（项）。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4234.52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4234.52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6.教育支出（类）职业教育（款）其他职业教育支出（项）。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29.54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29.54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7.教育支出（类）成人教育（款）成人高等教育（项）。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395.31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395.31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8.教育支出（类）教育费附加安排的支出（款）其他教育费附加安排的支出（项）。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6275.13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6275.13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9.科学技术支出（类）基础研究（款）自然科学基金（项）。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10.文化旅游体育与传媒支出（类）文化和旅游（款）其他文化和旅游支出（项）。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社会保障和就业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支出（类）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就业补助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（款）其他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就业补助支出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（项）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4.49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4.49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万元，完成年初预算的100%，主要原因是我单位严格按预算执行决算。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12.社会保障和就业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支出（类）其他社会保障和就业支出（款）其他社会保障和就业支出（项）。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万元，完成年初预算的100%，主要原因是我单位严格按预算执行决算。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13.农林水支出（类）巩固脱贫攻坚成果衔接乡村振兴（款）其他巩固脱贫攻坚成果衔接乡村振兴（项）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年初预算为353万元，支出决算为353万元，完成年初预算的100%，主要原因是我单位严格按预算执行决算。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六、一般公共预算财政拨款基本支出决算情况说明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7717.17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5408.11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70.08</w:t>
      </w:r>
      <w:r>
        <w:rPr>
          <w:rFonts w:hint="eastAsia" w:ascii="仿宋_GB2312" w:hAnsi="仿宋_GB2312" w:eastAsia="仿宋_GB2312" w:cs="仿宋_GB2312"/>
          <w:sz w:val="32"/>
          <w:szCs w:val="32"/>
        </w:rPr>
        <w:t>%,主要包括基本工资、绩效工资、机关事业单位基本养老保险缴费、职工基本医疗保险缴费、其他社会保障缴费、住房公积金、其他工资福利支出、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退休费、抚恤金、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生活补助、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医疗费补助、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其他对个人和家庭的补助。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2309.06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29.92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%，主要包括办公费、印刷费、水费、电费、物业管理费、差旅费、维修（护）费、会议费、培训费、公务接待费、专用材料费、劳务费、公务用车运行维护费、其他交通费用。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七、政府性基金预算收入支出决算情况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i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年度政府性基金预算财政拨款收入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万元；年初结转和结余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万元；年末结转和结余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  <w:t>八、国有资本经营预算财政拨款支出决算情况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2023年度国有资本经营预算财政拨款收入0万元；年初结转和结余0万；支出0万元，其中：基本支出0万元，项目支出0万元；年末结转和结余0万元。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九、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财政拨款三公经费支出决算情况说明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（一）“三公”经费财政拨款支出决算总体情况说明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“三公”经费财政拨款支出预算为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%，决算数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等于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预算数的主要原因是“三公”经费支出严格按预算执行决算。其中：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因公出国（境）费支出预算为0万元，支出决算为0万元，决算数等于年初预算数的主要原因是我单位严格按预算执行决算；与上年一致，无增减变动，主要原因是未安排因公出国（境）活动。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公务接待费支出预算为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0.74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0.74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%，决算数与年初预算数持平，主要原因是该经费支出严格按预算执行决算。与上年相比增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105.04</w:t>
      </w:r>
      <w:r>
        <w:rPr>
          <w:rFonts w:hint="eastAsia" w:ascii="仿宋_GB2312" w:hAnsi="仿宋_GB2312" w:eastAsia="仿宋_GB2312" w:cs="仿宋_GB2312"/>
          <w:sz w:val="32"/>
          <w:szCs w:val="32"/>
        </w:rPr>
        <w:t>%,增长的主要原因是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交流研讨活动增加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公务用车购置费支出预算为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决算数等于预算数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主要原因是我单位严格按预算执行决算；</w:t>
      </w:r>
      <w:r>
        <w:rPr>
          <w:rFonts w:hint="eastAsia" w:ascii="仿宋_GB2312" w:hAnsi="仿宋_GB2312" w:eastAsia="仿宋_GB2312" w:cs="仿宋_GB2312"/>
          <w:sz w:val="32"/>
          <w:szCs w:val="32"/>
        </w:rPr>
        <w:t>与上年相比减少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%,减少的主要原因是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厉行节俭，未新增公务用车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%，决算数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持平</w:t>
      </w:r>
      <w:r>
        <w:rPr>
          <w:rFonts w:hint="eastAsia" w:ascii="仿宋_GB2312" w:hAnsi="仿宋_GB2312" w:eastAsia="仿宋_GB2312" w:cs="仿宋_GB2312"/>
          <w:sz w:val="32"/>
          <w:szCs w:val="32"/>
        </w:rPr>
        <w:t>的主要原因是该经费支出严格按预算执行决算。与上年相比减少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0.85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12.2</w:t>
      </w:r>
      <w:r>
        <w:rPr>
          <w:rFonts w:hint="eastAsia" w:ascii="仿宋_GB2312" w:hAnsi="仿宋_GB2312" w:eastAsia="仿宋_GB2312" w:cs="仿宋_GB2312"/>
          <w:sz w:val="32"/>
          <w:szCs w:val="32"/>
        </w:rPr>
        <w:t>%,减少的主要原因是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厉行节俭，减少公务用车使用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（二）“三公”经费财政拨款支出决算具体情况说明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年度“三公”经费财政拨款支出决算中，公务接待费支出决算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0.74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10.79</w:t>
      </w:r>
      <w:r>
        <w:rPr>
          <w:rFonts w:hint="eastAsia" w:ascii="仿宋_GB2312" w:hAnsi="仿宋_GB2312" w:eastAsia="仿宋_GB2312" w:cs="仿宋_GB2312"/>
          <w:sz w:val="32"/>
          <w:szCs w:val="32"/>
        </w:rPr>
        <w:t>%,因公出国（境）费支出决算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%,公务用车购置费及运行维护费支出决算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89.21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%。其中：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1、因公出国（境）费支出决算为0万元，全年安排因公出国（境）团组0个，累计0人次，我单位2023年度无因公出国（境）费支出。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、公务接待费支出决算为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0.74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万元，全年共接待来访团组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个、来宾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125</w:t>
      </w:r>
      <w:r>
        <w:rPr>
          <w:rFonts w:hint="eastAsia" w:ascii="仿宋_GB2312" w:hAnsi="仿宋_GB2312" w:eastAsia="仿宋_GB2312" w:cs="仿宋_GB2312"/>
          <w:sz w:val="32"/>
          <w:szCs w:val="32"/>
        </w:rPr>
        <w:t>人次，主要是兄弟院校交流、各类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调研检查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等发生的接待支出。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/>
          <w:bCs/>
          <w:i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3、公务用车购置费及运行维护费支出决算为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公务用车购置费0万元，当年没有购置公务用车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万元，主要是车辆运行维修支出，截止202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年12月31日，我单位开支财政拨款的公务用车保有量为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辆。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/>
          <w:b/>
          <w:color w:val="auto"/>
          <w:sz w:val="32"/>
          <w:szCs w:val="32"/>
        </w:rPr>
        <w:t>、关于机关运行经费支出说明</w:t>
      </w:r>
    </w:p>
    <w:p>
      <w:pPr>
        <w:pStyle w:val="13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本级和所属单位均为事业单位，按照机关运行经费的口径，本年度机关运行经费为0。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、一般性支出情况说明</w:t>
      </w:r>
    </w:p>
    <w:p>
      <w:pPr>
        <w:pStyle w:val="13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年度，会议费年初预算10.05万元，支出决算为10.05万元，完成年初预算的100%。用于召开学生就创业、学术研讨、项目申报会议，</w:t>
      </w:r>
      <w:r>
        <w:rPr>
          <w:rFonts w:hint="eastAsia" w:ascii="仿宋_GB2312" w:hAnsi="仿宋_GB2312" w:eastAsia="仿宋_GB2312" w:cs="仿宋_GB2312"/>
          <w:sz w:val="32"/>
          <w:szCs w:val="32"/>
        </w:rPr>
        <w:t>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人，内容为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校园招聘会、创新创业研讨会、婴幼儿托育服务与管理专业国家级教学资源库建设研讨等会议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培训费年初预算53.68万元，支出决算为53.68万元，完成年初预算的100%。用于开展教师技能培训培训，人数256人，内容为教师专业技能、教师社会实践研修、青年骨干教师、卓越教师等培训。</w:t>
      </w:r>
    </w:p>
    <w:p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b/>
          <w:bCs/>
          <w:i/>
          <w:color w:val="FF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举办节庆、晚会、论坛、赛事活动年初预算0万元，支出决算为0万元，本单位无举办节庆、晚会、论坛、赛事等活动的预算和支出决算数。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、关于政府采购支出说明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年度政府采购支出总额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3565.11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万元，其中：政府采购货物支出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2178.41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万元、政府采购工程支出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792.7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万元、政府采购服务支出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万元。授予中小企业合同金额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3565.11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万元，占政府采购支出总额的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%，其中：授予小微企业合同金额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2970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授予中小企业合同金额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83.31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%。货物采购授予中小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企业合同金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额占货物支出金额的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%，工程采购授予中小企业合同金额占工程支出金额的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%，服务采购授予中小企业合同金额占服务支出金额的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、关于国有资产占用情况说明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截至202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本单位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，副部（省）级及以上领导用车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机要通信用车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辆、应急保障用车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辆、执法执勤用车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辆、特种专业技术用车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离退休干部服务用车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辆、其他用车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辆；单位价值100万元以上设备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（不含车辆）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台（套）。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年度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绩效情况的说明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（一）绩效管理工作开展情况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根据预算绩效管理要求，我们组织对2023年度整体支出和项目资金实施了全覆盖性的绩效评价，撰写了绩效自评报告。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组织开展整体支出绩效评价，涉及一般公共预算支出11360.2万元，政府性基金预算支出0万元，国有资本经营预算支出0万元。从评价情况来看，整体支出绩效评价中，2023年整体支出22767.89万元，其中：基本支出13134.1万元，项目支出9633.79万元，本单位整体支出绩效自评综合评分100分，评价结果等次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组织对一般公共预算项目支出全面开展绩效自评，项目5个，共涉及资金3643.03万元，占一般公共预算项目支出总额的100%。组织对政府性基金预算项目支出开展绩效自评，项目0个，共涉及资金0万元（由于政府性基金预算项目支出总额为0，故无法计算占政府性基金预算项目支出总额的比重）。组织对国有资本经营预算项目支出开展绩效自评，项目0个，共涉及资金0万元（由于国有资本经营预算项目支出总额为0，故无法计算占国有资本经营预算项目支出总额的比重）。从评价情况来看，项目绩效自评得分100分，评价结果等次为优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部门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（单位）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整体支出绩效情况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根据年初设定的绩效目标，绩效自评得分为100分。全年预算数为22767.89 万元，执行数为22767.89万元，完成预算的100%。绩效目标完成情况：一是“三公经费”控制严格；二是年度预算执行到位；三是预算管理科学有效；四是专业调整初见成效；五是项目建设成果丰硕；六是师生竞赛再上层楼；七是育人实效不断凸显；八是科研转化持续深入；九是社会培训成绩斐然；十是成人教育卓有成效；十一是国际交流显著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存在的问题及原因分析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存在的主要问题及原因：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一是预算编制精细化有待进一步提升。预算编制与实际支出项目有的存在一定差异；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二是开源节流，创新创收有待进一步增强。学院新校园建设需要庞大的资金，财政拨款和学院自有资金不足以弥补建设所需，导致学院银行贷款较多，债务负担仍然很重，资金成本较高，对学院正常运转有一定的影响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下一步改进措施：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一是预算财务分析常态化、精细化、项目化，定期做好预算支出财务分析，做好部门整体支出预算评价工作；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二是继续进行优化债务结构工作，降低资金成本，实现学院优良债务结构；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三是按照预算规定的项目和用途严格财务审核，经费支出严格按预算规定项目的财务支出内容进行财务核算，在预算金额内严格控制费用的支出；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四是严格控制“三公经费”支出，进一步强化“三公经费”管理，严格控制“三公经费”支出。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预算绩效管理开展情况、绩效目标和绩效评价报告等，已在市政府部门财政预决算公开平台上向社会公开，详见附件。</w:t>
      </w:r>
    </w:p>
    <w:p>
      <w:pPr>
        <w:pStyle w:val="13"/>
        <w:jc w:val="both"/>
        <w:rPr>
          <w:sz w:val="72"/>
          <w:szCs w:val="72"/>
        </w:rPr>
      </w:pPr>
      <w:bookmarkStart w:id="0" w:name="_GoBack"/>
      <w:bookmarkEnd w:id="0"/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第四部分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t>名词解释</w:t>
      </w:r>
    </w:p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二、机关运行经费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，指为保障行政单位（包括参照公务员法管理的事业单位）运行用于购买货物和服务的各项资金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，包括办公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费、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印刷费、邮电费、差旅费、会议费、日常维修费、专用材料及一般设备购置费、办公用房水电费、办公用房取暖费、办公用房物业管理费、公务用车运行维护费以及其他费用。</w:t>
      </w: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>
      <w:pPr>
        <w:pStyle w:val="2"/>
      </w:pPr>
    </w:p>
    <w:p>
      <w:pPr>
        <w:pStyle w:val="3"/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</w:t>
      </w:r>
      <w:r>
        <w:rPr>
          <w:rFonts w:hint="eastAsia" w:ascii="方正小标宋_GBK" w:hAnsi="方正小标宋_GBK" w:eastAsia="方正小标宋_GBK" w:cs="方正小标宋_GBK"/>
          <w:sz w:val="72"/>
          <w:szCs w:val="72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部分</w:t>
      </w:r>
    </w:p>
    <w:p>
      <w:pPr>
        <w:pStyle w:val="13"/>
        <w:jc w:val="both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附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件</w:t>
      </w:r>
    </w:p>
    <w:p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1、2023年部门决算公开表格</w:t>
      </w:r>
    </w:p>
    <w:p>
      <w:pPr>
        <w:ind w:firstLine="640" w:firstLineChars="200"/>
        <w:jc w:val="left"/>
        <w:rPr>
          <w:rFonts w:ascii="宋体" w:hAnsi="宋体" w:eastAsia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年度部门整体支出绩效评价报告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17F5"/>
    <w:multiLevelType w:val="singleLevel"/>
    <w:tmpl w:val="04CD17F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59958AD"/>
    <w:rsid w:val="06463005"/>
    <w:rsid w:val="0E412327"/>
    <w:rsid w:val="0EE56133"/>
    <w:rsid w:val="12583BA5"/>
    <w:rsid w:val="13BA5B9C"/>
    <w:rsid w:val="148E569E"/>
    <w:rsid w:val="152F4713"/>
    <w:rsid w:val="166C2062"/>
    <w:rsid w:val="18A17351"/>
    <w:rsid w:val="19EF540C"/>
    <w:rsid w:val="1A2B21B0"/>
    <w:rsid w:val="1D97DEFF"/>
    <w:rsid w:val="1DFF72E5"/>
    <w:rsid w:val="1EFC6F07"/>
    <w:rsid w:val="22AC03C2"/>
    <w:rsid w:val="23102252"/>
    <w:rsid w:val="2372502C"/>
    <w:rsid w:val="23F00AC1"/>
    <w:rsid w:val="242C078C"/>
    <w:rsid w:val="255D164D"/>
    <w:rsid w:val="26296531"/>
    <w:rsid w:val="2669599E"/>
    <w:rsid w:val="26696223"/>
    <w:rsid w:val="2935427A"/>
    <w:rsid w:val="2F1674CF"/>
    <w:rsid w:val="2FDF85B8"/>
    <w:rsid w:val="2FFFEE04"/>
    <w:rsid w:val="303811B2"/>
    <w:rsid w:val="31C95635"/>
    <w:rsid w:val="324B46FD"/>
    <w:rsid w:val="33527C1A"/>
    <w:rsid w:val="342A14AB"/>
    <w:rsid w:val="34DF85B0"/>
    <w:rsid w:val="36E14A17"/>
    <w:rsid w:val="3AA81535"/>
    <w:rsid w:val="3B787805"/>
    <w:rsid w:val="3B8F36BC"/>
    <w:rsid w:val="3D447755"/>
    <w:rsid w:val="40B5748B"/>
    <w:rsid w:val="41B26D88"/>
    <w:rsid w:val="483859CD"/>
    <w:rsid w:val="48566DE3"/>
    <w:rsid w:val="491FF225"/>
    <w:rsid w:val="495C2F4B"/>
    <w:rsid w:val="4FFD214C"/>
    <w:rsid w:val="5352765A"/>
    <w:rsid w:val="54C22F2B"/>
    <w:rsid w:val="5777D4F5"/>
    <w:rsid w:val="59DD8326"/>
    <w:rsid w:val="5BE11970"/>
    <w:rsid w:val="5D200A26"/>
    <w:rsid w:val="5D2E0F70"/>
    <w:rsid w:val="5DEF592A"/>
    <w:rsid w:val="5E5D02B9"/>
    <w:rsid w:val="5FC6BB1E"/>
    <w:rsid w:val="5FF720F1"/>
    <w:rsid w:val="60A75FE5"/>
    <w:rsid w:val="610B64ED"/>
    <w:rsid w:val="67FF5C0B"/>
    <w:rsid w:val="68C85346"/>
    <w:rsid w:val="6B856BFD"/>
    <w:rsid w:val="6BA91E3C"/>
    <w:rsid w:val="6BAA4A2F"/>
    <w:rsid w:val="6EFC0924"/>
    <w:rsid w:val="6FB74722"/>
    <w:rsid w:val="6FEF8B7E"/>
    <w:rsid w:val="71A6591B"/>
    <w:rsid w:val="71CC5FF7"/>
    <w:rsid w:val="737D59BA"/>
    <w:rsid w:val="737F32B1"/>
    <w:rsid w:val="75315DD4"/>
    <w:rsid w:val="755A72DD"/>
    <w:rsid w:val="76AA2E3C"/>
    <w:rsid w:val="77C37683"/>
    <w:rsid w:val="79DA5758"/>
    <w:rsid w:val="79FF515B"/>
    <w:rsid w:val="7C4D4A59"/>
    <w:rsid w:val="7E9E1962"/>
    <w:rsid w:val="7E9F11B4"/>
    <w:rsid w:val="7F061AEE"/>
    <w:rsid w:val="7F144133"/>
    <w:rsid w:val="7F37EC1E"/>
    <w:rsid w:val="7F7DCD9D"/>
    <w:rsid w:val="7F970A6F"/>
    <w:rsid w:val="7FC1FFF3"/>
    <w:rsid w:val="7FC69637"/>
    <w:rsid w:val="7FDF8620"/>
    <w:rsid w:val="7FFB242F"/>
    <w:rsid w:val="7FFDB408"/>
    <w:rsid w:val="7FFE4EEB"/>
    <w:rsid w:val="95FB2B98"/>
    <w:rsid w:val="9A639BC2"/>
    <w:rsid w:val="9FF7D786"/>
    <w:rsid w:val="ABBFB23D"/>
    <w:rsid w:val="C3B4DA5A"/>
    <w:rsid w:val="CBFF70E0"/>
    <w:rsid w:val="CFF50B82"/>
    <w:rsid w:val="CFFFAD89"/>
    <w:rsid w:val="DFFE359E"/>
    <w:rsid w:val="DFFE4FFD"/>
    <w:rsid w:val="EEABED75"/>
    <w:rsid w:val="F56FDF51"/>
    <w:rsid w:val="F6B69F17"/>
    <w:rsid w:val="F77F1D61"/>
    <w:rsid w:val="F7FED3A9"/>
    <w:rsid w:val="F8C9DB26"/>
    <w:rsid w:val="F97E8EAE"/>
    <w:rsid w:val="FB36E1A6"/>
    <w:rsid w:val="FB3BE134"/>
    <w:rsid w:val="FCFF4275"/>
    <w:rsid w:val="FD7FEEEA"/>
    <w:rsid w:val="FDFFB577"/>
    <w:rsid w:val="FEEA50FE"/>
    <w:rsid w:val="FF7D47A9"/>
    <w:rsid w:val="FFCF21CB"/>
    <w:rsid w:val="FF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Body Text First Indent 2"/>
    <w:basedOn w:val="4"/>
    <w:next w:val="1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next w:val="3"/>
    <w:unhideWhenUsed/>
    <w:qFormat/>
    <w:uiPriority w:val="99"/>
    <w:pPr>
      <w:widowControl/>
      <w:spacing w:after="120"/>
      <w:ind w:left="420" w:leftChars="200"/>
      <w:jc w:val="left"/>
    </w:pPr>
    <w:rPr>
      <w:rFonts w:ascii="宋体" w:hAnsi="宋体" w:eastAsia="宋体" w:cs="宋体"/>
      <w:kern w:val="0"/>
      <w:sz w:val="24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6"/>
    <w:qFormat/>
    <w:uiPriority w:val="99"/>
    <w:rPr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2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1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1347</Words>
  <Characters>7679</Characters>
  <Lines>63</Lines>
  <Paragraphs>18</Paragraphs>
  <TotalTime>233</TotalTime>
  <ScaleCrop>false</ScaleCrop>
  <LinksUpToDate>false</LinksUpToDate>
  <CharactersWithSpaces>9008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2020-07-08T02:32:00Z</dcterms:created>
  <dc:creator>李航 null</dc:creator>
  <cp:lastModifiedBy>浅莲</cp:lastModifiedBy>
  <cp:lastPrinted>2024-08-08T10:20:00Z</cp:lastPrinted>
  <dcterms:modified xsi:type="dcterms:W3CDTF">2024-09-18T07:19:45Z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98623D6660B449428EB8E073C6C952EA</vt:lpwstr>
  </property>
</Properties>
</file>