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5B423">
      <w:pPr>
        <w:pStyle w:val="14"/>
        <w:jc w:val="center"/>
        <w:rPr>
          <w:sz w:val="56"/>
          <w:szCs w:val="56"/>
        </w:rPr>
      </w:pPr>
    </w:p>
    <w:p w14:paraId="641CB333">
      <w:pPr>
        <w:pStyle w:val="14"/>
        <w:jc w:val="center"/>
        <w:rPr>
          <w:sz w:val="56"/>
          <w:szCs w:val="56"/>
        </w:rPr>
      </w:pPr>
    </w:p>
    <w:p w14:paraId="322C4C2C">
      <w:pPr>
        <w:pStyle w:val="14"/>
        <w:jc w:val="center"/>
        <w:rPr>
          <w:sz w:val="84"/>
          <w:szCs w:val="84"/>
        </w:rPr>
      </w:pPr>
    </w:p>
    <w:p w14:paraId="0035E6FE">
      <w:pPr>
        <w:pStyle w:val="14"/>
        <w:jc w:val="center"/>
        <w:rPr>
          <w:sz w:val="84"/>
          <w:szCs w:val="84"/>
        </w:rPr>
      </w:pPr>
    </w:p>
    <w:p w14:paraId="5B3FAA33">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385ED3AF">
      <w:pPr>
        <w:pStyle w:val="14"/>
        <w:jc w:val="center"/>
        <w:rPr>
          <w:rFonts w:hint="eastAsia"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84"/>
          <w:szCs w:val="84"/>
          <w:lang w:val="en-US" w:eastAsia="zh-CN"/>
        </w:rPr>
        <w:t>岳阳市人大常委会</w:t>
      </w:r>
    </w:p>
    <w:p w14:paraId="220D2D2E">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14:paraId="62A91FD5">
      <w:pPr>
        <w:pStyle w:val="14"/>
        <w:jc w:val="center"/>
        <w:rPr>
          <w:rFonts w:hint="eastAsia" w:ascii="方正小标宋_GBK" w:hAnsi="方正小标宋_GBK" w:eastAsia="方正小标宋_GBK" w:cs="方正小标宋_GBK"/>
          <w:sz w:val="56"/>
          <w:szCs w:val="56"/>
        </w:rPr>
      </w:pPr>
    </w:p>
    <w:p w14:paraId="50C51334">
      <w:pPr>
        <w:pStyle w:val="14"/>
        <w:jc w:val="center"/>
        <w:rPr>
          <w:sz w:val="56"/>
          <w:szCs w:val="56"/>
        </w:rPr>
      </w:pPr>
    </w:p>
    <w:p w14:paraId="468EF593">
      <w:pPr>
        <w:pStyle w:val="14"/>
        <w:jc w:val="center"/>
        <w:rPr>
          <w:sz w:val="56"/>
          <w:szCs w:val="56"/>
        </w:rPr>
      </w:pPr>
    </w:p>
    <w:p w14:paraId="51B2E157">
      <w:pPr>
        <w:pStyle w:val="14"/>
        <w:jc w:val="center"/>
        <w:rPr>
          <w:sz w:val="56"/>
          <w:szCs w:val="56"/>
        </w:rPr>
      </w:pPr>
    </w:p>
    <w:p w14:paraId="1C7987C6">
      <w:pPr>
        <w:pStyle w:val="14"/>
        <w:jc w:val="center"/>
        <w:rPr>
          <w:sz w:val="32"/>
          <w:szCs w:val="32"/>
        </w:rPr>
      </w:pPr>
    </w:p>
    <w:p w14:paraId="3B9E92AC">
      <w:pPr>
        <w:pStyle w:val="14"/>
        <w:jc w:val="center"/>
        <w:rPr>
          <w:sz w:val="32"/>
          <w:szCs w:val="32"/>
        </w:rPr>
      </w:pPr>
    </w:p>
    <w:p w14:paraId="7D004B9F">
      <w:pPr>
        <w:pStyle w:val="14"/>
        <w:jc w:val="center"/>
        <w:rPr>
          <w:sz w:val="32"/>
          <w:szCs w:val="32"/>
        </w:rPr>
      </w:pPr>
    </w:p>
    <w:p w14:paraId="6AA80400">
      <w:pPr>
        <w:pStyle w:val="14"/>
        <w:spacing w:line="500" w:lineRule="exact"/>
        <w:jc w:val="both"/>
        <w:rPr>
          <w:b/>
          <w:sz w:val="36"/>
          <w:szCs w:val="28"/>
        </w:rPr>
      </w:pPr>
    </w:p>
    <w:p w14:paraId="2955DB65">
      <w:pPr>
        <w:pStyle w:val="14"/>
        <w:spacing w:line="500" w:lineRule="exact"/>
        <w:jc w:val="center"/>
        <w:rPr>
          <w:b/>
          <w:sz w:val="36"/>
          <w:szCs w:val="28"/>
        </w:rPr>
      </w:pPr>
      <w:r>
        <w:rPr>
          <w:rFonts w:hint="eastAsia"/>
          <w:b/>
          <w:sz w:val="36"/>
          <w:szCs w:val="28"/>
        </w:rPr>
        <w:t>目录</w:t>
      </w:r>
    </w:p>
    <w:p w14:paraId="39FE68F1">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岳阳市人大常委会</w:t>
      </w:r>
      <w:r>
        <w:rPr>
          <w:rFonts w:hint="eastAsia" w:ascii="黑体" w:hAnsi="黑体" w:eastAsia="黑体" w:cs="黑体"/>
          <w:b w:val="0"/>
          <w:bCs/>
          <w:sz w:val="28"/>
          <w:szCs w:val="28"/>
        </w:rPr>
        <w:t>概况</w:t>
      </w:r>
    </w:p>
    <w:p w14:paraId="4222672C">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163544E2">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二、机构设置及决算单位构成</w:t>
      </w:r>
    </w:p>
    <w:p w14:paraId="411B3CE0">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536BD19E">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4A055A50">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491FB538">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47C94D07">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6706BFF2">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79E58E30">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22DD6CA1">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12CAB7E3">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4F0C72B8">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284F2CD2">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400B84BD">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37ED7BBF">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1BF1995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5961FDF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776C932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487CEE0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38F6F7F3">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14:paraId="51E556A9">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14:paraId="654009AA">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14:paraId="20F0ACAB">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14:paraId="55A39DE6">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14:paraId="39C8971E">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14:paraId="4C19ECC3">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14:paraId="48EA7302">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4E3E854D">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5690D47E">
      <w:pPr>
        <w:pStyle w:val="14"/>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1C374986">
      <w:pPr>
        <w:pStyle w:val="14"/>
        <w:jc w:val="center"/>
        <w:rPr>
          <w:rFonts w:hint="eastAsia" w:ascii="方正小标宋_GBK" w:hAnsi="方正小标宋_GBK" w:eastAsia="方正小标宋_GBK" w:cs="方正小标宋_GBK"/>
          <w:sz w:val="84"/>
          <w:szCs w:val="84"/>
        </w:rPr>
      </w:pPr>
    </w:p>
    <w:p w14:paraId="0374183E">
      <w:pPr>
        <w:pStyle w:val="14"/>
        <w:jc w:val="center"/>
        <w:rPr>
          <w:rFonts w:hint="eastAsia" w:ascii="方正小标宋_GBK" w:hAnsi="方正小标宋_GBK" w:eastAsia="方正小标宋_GBK" w:cs="方正小标宋_GBK"/>
          <w:sz w:val="84"/>
          <w:szCs w:val="84"/>
        </w:rPr>
      </w:pPr>
    </w:p>
    <w:p w14:paraId="48FFC2A2">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16878473">
      <w:pPr>
        <w:pStyle w:val="14"/>
        <w:jc w:val="center"/>
        <w:rPr>
          <w:rFonts w:hint="eastAsia" w:ascii="方正小标宋_GBK" w:hAnsi="方正小标宋_GBK" w:eastAsia="方正小标宋_GBK" w:cs="方正小标宋_GBK"/>
          <w:sz w:val="84"/>
          <w:szCs w:val="84"/>
        </w:rPr>
      </w:pPr>
    </w:p>
    <w:p w14:paraId="38F0702A">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岳阳市人大常委会</w:t>
      </w:r>
    </w:p>
    <w:p w14:paraId="131983B3">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概况</w:t>
      </w:r>
    </w:p>
    <w:p w14:paraId="6B0B7224">
      <w:pPr>
        <w:pStyle w:val="8"/>
        <w:rPr>
          <w:rFonts w:hint="eastAsia" w:ascii="方正小标宋_GBK" w:hAnsi="方正小标宋_GBK" w:eastAsia="方正小标宋_GBK" w:cs="方正小标宋_GBK"/>
          <w:sz w:val="84"/>
          <w:szCs w:val="84"/>
        </w:rPr>
      </w:pPr>
    </w:p>
    <w:p w14:paraId="7051B0D2">
      <w:pPr>
        <w:pStyle w:val="4"/>
        <w:rPr>
          <w:rFonts w:hint="eastAsia" w:ascii="方正小标宋_GBK" w:hAnsi="方正小标宋_GBK" w:eastAsia="方正小标宋_GBK" w:cs="方正小标宋_GBK"/>
          <w:sz w:val="84"/>
          <w:szCs w:val="84"/>
        </w:rPr>
      </w:pPr>
    </w:p>
    <w:p w14:paraId="6F279DEA">
      <w:pPr>
        <w:rPr>
          <w:rFonts w:hint="eastAsia" w:ascii="方正小标宋_GBK" w:hAnsi="方正小标宋_GBK" w:eastAsia="方正小标宋_GBK" w:cs="方正小标宋_GBK"/>
          <w:sz w:val="84"/>
          <w:szCs w:val="84"/>
        </w:rPr>
      </w:pPr>
    </w:p>
    <w:p w14:paraId="730B47CA">
      <w:pPr>
        <w:pStyle w:val="4"/>
        <w:ind w:left="0" w:leftChars="0" w:firstLine="0" w:firstLineChars="0"/>
        <w:rPr>
          <w:rFonts w:hint="eastAsia" w:ascii="方正小标宋_GBK" w:hAnsi="方正小标宋_GBK" w:eastAsia="方正小标宋_GBK" w:cs="方正小标宋_GBK"/>
          <w:sz w:val="84"/>
          <w:szCs w:val="84"/>
        </w:rPr>
      </w:pPr>
    </w:p>
    <w:p w14:paraId="390B1456">
      <w:pPr>
        <w:keepNext/>
        <w:keepLines/>
        <w:shd w:val="clear" w:color="auto" w:fill="FFFFFF"/>
        <w:spacing w:beforeLines="0" w:afterLines="0"/>
        <w:jc w:val="left"/>
        <w:rPr>
          <w:rFonts w:hint="eastAsia" w:ascii="黑体" w:hAnsi="黑体" w:eastAsia="黑体" w:cs="黑体"/>
          <w:b w:val="0"/>
          <w:bCs w:val="0"/>
          <w:sz w:val="32"/>
          <w:szCs w:val="32"/>
        </w:rPr>
      </w:pPr>
      <w:bookmarkStart w:id="0" w:name="OLE_LINK1"/>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部门职责</w:t>
      </w:r>
    </w:p>
    <w:p w14:paraId="203CF90B">
      <w:pPr>
        <w:keepNext/>
        <w:keepLines/>
        <w:shd w:val="clear" w:color="auto" w:fill="FFFFFF"/>
        <w:spacing w:beforeLines="0" w:afterLines="0"/>
        <w:ind w:firstLine="640"/>
        <w:jc w:val="left"/>
        <w:rPr>
          <w:rFonts w:hint="eastAsia" w:ascii="Times New Roman" w:hAnsi="Times New Roman" w:eastAsia="仿宋_GB2312" w:cs="仿宋_GB2312"/>
          <w:sz w:val="32"/>
          <w:szCs w:val="32"/>
        </w:rPr>
      </w:pPr>
      <w:r>
        <w:rPr>
          <w:rFonts w:hint="eastAsia" w:ascii="Times New Roman" w:hAnsi="Times New Roman" w:eastAsia="仿宋_GB2312" w:cs="仿宋_GB2312"/>
          <w:bCs/>
          <w:kern w:val="0"/>
          <w:sz w:val="32"/>
          <w:szCs w:val="32"/>
        </w:rPr>
        <w:t>岳阳市人大常委会担负立法、法律监督、讨论决定重大事项、选举任免等重要职责，在我市发展社会主义民主政治、维护社会公平正义与安定有序等方面发挥重要作用。</w:t>
      </w:r>
    </w:p>
    <w:p w14:paraId="2C34430D">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05F161BC">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14:paraId="68B6BDE4">
      <w:pPr>
        <w:widowControl/>
        <w:spacing w:line="600" w:lineRule="exact"/>
        <w:ind w:firstLine="640" w:firstLineChars="200"/>
        <w:rPr>
          <w:rFonts w:hint="eastAsia" w:ascii="Times New Roman" w:hAnsi="Times New Roman" w:eastAsia="仿宋_GB2312" w:cs="仿宋_GB2312"/>
          <w:bCs/>
          <w:color w:val="auto"/>
          <w:kern w:val="0"/>
          <w:sz w:val="32"/>
          <w:szCs w:val="32"/>
          <w:lang w:val="en-US" w:eastAsia="zh-CN"/>
        </w:rPr>
      </w:pPr>
      <w:r>
        <w:rPr>
          <w:rFonts w:hint="eastAsia" w:ascii="Times New Roman" w:hAnsi="Times New Roman" w:eastAsia="仿宋_GB2312" w:cs="仿宋_GB2312"/>
          <w:bCs/>
          <w:kern w:val="0"/>
          <w:sz w:val="32"/>
          <w:szCs w:val="32"/>
          <w:lang w:val="en-US" w:eastAsia="zh-CN"/>
        </w:rPr>
        <w:t xml:space="preserve"> </w:t>
      </w:r>
      <w:bookmarkEnd w:id="0"/>
      <w:r>
        <w:rPr>
          <w:rFonts w:hint="eastAsia" w:ascii="Times New Roman" w:hAnsi="Times New Roman" w:eastAsia="仿宋_GB2312" w:cs="仿宋_GB2312"/>
          <w:bCs/>
          <w:color w:val="auto"/>
          <w:kern w:val="0"/>
          <w:sz w:val="32"/>
          <w:szCs w:val="32"/>
        </w:rPr>
        <w:t>根据岳编办发〔2020〕15号、岳编办函〔2022〕69号</w:t>
      </w:r>
      <w:r>
        <w:rPr>
          <w:rFonts w:hint="eastAsia" w:ascii="Times New Roman" w:hAnsi="Times New Roman" w:eastAsia="仿宋_GB2312" w:cs="仿宋_GB2312"/>
          <w:bCs/>
          <w:color w:val="auto"/>
          <w:kern w:val="0"/>
          <w:sz w:val="32"/>
          <w:szCs w:val="32"/>
          <w:lang w:eastAsia="zh-CN"/>
        </w:rPr>
        <w:t>、</w:t>
      </w:r>
      <w:r>
        <w:rPr>
          <w:rFonts w:hint="eastAsia" w:ascii="Times New Roman" w:hAnsi="Times New Roman" w:eastAsia="仿宋_GB2312" w:cs="仿宋_GB2312"/>
          <w:bCs/>
          <w:color w:val="auto"/>
          <w:kern w:val="0"/>
          <w:sz w:val="32"/>
          <w:szCs w:val="32"/>
        </w:rPr>
        <w:t>岳编办函〔202</w:t>
      </w:r>
      <w:r>
        <w:rPr>
          <w:rFonts w:hint="eastAsia" w:ascii="Times New Roman" w:hAnsi="Times New Roman" w:eastAsia="仿宋_GB2312" w:cs="仿宋_GB2312"/>
          <w:bCs/>
          <w:color w:val="auto"/>
          <w:kern w:val="0"/>
          <w:sz w:val="32"/>
          <w:szCs w:val="32"/>
          <w:lang w:val="en-US" w:eastAsia="zh-CN"/>
        </w:rPr>
        <w:t>4</w:t>
      </w:r>
      <w:r>
        <w:rPr>
          <w:rFonts w:hint="eastAsia" w:ascii="Times New Roman" w:hAnsi="Times New Roman" w:eastAsia="仿宋_GB2312" w:cs="仿宋_GB2312"/>
          <w:bCs/>
          <w:color w:val="auto"/>
          <w:kern w:val="0"/>
          <w:sz w:val="32"/>
          <w:szCs w:val="32"/>
        </w:rPr>
        <w:t>〕</w:t>
      </w:r>
      <w:r>
        <w:rPr>
          <w:rFonts w:hint="eastAsia" w:ascii="Times New Roman" w:hAnsi="Times New Roman" w:eastAsia="仿宋_GB2312" w:cs="仿宋_GB2312"/>
          <w:bCs/>
          <w:color w:val="auto"/>
          <w:kern w:val="0"/>
          <w:sz w:val="32"/>
          <w:szCs w:val="32"/>
          <w:lang w:val="en-US" w:eastAsia="zh-CN"/>
        </w:rPr>
        <w:t>35</w:t>
      </w:r>
      <w:r>
        <w:rPr>
          <w:rFonts w:hint="eastAsia" w:ascii="Times New Roman" w:hAnsi="Times New Roman" w:eastAsia="仿宋_GB2312" w:cs="仿宋_GB2312"/>
          <w:bCs/>
          <w:color w:val="auto"/>
          <w:kern w:val="0"/>
          <w:sz w:val="32"/>
          <w:szCs w:val="32"/>
        </w:rPr>
        <w:t>号</w:t>
      </w:r>
      <w:r>
        <w:rPr>
          <w:rFonts w:hint="eastAsia" w:ascii="Times New Roman" w:hAnsi="Times New Roman" w:eastAsia="仿宋_GB2312" w:cs="仿宋_GB2312"/>
          <w:bCs/>
          <w:color w:val="auto"/>
          <w:kern w:val="0"/>
          <w:sz w:val="32"/>
          <w:szCs w:val="32"/>
          <w:lang w:eastAsia="zh-CN"/>
        </w:rPr>
        <w:t>、</w:t>
      </w:r>
      <w:r>
        <w:rPr>
          <w:rFonts w:hint="eastAsia" w:ascii="Times New Roman" w:hAnsi="Times New Roman" w:eastAsia="仿宋_GB2312" w:cs="仿宋_GB2312"/>
          <w:bCs/>
          <w:color w:val="auto"/>
          <w:kern w:val="0"/>
          <w:sz w:val="32"/>
          <w:szCs w:val="32"/>
          <w:lang w:val="en-US" w:eastAsia="zh-CN"/>
        </w:rPr>
        <w:t>岳编办发</w:t>
      </w:r>
      <w:r>
        <w:rPr>
          <w:rFonts w:hint="eastAsia" w:ascii="Times New Roman" w:hAnsi="Times New Roman" w:eastAsia="仿宋_GB2312" w:cs="仿宋_GB2312"/>
          <w:bCs/>
          <w:color w:val="auto"/>
          <w:kern w:val="0"/>
          <w:sz w:val="32"/>
          <w:szCs w:val="32"/>
        </w:rPr>
        <w:t>〔202</w:t>
      </w:r>
      <w:r>
        <w:rPr>
          <w:rFonts w:hint="eastAsia" w:ascii="Times New Roman" w:hAnsi="Times New Roman" w:eastAsia="仿宋_GB2312" w:cs="仿宋_GB2312"/>
          <w:bCs/>
          <w:color w:val="auto"/>
          <w:kern w:val="0"/>
          <w:sz w:val="32"/>
          <w:szCs w:val="32"/>
          <w:lang w:val="en-US" w:eastAsia="zh-CN"/>
        </w:rPr>
        <w:t>4</w:t>
      </w:r>
      <w:r>
        <w:rPr>
          <w:rFonts w:hint="eastAsia" w:ascii="Times New Roman" w:hAnsi="Times New Roman" w:eastAsia="仿宋_GB2312" w:cs="仿宋_GB2312"/>
          <w:bCs/>
          <w:color w:val="auto"/>
          <w:kern w:val="0"/>
          <w:sz w:val="32"/>
          <w:szCs w:val="32"/>
        </w:rPr>
        <w:t>〕</w:t>
      </w:r>
      <w:r>
        <w:rPr>
          <w:rFonts w:hint="eastAsia" w:ascii="Times New Roman" w:hAnsi="Times New Roman" w:eastAsia="仿宋_GB2312" w:cs="仿宋_GB2312"/>
          <w:bCs/>
          <w:color w:val="auto"/>
          <w:kern w:val="0"/>
          <w:sz w:val="32"/>
          <w:szCs w:val="32"/>
          <w:lang w:val="en-US" w:eastAsia="zh-CN"/>
        </w:rPr>
        <w:t>19号、</w:t>
      </w:r>
      <w:r>
        <w:rPr>
          <w:rFonts w:hint="eastAsia" w:ascii="Times New Roman" w:hAnsi="Times New Roman" w:eastAsia="仿宋_GB2312" w:cs="仿宋_GB2312"/>
          <w:bCs/>
          <w:color w:val="auto"/>
          <w:kern w:val="0"/>
          <w:sz w:val="32"/>
          <w:szCs w:val="32"/>
        </w:rPr>
        <w:t>岳编办函〔202</w:t>
      </w:r>
      <w:r>
        <w:rPr>
          <w:rFonts w:hint="eastAsia" w:ascii="Times New Roman" w:hAnsi="Times New Roman" w:eastAsia="仿宋_GB2312" w:cs="仿宋_GB2312"/>
          <w:bCs/>
          <w:color w:val="auto"/>
          <w:kern w:val="0"/>
          <w:sz w:val="32"/>
          <w:szCs w:val="32"/>
          <w:lang w:val="en-US" w:eastAsia="zh-CN"/>
        </w:rPr>
        <w:t>4</w:t>
      </w:r>
      <w:r>
        <w:rPr>
          <w:rFonts w:hint="eastAsia" w:ascii="Times New Roman" w:hAnsi="Times New Roman" w:eastAsia="仿宋_GB2312" w:cs="仿宋_GB2312"/>
          <w:bCs/>
          <w:color w:val="auto"/>
          <w:kern w:val="0"/>
          <w:sz w:val="32"/>
          <w:szCs w:val="32"/>
        </w:rPr>
        <w:t>〕</w:t>
      </w:r>
      <w:r>
        <w:rPr>
          <w:rFonts w:hint="eastAsia" w:ascii="Times New Roman" w:hAnsi="Times New Roman" w:eastAsia="仿宋_GB2312" w:cs="仿宋_GB2312"/>
          <w:bCs/>
          <w:color w:val="auto"/>
          <w:kern w:val="0"/>
          <w:sz w:val="32"/>
          <w:szCs w:val="32"/>
          <w:lang w:val="en-US" w:eastAsia="zh-CN"/>
        </w:rPr>
        <w:t>106</w:t>
      </w:r>
      <w:r>
        <w:rPr>
          <w:rFonts w:hint="eastAsia" w:ascii="Times New Roman" w:hAnsi="Times New Roman" w:eastAsia="仿宋_GB2312" w:cs="仿宋_GB2312"/>
          <w:bCs/>
          <w:color w:val="auto"/>
          <w:kern w:val="0"/>
          <w:sz w:val="32"/>
          <w:szCs w:val="32"/>
        </w:rPr>
        <w:t>号文件精神，核定市人大常委会机关3个常委会办事（工作）机构、8个专门委员会、2个下属事业单位。核定市人大机关行政编制</w:t>
      </w:r>
      <w:r>
        <w:rPr>
          <w:rFonts w:hint="eastAsia" w:ascii="Times New Roman" w:hAnsi="Times New Roman" w:eastAsia="仿宋_GB2312" w:cs="仿宋_GB2312"/>
          <w:bCs/>
          <w:color w:val="auto"/>
          <w:kern w:val="0"/>
          <w:sz w:val="32"/>
          <w:szCs w:val="32"/>
          <w:lang w:val="en-US" w:eastAsia="zh-CN"/>
        </w:rPr>
        <w:t>64</w:t>
      </w:r>
      <w:r>
        <w:rPr>
          <w:rFonts w:hint="eastAsia" w:ascii="Times New Roman" w:hAnsi="Times New Roman" w:eastAsia="仿宋_GB2312" w:cs="仿宋_GB2312"/>
          <w:bCs/>
          <w:color w:val="auto"/>
          <w:kern w:val="0"/>
          <w:sz w:val="32"/>
          <w:szCs w:val="32"/>
        </w:rPr>
        <w:t>名</w:t>
      </w:r>
      <w:r>
        <w:rPr>
          <w:rFonts w:hint="eastAsia" w:ascii="Times New Roman" w:hAnsi="Times New Roman" w:eastAsia="仿宋_GB2312" w:cs="仿宋_GB2312"/>
          <w:bCs/>
          <w:color w:val="auto"/>
          <w:kern w:val="0"/>
          <w:sz w:val="32"/>
          <w:szCs w:val="32"/>
          <w:lang w:eastAsia="zh-CN"/>
        </w:rPr>
        <w:t>，</w:t>
      </w:r>
      <w:r>
        <w:rPr>
          <w:rFonts w:hint="eastAsia" w:ascii="Times New Roman" w:hAnsi="Times New Roman" w:eastAsia="仿宋_GB2312" w:cs="仿宋_GB2312"/>
          <w:bCs/>
          <w:color w:val="auto"/>
          <w:kern w:val="0"/>
          <w:sz w:val="32"/>
          <w:szCs w:val="32"/>
        </w:rPr>
        <w:t>市人大领导行政编制单列，按实际情况核定；核定机关后勤服务事业编制14名</w:t>
      </w:r>
      <w:r>
        <w:rPr>
          <w:rFonts w:hint="eastAsia" w:ascii="Times New Roman" w:hAnsi="Times New Roman" w:eastAsia="仿宋_GB2312" w:cs="仿宋_GB2312"/>
          <w:bCs/>
          <w:color w:val="auto"/>
          <w:kern w:val="0"/>
          <w:sz w:val="32"/>
          <w:szCs w:val="32"/>
          <w:lang w:eastAsia="zh-CN"/>
        </w:rPr>
        <w:t>；</w:t>
      </w:r>
      <w:r>
        <w:rPr>
          <w:rFonts w:hint="eastAsia" w:ascii="Times New Roman" w:hAnsi="Times New Roman" w:eastAsia="仿宋_GB2312" w:cs="仿宋_GB2312"/>
          <w:bCs/>
          <w:color w:val="auto"/>
          <w:kern w:val="0"/>
          <w:sz w:val="32"/>
          <w:szCs w:val="32"/>
          <w:lang w:val="en-US" w:eastAsia="zh-CN"/>
        </w:rPr>
        <w:t>核定下属事业单位事业编制21名。</w:t>
      </w:r>
    </w:p>
    <w:p w14:paraId="4E2E8FE6">
      <w:pPr>
        <w:widowControl/>
        <w:spacing w:line="600" w:lineRule="exact"/>
        <w:ind w:firstLine="640" w:firstLineChars="200"/>
        <w:rPr>
          <w:rFonts w:hint="eastAsia" w:ascii="Times New Roman" w:hAnsi="Times New Roman" w:eastAsia="仿宋_GB2312" w:cs="仿宋_GB2312"/>
          <w:bCs/>
          <w:color w:val="auto"/>
          <w:kern w:val="0"/>
          <w:sz w:val="32"/>
          <w:szCs w:val="32"/>
        </w:rPr>
      </w:pPr>
      <w:r>
        <w:rPr>
          <w:rFonts w:hint="eastAsia" w:ascii="Times New Roman" w:hAnsi="Times New Roman" w:eastAsia="仿宋_GB2312" w:cs="仿宋_GB2312"/>
          <w:bCs/>
          <w:color w:val="auto"/>
          <w:kern w:val="0"/>
          <w:sz w:val="32"/>
          <w:szCs w:val="32"/>
        </w:rPr>
        <w:t>①常委会办事（工作）机构3个：办公室、</w:t>
      </w:r>
      <w:r>
        <w:rPr>
          <w:rFonts w:hint="eastAsia" w:ascii="Times New Roman" w:hAnsi="Times New Roman" w:eastAsia="仿宋_GB2312" w:cs="仿宋_GB2312"/>
          <w:bCs/>
          <w:color w:val="auto"/>
          <w:kern w:val="0"/>
          <w:sz w:val="32"/>
          <w:szCs w:val="32"/>
          <w:lang w:val="en-US" w:eastAsia="zh-CN"/>
        </w:rPr>
        <w:t>代表工作委员会</w:t>
      </w:r>
      <w:r>
        <w:rPr>
          <w:rFonts w:hint="eastAsia" w:ascii="Times New Roman" w:hAnsi="Times New Roman" w:eastAsia="仿宋_GB2312" w:cs="仿宋_GB2312"/>
          <w:bCs/>
          <w:color w:val="auto"/>
          <w:kern w:val="0"/>
          <w:sz w:val="32"/>
          <w:szCs w:val="32"/>
        </w:rPr>
        <w:t>、研究室。</w:t>
      </w:r>
    </w:p>
    <w:p w14:paraId="01B092D9">
      <w:pPr>
        <w:widowControl/>
        <w:spacing w:line="600" w:lineRule="exact"/>
        <w:ind w:firstLine="640" w:firstLineChars="200"/>
        <w:rPr>
          <w:rFonts w:hint="eastAsia" w:ascii="Times New Roman" w:hAnsi="Times New Roman" w:eastAsia="仿宋_GB2312" w:cs="仿宋_GB2312"/>
          <w:bCs/>
          <w:color w:val="auto"/>
          <w:kern w:val="0"/>
          <w:sz w:val="32"/>
          <w:szCs w:val="32"/>
        </w:rPr>
      </w:pPr>
      <w:r>
        <w:rPr>
          <w:rFonts w:hint="eastAsia" w:ascii="Times New Roman" w:hAnsi="Times New Roman" w:eastAsia="仿宋_GB2312" w:cs="仿宋_GB2312"/>
          <w:bCs/>
          <w:color w:val="auto"/>
          <w:kern w:val="0"/>
          <w:sz w:val="32"/>
          <w:szCs w:val="32"/>
        </w:rPr>
        <w:t>办事（工作）机构内设1</w:t>
      </w:r>
      <w:r>
        <w:rPr>
          <w:rFonts w:hint="eastAsia" w:ascii="Times New Roman" w:hAnsi="Times New Roman" w:eastAsia="仿宋_GB2312" w:cs="仿宋_GB2312"/>
          <w:bCs/>
          <w:color w:val="auto"/>
          <w:kern w:val="0"/>
          <w:sz w:val="32"/>
          <w:szCs w:val="32"/>
          <w:lang w:val="en-US" w:eastAsia="zh-CN"/>
        </w:rPr>
        <w:t>1</w:t>
      </w:r>
      <w:r>
        <w:rPr>
          <w:rFonts w:hint="eastAsia" w:ascii="Times New Roman" w:hAnsi="Times New Roman" w:eastAsia="仿宋_GB2312" w:cs="仿宋_GB2312"/>
          <w:bCs/>
          <w:color w:val="auto"/>
          <w:kern w:val="0"/>
          <w:sz w:val="32"/>
          <w:szCs w:val="32"/>
        </w:rPr>
        <w:t>个科室：办公室秘书一科、秘书二科、政工科、督查室、财务科、信访科、</w:t>
      </w:r>
      <w:r>
        <w:rPr>
          <w:rFonts w:hint="eastAsia" w:ascii="Times New Roman" w:hAnsi="Times New Roman" w:eastAsia="仿宋_GB2312" w:cs="仿宋_GB2312"/>
          <w:bCs/>
          <w:color w:val="auto"/>
          <w:kern w:val="0"/>
          <w:sz w:val="32"/>
          <w:szCs w:val="32"/>
          <w:lang w:val="en-US" w:eastAsia="zh-CN"/>
        </w:rPr>
        <w:t>行政保卫科、综合科</w:t>
      </w:r>
      <w:r>
        <w:rPr>
          <w:rFonts w:hint="eastAsia" w:ascii="Times New Roman" w:hAnsi="Times New Roman" w:eastAsia="仿宋_GB2312" w:cs="仿宋_GB2312"/>
          <w:bCs/>
          <w:color w:val="auto"/>
          <w:kern w:val="0"/>
          <w:sz w:val="32"/>
          <w:szCs w:val="32"/>
        </w:rPr>
        <w:t>，代表工作委员会综合科、代表联络科，研究室综合科。</w:t>
      </w:r>
    </w:p>
    <w:p w14:paraId="4E11B816">
      <w:pPr>
        <w:widowControl/>
        <w:spacing w:line="600" w:lineRule="exact"/>
        <w:ind w:firstLine="640" w:firstLineChars="200"/>
        <w:rPr>
          <w:rFonts w:hint="eastAsia" w:ascii="Times New Roman" w:hAnsi="Times New Roman" w:eastAsia="仿宋_GB2312" w:cs="仿宋_GB2312"/>
          <w:bCs/>
          <w:color w:val="auto"/>
          <w:kern w:val="0"/>
          <w:sz w:val="32"/>
          <w:szCs w:val="32"/>
        </w:rPr>
      </w:pPr>
      <w:r>
        <w:rPr>
          <w:rFonts w:hint="eastAsia" w:ascii="Times New Roman" w:hAnsi="Times New Roman" w:eastAsia="仿宋_GB2312" w:cs="仿宋_GB2312"/>
          <w:bCs/>
          <w:color w:val="auto"/>
          <w:kern w:val="0"/>
          <w:sz w:val="32"/>
          <w:szCs w:val="32"/>
        </w:rPr>
        <w:t>机关党委、机关纪委按章程设置，机关工会、离退休人员管理服务科按相关规定设置。</w:t>
      </w:r>
    </w:p>
    <w:p w14:paraId="370F7D24">
      <w:pPr>
        <w:widowControl/>
        <w:spacing w:line="600" w:lineRule="exact"/>
        <w:ind w:firstLine="640" w:firstLineChars="200"/>
        <w:rPr>
          <w:rFonts w:hint="eastAsia" w:ascii="Times New Roman" w:hAnsi="Times New Roman" w:eastAsia="仿宋_GB2312" w:cs="仿宋_GB2312"/>
          <w:bCs/>
          <w:color w:val="auto"/>
          <w:kern w:val="0"/>
          <w:sz w:val="32"/>
          <w:szCs w:val="32"/>
        </w:rPr>
      </w:pPr>
      <w:r>
        <w:rPr>
          <w:rFonts w:hint="eastAsia" w:ascii="Times New Roman" w:hAnsi="Times New Roman" w:eastAsia="仿宋_GB2312" w:cs="仿宋_GB2312"/>
          <w:bCs/>
          <w:color w:val="auto"/>
          <w:kern w:val="0"/>
          <w:sz w:val="32"/>
          <w:szCs w:val="32"/>
        </w:rPr>
        <w:t>②专门委员会8个：民族华侨外事委员会、监察和司法委员会、法制委员会、财政经济委员会、教育科学文化卫生委员会、环境与资源保护委员会、农业与农村委员会、社会建设委员会。</w:t>
      </w:r>
    </w:p>
    <w:p w14:paraId="26C806ED">
      <w:pPr>
        <w:widowControl/>
        <w:spacing w:line="600" w:lineRule="exact"/>
        <w:ind w:firstLine="640" w:firstLineChars="200"/>
        <w:rPr>
          <w:rFonts w:hint="eastAsia" w:ascii="Times New Roman" w:hAnsi="Times New Roman" w:eastAsia="仿宋_GB2312" w:cs="仿宋_GB2312"/>
          <w:bCs/>
          <w:color w:val="auto"/>
          <w:kern w:val="0"/>
          <w:sz w:val="32"/>
          <w:szCs w:val="32"/>
        </w:rPr>
      </w:pPr>
      <w:r>
        <w:rPr>
          <w:rFonts w:hint="eastAsia" w:ascii="Times New Roman" w:hAnsi="Times New Roman" w:eastAsia="仿宋_GB2312" w:cs="仿宋_GB2312"/>
          <w:bCs/>
          <w:color w:val="auto"/>
          <w:kern w:val="0"/>
          <w:sz w:val="32"/>
          <w:szCs w:val="32"/>
        </w:rPr>
        <w:t>专门委员会内设12个科室：民族华侨外事委员会综合科，监察和司法委员会综合科（司法监督科），法制委员会综合科、立法科、备案审查科，财政经济委员会综合科、预算审查监督科，教育科学文化卫生委员会综合科，环境与资源保护委员会综合科、监督科，农业与农村委员会综合科，社会建设委员会综合科。</w:t>
      </w:r>
    </w:p>
    <w:p w14:paraId="03A9081D">
      <w:pPr>
        <w:widowControl/>
        <w:spacing w:line="600" w:lineRule="exact"/>
        <w:ind w:firstLine="640" w:firstLineChars="200"/>
        <w:rPr>
          <w:rFonts w:hint="eastAsia" w:ascii="Times New Roman" w:hAnsi="Times New Roman" w:eastAsia="仿宋_GB2312" w:cs="仿宋_GB2312"/>
          <w:bCs/>
          <w:color w:val="auto"/>
          <w:kern w:val="0"/>
          <w:sz w:val="32"/>
          <w:szCs w:val="32"/>
        </w:rPr>
      </w:pPr>
      <w:r>
        <w:rPr>
          <w:rFonts w:hint="eastAsia" w:ascii="Times New Roman" w:hAnsi="Times New Roman" w:eastAsia="仿宋_GB2312" w:cs="仿宋_GB2312"/>
          <w:bCs/>
          <w:color w:val="auto"/>
          <w:kern w:val="0"/>
          <w:sz w:val="32"/>
          <w:szCs w:val="32"/>
        </w:rPr>
        <w:t>③下属事业单位2个：市人大常委会办公室宣传信息中心，市人大常委会办公室人大代表服务中心，均为正科级公益一类全额拨款事业单位。</w:t>
      </w:r>
    </w:p>
    <w:p w14:paraId="0420C807">
      <w:pPr>
        <w:widowControl/>
        <w:spacing w:line="600" w:lineRule="exact"/>
        <w:ind w:firstLine="640" w:firstLineChars="200"/>
        <w:rPr>
          <w:rFonts w:hint="eastAsia" w:ascii="Times New Roman" w:hAnsi="Times New Roman" w:eastAsia="仿宋_GB2312" w:cs="仿宋_GB2312"/>
          <w:bCs/>
          <w:color w:val="auto"/>
          <w:kern w:val="0"/>
          <w:sz w:val="32"/>
          <w:szCs w:val="32"/>
        </w:rPr>
      </w:pPr>
      <w:r>
        <w:rPr>
          <w:rFonts w:hint="eastAsia" w:ascii="Times New Roman" w:hAnsi="Times New Roman" w:eastAsia="仿宋_GB2312" w:cs="仿宋_GB2312"/>
          <w:bCs/>
          <w:color w:val="auto"/>
          <w:kern w:val="0"/>
          <w:sz w:val="32"/>
          <w:szCs w:val="32"/>
        </w:rPr>
        <w:t>④市人大常委会办公室加挂信访办公室牌子。</w:t>
      </w:r>
    </w:p>
    <w:p w14:paraId="7F3A97BB">
      <w:pPr>
        <w:widowControl/>
        <w:spacing w:line="600" w:lineRule="exact"/>
        <w:ind w:firstLine="640" w:firstLineChars="200"/>
        <w:rPr>
          <w:rFonts w:hint="eastAsia" w:ascii="Times New Roman" w:hAnsi="Times New Roman" w:eastAsia="仿宋_GB2312" w:cs="仿宋_GB2312"/>
          <w:bCs/>
          <w:color w:val="auto"/>
          <w:kern w:val="0"/>
          <w:sz w:val="32"/>
          <w:szCs w:val="32"/>
          <w:lang w:eastAsia="zh-CN"/>
        </w:rPr>
      </w:pPr>
      <w:r>
        <w:rPr>
          <w:rFonts w:hint="eastAsia" w:ascii="Times New Roman" w:hAnsi="Times New Roman" w:eastAsia="仿宋_GB2312" w:cs="仿宋_GB2312"/>
          <w:bCs/>
          <w:color w:val="auto"/>
          <w:kern w:val="0"/>
          <w:sz w:val="32"/>
          <w:szCs w:val="32"/>
        </w:rPr>
        <w:t>⑤市人大常委会法制工作委员会与市人大法制委员会合署办公，市人大常委会预算工作委员会与市人大财政经济委员会合署办公。</w:t>
      </w:r>
    </w:p>
    <w:p w14:paraId="5DABCB4E">
      <w:pPr>
        <w:jc w:val="left"/>
        <w:rPr>
          <w:rFonts w:ascii="仿宋_GB2312" w:eastAsia="仿宋_GB2312" w:hAnsiTheme="minorEastAsia"/>
          <w:sz w:val="28"/>
          <w:szCs w:val="32"/>
        </w:rPr>
      </w:pPr>
    </w:p>
    <w:p w14:paraId="32B2BA63"/>
    <w:p w14:paraId="504040EF">
      <w:pPr>
        <w:pStyle w:val="8"/>
      </w:pPr>
    </w:p>
    <w:p w14:paraId="4A09CFAC">
      <w:pPr>
        <w:pStyle w:val="4"/>
      </w:pPr>
    </w:p>
    <w:p w14:paraId="67118036"/>
    <w:p w14:paraId="1728AAF2">
      <w:pPr>
        <w:pStyle w:val="8"/>
      </w:pPr>
    </w:p>
    <w:p w14:paraId="0AA7A15C">
      <w:pPr>
        <w:pStyle w:val="4"/>
      </w:pPr>
    </w:p>
    <w:p w14:paraId="49DB9003"/>
    <w:p w14:paraId="4302E3F0">
      <w:pPr>
        <w:pStyle w:val="8"/>
      </w:pPr>
    </w:p>
    <w:p w14:paraId="682FCBCD">
      <w:pPr>
        <w:pStyle w:val="4"/>
      </w:pPr>
    </w:p>
    <w:p w14:paraId="56B49580"/>
    <w:p w14:paraId="21ECC5D3">
      <w:pPr>
        <w:pStyle w:val="8"/>
      </w:pPr>
    </w:p>
    <w:p w14:paraId="52B4E96F">
      <w:pPr>
        <w:pStyle w:val="4"/>
      </w:pPr>
    </w:p>
    <w:p w14:paraId="7305F44D"/>
    <w:p w14:paraId="735B3AC3">
      <w:pPr>
        <w:pStyle w:val="8"/>
      </w:pPr>
    </w:p>
    <w:p w14:paraId="2AE00299">
      <w:pPr>
        <w:pStyle w:val="4"/>
      </w:pPr>
    </w:p>
    <w:p w14:paraId="238ADBCC"/>
    <w:p w14:paraId="2802CEC2">
      <w:pPr>
        <w:pStyle w:val="8"/>
      </w:pPr>
    </w:p>
    <w:p w14:paraId="15BCB80B">
      <w:pPr>
        <w:pStyle w:val="4"/>
      </w:pPr>
    </w:p>
    <w:p w14:paraId="79362981"/>
    <w:p w14:paraId="66F7E07E">
      <w:pPr>
        <w:pStyle w:val="8"/>
      </w:pPr>
    </w:p>
    <w:p w14:paraId="4C0FBAD1">
      <w:pPr>
        <w:pStyle w:val="4"/>
      </w:pPr>
    </w:p>
    <w:p w14:paraId="2629D3E7"/>
    <w:p w14:paraId="61146165">
      <w:pPr>
        <w:pStyle w:val="8"/>
      </w:pPr>
    </w:p>
    <w:p w14:paraId="12A408A6">
      <w:pPr>
        <w:pStyle w:val="4"/>
      </w:pPr>
    </w:p>
    <w:p w14:paraId="27E20097"/>
    <w:p w14:paraId="469512FA">
      <w:pPr>
        <w:pStyle w:val="14"/>
        <w:jc w:val="center"/>
        <w:rPr>
          <w:rFonts w:hint="eastAsia" w:ascii="方正小标宋_GBK" w:hAnsi="方正小标宋_GBK" w:eastAsia="方正小标宋_GBK" w:cs="方正小标宋_GBK"/>
          <w:sz w:val="84"/>
          <w:szCs w:val="84"/>
        </w:rPr>
      </w:pPr>
    </w:p>
    <w:p w14:paraId="7ED42826">
      <w:pPr>
        <w:pStyle w:val="14"/>
        <w:jc w:val="center"/>
        <w:rPr>
          <w:rFonts w:hint="eastAsia" w:ascii="方正小标宋_GBK" w:hAnsi="方正小标宋_GBK" w:eastAsia="方正小标宋_GBK" w:cs="方正小标宋_GBK"/>
          <w:sz w:val="84"/>
          <w:szCs w:val="84"/>
        </w:rPr>
      </w:pPr>
    </w:p>
    <w:p w14:paraId="3F94D7D1">
      <w:pPr>
        <w:pStyle w:val="14"/>
        <w:jc w:val="center"/>
        <w:rPr>
          <w:rFonts w:hint="eastAsia" w:ascii="方正小标宋_GBK" w:hAnsi="方正小标宋_GBK" w:eastAsia="方正小标宋_GBK" w:cs="方正小标宋_GBK"/>
          <w:sz w:val="84"/>
          <w:szCs w:val="84"/>
        </w:rPr>
      </w:pPr>
    </w:p>
    <w:p w14:paraId="6F736211">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4A42BA29">
      <w:pPr>
        <w:pStyle w:val="14"/>
        <w:jc w:val="center"/>
        <w:rPr>
          <w:rFonts w:hint="eastAsia" w:ascii="方正小标宋_GBK" w:hAnsi="方正小标宋_GBK" w:eastAsia="方正小标宋_GBK" w:cs="方正小标宋_GBK"/>
          <w:sz w:val="84"/>
          <w:szCs w:val="84"/>
        </w:rPr>
      </w:pPr>
    </w:p>
    <w:p w14:paraId="54DE8DE0">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6A2AA1A8">
      <w:pPr>
        <w:pStyle w:val="14"/>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14:paraId="30500DFF">
      <w:pPr>
        <w:pStyle w:val="14"/>
        <w:jc w:val="center"/>
        <w:rPr>
          <w:rFonts w:hint="eastAsia" w:ascii="仿宋_GB2312" w:hAnsi="仿宋_GB2312" w:eastAsia="仿宋_GB2312" w:cs="仿宋_GB2312"/>
          <w:b w:val="0"/>
          <w:bCs w:val="0"/>
          <w:sz w:val="72"/>
          <w:szCs w:val="72"/>
          <w:lang w:eastAsia="zh-CN"/>
        </w:rPr>
      </w:pPr>
    </w:p>
    <w:p w14:paraId="1C0524FC">
      <w:pPr>
        <w:pStyle w:val="14"/>
        <w:jc w:val="center"/>
        <w:rPr>
          <w:rFonts w:hint="eastAsia" w:ascii="仿宋_GB2312" w:hAnsi="仿宋_GB2312" w:eastAsia="仿宋_GB2312" w:cs="仿宋_GB2312"/>
          <w:b w:val="0"/>
          <w:bCs w:val="0"/>
          <w:sz w:val="72"/>
          <w:szCs w:val="72"/>
          <w:lang w:eastAsia="zh-CN"/>
        </w:rPr>
      </w:pPr>
    </w:p>
    <w:p w14:paraId="3807E420">
      <w:pPr>
        <w:pStyle w:val="14"/>
        <w:jc w:val="center"/>
        <w:rPr>
          <w:rFonts w:hint="eastAsia" w:ascii="仿宋_GB2312" w:hAnsi="仿宋_GB2312" w:eastAsia="仿宋_GB2312" w:cs="仿宋_GB2312"/>
          <w:b w:val="0"/>
          <w:bCs w:val="0"/>
          <w:sz w:val="72"/>
          <w:szCs w:val="72"/>
          <w:lang w:eastAsia="zh-CN"/>
        </w:rPr>
      </w:pPr>
    </w:p>
    <w:p w14:paraId="08FFF9E2">
      <w:pPr>
        <w:pStyle w:val="14"/>
        <w:jc w:val="center"/>
        <w:rPr>
          <w:rFonts w:hint="eastAsia" w:ascii="仿宋_GB2312" w:hAnsi="仿宋_GB2312" w:eastAsia="仿宋_GB2312" w:cs="仿宋_GB2312"/>
          <w:b w:val="0"/>
          <w:bCs w:val="0"/>
          <w:sz w:val="72"/>
          <w:szCs w:val="72"/>
          <w:lang w:eastAsia="zh-CN"/>
        </w:rPr>
      </w:pPr>
    </w:p>
    <w:p w14:paraId="35C59652">
      <w:pPr>
        <w:pStyle w:val="14"/>
        <w:jc w:val="center"/>
        <w:rPr>
          <w:rFonts w:hint="eastAsia" w:ascii="仿宋_GB2312" w:hAnsi="仿宋_GB2312" w:eastAsia="仿宋_GB2312" w:cs="仿宋_GB2312"/>
          <w:b w:val="0"/>
          <w:bCs w:val="0"/>
          <w:sz w:val="72"/>
          <w:szCs w:val="72"/>
          <w:lang w:eastAsia="zh-CN"/>
        </w:rPr>
      </w:pPr>
    </w:p>
    <w:p w14:paraId="5E2274C7">
      <w:pPr>
        <w:pStyle w:val="14"/>
        <w:jc w:val="center"/>
        <w:rPr>
          <w:rFonts w:hint="eastAsia" w:ascii="仿宋_GB2312" w:hAnsi="仿宋_GB2312" w:eastAsia="仿宋_GB2312" w:cs="仿宋_GB2312"/>
          <w:b w:val="0"/>
          <w:bCs w:val="0"/>
          <w:sz w:val="72"/>
          <w:szCs w:val="72"/>
          <w:lang w:eastAsia="zh-CN"/>
        </w:rPr>
      </w:pPr>
    </w:p>
    <w:p w14:paraId="643F90CE">
      <w:pPr>
        <w:pStyle w:val="14"/>
        <w:jc w:val="center"/>
        <w:rPr>
          <w:rFonts w:hint="eastAsia" w:ascii="仿宋_GB2312" w:hAnsi="仿宋_GB2312" w:eastAsia="仿宋_GB2312" w:cs="仿宋_GB2312"/>
          <w:b w:val="0"/>
          <w:bCs w:val="0"/>
          <w:sz w:val="72"/>
          <w:szCs w:val="72"/>
          <w:lang w:eastAsia="zh-CN"/>
        </w:rPr>
      </w:pPr>
    </w:p>
    <w:p w14:paraId="63FB6BEA">
      <w:pPr>
        <w:pStyle w:val="14"/>
        <w:jc w:val="center"/>
        <w:rPr>
          <w:rFonts w:hint="eastAsia" w:ascii="方正小标宋_GBK" w:hAnsi="方正小标宋_GBK" w:eastAsia="方正小标宋_GBK" w:cs="方正小标宋_GBK"/>
          <w:sz w:val="72"/>
          <w:szCs w:val="72"/>
        </w:rPr>
      </w:pPr>
    </w:p>
    <w:p w14:paraId="2F60D1D9">
      <w:pPr>
        <w:pStyle w:val="14"/>
        <w:jc w:val="center"/>
        <w:rPr>
          <w:rFonts w:hint="eastAsia" w:ascii="方正小标宋_GBK" w:hAnsi="方正小标宋_GBK" w:eastAsia="方正小标宋_GBK" w:cs="方正小标宋_GBK"/>
          <w:sz w:val="72"/>
          <w:szCs w:val="72"/>
        </w:rPr>
      </w:pPr>
    </w:p>
    <w:p w14:paraId="55EF61DE">
      <w:pPr>
        <w:pStyle w:val="14"/>
        <w:jc w:val="both"/>
        <w:rPr>
          <w:rFonts w:hint="eastAsia" w:ascii="方正小标宋_GBK" w:hAnsi="方正小标宋_GBK" w:eastAsia="方正小标宋_GBK" w:cs="方正小标宋_GBK"/>
          <w:sz w:val="72"/>
          <w:szCs w:val="72"/>
        </w:rPr>
      </w:pPr>
    </w:p>
    <w:p w14:paraId="3C110C7E">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051B2700">
      <w:pPr>
        <w:pStyle w:val="14"/>
        <w:jc w:val="center"/>
        <w:rPr>
          <w:rFonts w:hint="eastAsia" w:ascii="方正小标宋_GBK" w:hAnsi="方正小标宋_GBK" w:eastAsia="方正小标宋_GBK" w:cs="方正小标宋_GBK"/>
          <w:sz w:val="70"/>
          <w:szCs w:val="70"/>
        </w:rPr>
      </w:pPr>
    </w:p>
    <w:p w14:paraId="408E7DE1">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4BD923E1">
      <w:pPr>
        <w:pStyle w:val="14"/>
        <w:jc w:val="center"/>
        <w:rPr>
          <w:rFonts w:hint="eastAsia" w:ascii="方正小标宋_GBK" w:hAnsi="方正小标宋_GBK" w:eastAsia="方正小标宋_GBK" w:cs="方正小标宋_GBK"/>
          <w:sz w:val="70"/>
          <w:szCs w:val="70"/>
        </w:rPr>
      </w:pPr>
    </w:p>
    <w:p w14:paraId="16EDAAC9">
      <w:pPr>
        <w:pStyle w:val="14"/>
        <w:jc w:val="center"/>
        <w:rPr>
          <w:rFonts w:hint="eastAsia" w:ascii="方正小标宋_GBK" w:hAnsi="方正小标宋_GBK" w:eastAsia="方正小标宋_GBK" w:cs="方正小标宋_GBK"/>
          <w:sz w:val="70"/>
          <w:szCs w:val="70"/>
        </w:rPr>
      </w:pPr>
    </w:p>
    <w:p w14:paraId="072C6B0F">
      <w:pPr>
        <w:pStyle w:val="14"/>
        <w:jc w:val="center"/>
        <w:rPr>
          <w:rFonts w:hint="eastAsia" w:ascii="方正小标宋_GBK" w:hAnsi="方正小标宋_GBK" w:eastAsia="方正小标宋_GBK" w:cs="方正小标宋_GBK"/>
          <w:sz w:val="70"/>
          <w:szCs w:val="70"/>
        </w:rPr>
      </w:pPr>
    </w:p>
    <w:p w14:paraId="69D740C9">
      <w:pPr>
        <w:pStyle w:val="14"/>
        <w:jc w:val="center"/>
        <w:rPr>
          <w:rFonts w:hint="eastAsia" w:ascii="方正小标宋_GBK" w:hAnsi="方正小标宋_GBK" w:eastAsia="方正小标宋_GBK" w:cs="方正小标宋_GBK"/>
          <w:sz w:val="70"/>
          <w:szCs w:val="70"/>
        </w:rPr>
      </w:pPr>
    </w:p>
    <w:p w14:paraId="713D849C">
      <w:pPr>
        <w:pStyle w:val="14"/>
        <w:jc w:val="center"/>
        <w:rPr>
          <w:rFonts w:hint="eastAsia" w:ascii="方正小标宋_GBK" w:hAnsi="方正小标宋_GBK" w:eastAsia="方正小标宋_GBK" w:cs="方正小标宋_GBK"/>
          <w:sz w:val="70"/>
          <w:szCs w:val="70"/>
        </w:rPr>
      </w:pPr>
    </w:p>
    <w:p w14:paraId="7AB0932B">
      <w:pPr>
        <w:pStyle w:val="14"/>
        <w:jc w:val="center"/>
        <w:rPr>
          <w:rFonts w:hint="eastAsia" w:ascii="方正小标宋_GBK" w:hAnsi="方正小标宋_GBK" w:eastAsia="方正小标宋_GBK" w:cs="方正小标宋_GBK"/>
          <w:sz w:val="70"/>
          <w:szCs w:val="70"/>
        </w:rPr>
      </w:pPr>
    </w:p>
    <w:p w14:paraId="3CAD7401">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14:paraId="4133C5D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1A5ECFDD">
      <w:pPr>
        <w:pStyle w:val="14"/>
        <w:ind w:firstLine="640" w:firstLineChars="200"/>
        <w:rPr>
          <w:rFonts w:hint="eastAsia" w:ascii="楷体" w:hAnsi="楷体" w:eastAsia="楷体" w:cs="楷体"/>
          <w:i/>
          <w:iCs/>
          <w:sz w:val="32"/>
          <w:szCs w:val="32"/>
          <w:highlight w:val="none"/>
        </w:rPr>
      </w:pP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年度收、支总计</w:t>
      </w:r>
      <w:r>
        <w:rPr>
          <w:rFonts w:hint="eastAsia" w:ascii="Times New Roman" w:hAnsi="Times New Roman" w:eastAsia="仿宋_GB2312"/>
          <w:sz w:val="32"/>
          <w:szCs w:val="32"/>
          <w:highlight w:val="none"/>
          <w:lang w:val="en-US" w:eastAsia="zh-CN"/>
        </w:rPr>
        <w:t>4299.08</w:t>
      </w:r>
      <w:r>
        <w:rPr>
          <w:rFonts w:hint="eastAsia" w:ascii="Times New Roman" w:hAnsi="Times New Roman" w:eastAsia="仿宋_GB2312"/>
          <w:sz w:val="32"/>
          <w:szCs w:val="32"/>
          <w:highlight w:val="none"/>
        </w:rPr>
        <w:t>万元。与上年</w:t>
      </w:r>
      <w:r>
        <w:rPr>
          <w:rFonts w:hint="eastAsia" w:ascii="Times New Roman" w:hAnsi="Times New Roman" w:eastAsia="仿宋_GB2312"/>
          <w:sz w:val="32"/>
          <w:szCs w:val="32"/>
          <w:highlight w:val="none"/>
          <w:lang w:val="en-US" w:eastAsia="zh-CN"/>
        </w:rPr>
        <w:t>4280.31</w:t>
      </w:r>
      <w:r>
        <w:rPr>
          <w:rFonts w:hint="eastAsia" w:ascii="Times New Roman" w:hAnsi="Times New Roman" w:eastAsia="仿宋_GB2312"/>
          <w:sz w:val="32"/>
          <w:szCs w:val="32"/>
          <w:highlight w:val="none"/>
        </w:rPr>
        <w:t>万元相比，增加</w:t>
      </w:r>
      <w:r>
        <w:rPr>
          <w:rFonts w:hint="eastAsia" w:ascii="Times New Roman" w:hAnsi="Times New Roman" w:eastAsia="仿宋_GB2312"/>
          <w:sz w:val="32"/>
          <w:szCs w:val="32"/>
          <w:highlight w:val="none"/>
          <w:lang w:val="en-US" w:eastAsia="zh-CN"/>
        </w:rPr>
        <w:t>18.77</w:t>
      </w:r>
      <w:r>
        <w:rPr>
          <w:rFonts w:hint="eastAsia" w:ascii="Times New Roman" w:hAnsi="Times New Roman" w:eastAsia="仿宋_GB2312"/>
          <w:sz w:val="32"/>
          <w:szCs w:val="32"/>
          <w:highlight w:val="none"/>
        </w:rPr>
        <w:t>万元，增长</w:t>
      </w:r>
      <w:r>
        <w:rPr>
          <w:rFonts w:hint="eastAsia" w:ascii="宋体" w:hAnsi="宋体" w:eastAsia="宋体"/>
          <w:sz w:val="32"/>
          <w:szCs w:val="32"/>
          <w:highlight w:val="none"/>
          <w:lang w:val="en-US" w:eastAsia="zh-CN"/>
        </w:rPr>
        <w:t>0.44</w:t>
      </w:r>
      <w:r>
        <w:rPr>
          <w:rFonts w:hint="eastAsia" w:ascii="宋体" w:hAnsi="宋体" w:eastAsia="宋体"/>
          <w:sz w:val="32"/>
          <w:szCs w:val="32"/>
          <w:highlight w:val="none"/>
        </w:rPr>
        <w:t>%</w:t>
      </w:r>
      <w:r>
        <w:rPr>
          <w:rFonts w:hint="eastAsia" w:ascii="Times New Roman" w:hAnsi="Times New Roman" w:eastAsia="仿宋_GB2312"/>
          <w:sz w:val="32"/>
          <w:szCs w:val="32"/>
          <w:highlight w:val="none"/>
        </w:rPr>
        <w:t>，主要是</w:t>
      </w:r>
      <w:r>
        <w:rPr>
          <w:rFonts w:hint="eastAsia" w:ascii="Times New Roman" w:hAnsi="Times New Roman" w:eastAsia="仿宋_GB2312"/>
          <w:sz w:val="32"/>
          <w:szCs w:val="32"/>
          <w:highlight w:val="none"/>
          <w:lang w:val="en-US" w:eastAsia="zh-CN"/>
        </w:rPr>
        <w:t>原因：</w:t>
      </w:r>
      <w:bookmarkStart w:id="1" w:name="OLE_LINK21"/>
      <w:bookmarkStart w:id="2" w:name="OLE_LINK7"/>
      <w:r>
        <w:rPr>
          <w:rFonts w:hint="eastAsia" w:ascii="Times New Roman" w:hAnsi="Times New Roman" w:eastAsia="仿宋_GB2312"/>
          <w:sz w:val="32"/>
          <w:szCs w:val="32"/>
          <w:highlight w:val="none"/>
        </w:rPr>
        <w:t>一是</w:t>
      </w:r>
      <w:bookmarkStart w:id="3" w:name="OLE_LINK20"/>
      <w:r>
        <w:rPr>
          <w:rFonts w:hint="eastAsia" w:ascii="Times New Roman" w:hAnsi="Times New Roman" w:eastAsia="仿宋_GB2312"/>
          <w:sz w:val="32"/>
          <w:szCs w:val="32"/>
          <w:highlight w:val="none"/>
          <w:lang w:val="en-US" w:eastAsia="zh-CN"/>
        </w:rPr>
        <w:t>奖金发放时间存在时差，造成年终奖较上年少，但养老保险基数调高，基础性绩效奖计入核算标准，且公积金单位缴费部分由财政代缴变为各单位自行缴费，总体造成人员经费增加；二是2022年及2023年都存在临时性专项经费追加，两年追加数基本持平，上年追加增开人大会议的经费，</w:t>
      </w:r>
      <w:bookmarkEnd w:id="3"/>
      <w:r>
        <w:rPr>
          <w:rFonts w:hint="eastAsia" w:ascii="Times New Roman" w:hAnsi="Times New Roman" w:eastAsia="仿宋_GB2312"/>
          <w:sz w:val="32"/>
          <w:szCs w:val="32"/>
          <w:highlight w:val="none"/>
          <w:lang w:val="en-US" w:eastAsia="zh-CN"/>
        </w:rPr>
        <w:t>本年度增加《人民之友》专题宣传经费、人大志编纂出版部分经费、人大预算联网监督平台奖励经费。</w:t>
      </w:r>
      <w:bookmarkEnd w:id="1"/>
      <w:bookmarkStart w:id="29" w:name="_GoBack"/>
      <w:bookmarkEnd w:id="29"/>
    </w:p>
    <w:p w14:paraId="418AD78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二、收入决算情况说明</w:t>
      </w:r>
    </w:p>
    <w:bookmarkEnd w:id="2"/>
    <w:p w14:paraId="22E2289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年度收入合计</w:t>
      </w:r>
      <w:r>
        <w:rPr>
          <w:rFonts w:hint="eastAsia" w:ascii="Times New Roman" w:hAnsi="Times New Roman" w:eastAsia="仿宋_GB2312"/>
          <w:sz w:val="32"/>
          <w:szCs w:val="32"/>
          <w:highlight w:val="none"/>
          <w:lang w:val="en-US" w:eastAsia="zh-CN"/>
        </w:rPr>
        <w:t>4244.29</w:t>
      </w:r>
      <w:r>
        <w:rPr>
          <w:rFonts w:hint="eastAsia" w:ascii="Times New Roman" w:hAnsi="Times New Roman" w:eastAsia="仿宋_GB2312"/>
          <w:sz w:val="32"/>
          <w:szCs w:val="32"/>
          <w:highlight w:val="none"/>
        </w:rPr>
        <w:t>万元，其中：财政拨款收入</w:t>
      </w:r>
      <w:r>
        <w:rPr>
          <w:rFonts w:hint="eastAsia" w:ascii="Times New Roman" w:hAnsi="Times New Roman" w:eastAsia="仿宋_GB2312"/>
          <w:sz w:val="32"/>
          <w:szCs w:val="32"/>
          <w:highlight w:val="none"/>
          <w:lang w:val="en-US" w:eastAsia="zh-CN"/>
        </w:rPr>
        <w:t>4073.63</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95.98</w:t>
      </w:r>
      <w:r>
        <w:rPr>
          <w:rFonts w:hint="eastAsia" w:ascii="Times New Roman" w:hAnsi="Times New Roman" w:eastAsia="仿宋_GB2312"/>
          <w:sz w:val="32"/>
          <w:szCs w:val="32"/>
          <w:highlight w:val="none"/>
        </w:rPr>
        <w:t>%；上级补助收入</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w:t>
      </w:r>
      <w:bookmarkStart w:id="4" w:name="OLE_LINK2"/>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占</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w:t>
      </w:r>
      <w:bookmarkEnd w:id="4"/>
      <w:r>
        <w:rPr>
          <w:rFonts w:hint="eastAsia" w:ascii="Times New Roman" w:hAnsi="Times New Roman" w:eastAsia="仿宋_GB2312"/>
          <w:sz w:val="32"/>
          <w:szCs w:val="32"/>
          <w:highlight w:val="none"/>
        </w:rPr>
        <w:t>；事业收入</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占</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%；经营收入</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占</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%；附属单位上缴收入</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占</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%；其他收入</w:t>
      </w:r>
      <w:r>
        <w:rPr>
          <w:rFonts w:hint="eastAsia" w:ascii="Times New Roman" w:hAnsi="Times New Roman" w:eastAsia="仿宋_GB2312"/>
          <w:sz w:val="32"/>
          <w:szCs w:val="32"/>
          <w:highlight w:val="none"/>
          <w:lang w:val="en-US" w:eastAsia="zh-CN"/>
        </w:rPr>
        <w:t>170.65</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4.02</w:t>
      </w:r>
      <w:r>
        <w:rPr>
          <w:rFonts w:hint="eastAsia" w:ascii="Times New Roman" w:hAnsi="Times New Roman" w:eastAsia="仿宋_GB2312"/>
          <w:sz w:val="32"/>
          <w:szCs w:val="32"/>
          <w:highlight w:val="none"/>
        </w:rPr>
        <w:t>%。</w:t>
      </w:r>
    </w:p>
    <w:p w14:paraId="15F1610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三、支出决算情况说明</w:t>
      </w:r>
    </w:p>
    <w:p w14:paraId="28FEF03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年度支出合计</w:t>
      </w:r>
      <w:r>
        <w:rPr>
          <w:rFonts w:hint="eastAsia" w:ascii="Times New Roman" w:hAnsi="Times New Roman" w:eastAsia="仿宋_GB2312"/>
          <w:sz w:val="32"/>
          <w:szCs w:val="32"/>
          <w:highlight w:val="none"/>
          <w:lang w:val="en-US" w:eastAsia="zh-CN"/>
        </w:rPr>
        <w:t>4289.05</w:t>
      </w:r>
      <w:r>
        <w:rPr>
          <w:rFonts w:hint="eastAsia" w:ascii="Times New Roman" w:hAnsi="Times New Roman" w:eastAsia="仿宋_GB2312"/>
          <w:sz w:val="32"/>
          <w:szCs w:val="32"/>
          <w:highlight w:val="none"/>
        </w:rPr>
        <w:t>万元，其中：基本支出</w:t>
      </w:r>
      <w:r>
        <w:rPr>
          <w:rFonts w:hint="eastAsia" w:ascii="Times New Roman" w:hAnsi="Times New Roman" w:eastAsia="仿宋_GB2312"/>
          <w:sz w:val="32"/>
          <w:szCs w:val="32"/>
          <w:highlight w:val="none"/>
          <w:lang w:val="en-US" w:eastAsia="zh-CN"/>
        </w:rPr>
        <w:t>2788.61</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65.02</w:t>
      </w:r>
      <w:r>
        <w:rPr>
          <w:rFonts w:hint="eastAsia" w:ascii="Times New Roman" w:hAnsi="Times New Roman" w:eastAsia="仿宋_GB2312"/>
          <w:sz w:val="32"/>
          <w:szCs w:val="32"/>
          <w:highlight w:val="none"/>
        </w:rPr>
        <w:t>%；项目支出</w:t>
      </w:r>
      <w:r>
        <w:rPr>
          <w:rFonts w:hint="eastAsia" w:ascii="Times New Roman" w:hAnsi="Times New Roman" w:eastAsia="仿宋_GB2312"/>
          <w:sz w:val="32"/>
          <w:szCs w:val="32"/>
          <w:highlight w:val="none"/>
          <w:lang w:val="en-US" w:eastAsia="zh-CN"/>
        </w:rPr>
        <w:t>1500.45</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34.98</w:t>
      </w:r>
      <w:r>
        <w:rPr>
          <w:rFonts w:hint="eastAsia" w:ascii="Times New Roman" w:hAnsi="Times New Roman" w:eastAsia="仿宋_GB2312"/>
          <w:sz w:val="32"/>
          <w:szCs w:val="32"/>
          <w:highlight w:val="none"/>
        </w:rPr>
        <w:t>%；上缴上级支出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占</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%；经营支出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占</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%；对附属单位补助支出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占</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w:t>
      </w:r>
    </w:p>
    <w:p w14:paraId="582C3CE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四、财政拨款收入支出决算总体情况说明</w:t>
      </w:r>
    </w:p>
    <w:p w14:paraId="28D7E614">
      <w:pPr>
        <w:pStyle w:val="14"/>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highlight w:val="none"/>
        </w:rPr>
      </w:pPr>
      <w:r>
        <w:rPr>
          <w:rFonts w:hint="eastAsia" w:ascii="Times New Roman" w:hAnsi="Times New Roman" w:eastAsia="仿宋_GB2312"/>
          <w:sz w:val="32"/>
          <w:szCs w:val="32"/>
          <w:highlight w:val="none"/>
        </w:rPr>
        <w:t xml:space="preserve">   </w:t>
      </w:r>
      <w:r>
        <w:rPr>
          <w:rFonts w:hint="eastAsia" w:ascii="仿宋_GB2312" w:hAnsi="仿宋_GB2312" w:eastAsia="仿宋_GB2312" w:cs="仿宋_GB2312"/>
          <w:sz w:val="32"/>
          <w:szCs w:val="32"/>
          <w:highlight w:val="none"/>
        </w:rPr>
        <w:t xml:space="preserve"> </w:t>
      </w: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年度财政拨款收、支总计40</w:t>
      </w:r>
      <w:r>
        <w:rPr>
          <w:rFonts w:hint="eastAsia" w:ascii="Times New Roman" w:hAnsi="Times New Roman" w:eastAsia="仿宋_GB2312"/>
          <w:sz w:val="32"/>
          <w:szCs w:val="32"/>
          <w:highlight w:val="none"/>
          <w:lang w:val="en-US" w:eastAsia="zh-CN"/>
        </w:rPr>
        <w:t>89.78</w:t>
      </w:r>
      <w:r>
        <w:rPr>
          <w:rFonts w:hint="eastAsia" w:ascii="Times New Roman" w:hAnsi="Times New Roman" w:eastAsia="仿宋_GB2312"/>
          <w:sz w:val="32"/>
          <w:szCs w:val="32"/>
          <w:highlight w:val="none"/>
        </w:rPr>
        <w:t>万元，与上年4045</w:t>
      </w:r>
      <w:r>
        <w:rPr>
          <w:rFonts w:hint="eastAsia" w:ascii="Times New Roman" w:hAnsi="Times New Roman" w:eastAsia="仿宋_GB2312"/>
          <w:sz w:val="32"/>
          <w:szCs w:val="32"/>
          <w:highlight w:val="none"/>
          <w:lang w:val="en-US" w:eastAsia="zh-CN"/>
        </w:rPr>
        <w:t>.</w:t>
      </w:r>
      <w:r>
        <w:rPr>
          <w:rFonts w:hint="eastAsia" w:ascii="Times New Roman" w:hAnsi="Times New Roman" w:eastAsia="仿宋_GB2312"/>
          <w:sz w:val="32"/>
          <w:szCs w:val="32"/>
          <w:highlight w:val="none"/>
        </w:rPr>
        <w:t>87万元相比，增加</w:t>
      </w:r>
      <w:r>
        <w:rPr>
          <w:rFonts w:hint="eastAsia" w:ascii="Times New Roman" w:hAnsi="Times New Roman" w:eastAsia="仿宋_GB2312"/>
          <w:sz w:val="32"/>
          <w:szCs w:val="32"/>
          <w:highlight w:val="none"/>
          <w:lang w:val="en-US" w:eastAsia="zh-CN"/>
        </w:rPr>
        <w:t>43.91</w:t>
      </w:r>
      <w:r>
        <w:rPr>
          <w:rFonts w:hint="eastAsia" w:ascii="Times New Roman" w:hAnsi="Times New Roman" w:eastAsia="仿宋_GB2312"/>
          <w:sz w:val="32"/>
          <w:szCs w:val="32"/>
          <w:highlight w:val="none"/>
        </w:rPr>
        <w:t>万元,增长</w:t>
      </w:r>
      <w:r>
        <w:rPr>
          <w:rFonts w:hint="eastAsia" w:ascii="Times New Roman" w:hAnsi="Times New Roman" w:eastAsia="仿宋_GB2312"/>
          <w:sz w:val="32"/>
          <w:szCs w:val="32"/>
          <w:highlight w:val="none"/>
          <w:lang w:val="en-US" w:eastAsia="zh-CN"/>
        </w:rPr>
        <w:t>1.09</w:t>
      </w:r>
      <w:r>
        <w:rPr>
          <w:rFonts w:hint="eastAsia" w:ascii="Times New Roman" w:hAnsi="Times New Roman" w:eastAsia="仿宋_GB2312"/>
          <w:sz w:val="32"/>
          <w:szCs w:val="32"/>
          <w:highlight w:val="none"/>
        </w:rPr>
        <w:t>%，主要</w:t>
      </w:r>
      <w:r>
        <w:rPr>
          <w:rFonts w:hint="eastAsia" w:ascii="Times New Roman" w:hAnsi="Times New Roman" w:eastAsia="仿宋_GB2312"/>
          <w:sz w:val="32"/>
          <w:szCs w:val="32"/>
          <w:highlight w:val="none"/>
          <w:lang w:val="en-US" w:eastAsia="zh-CN"/>
        </w:rPr>
        <w:t>原因：</w:t>
      </w:r>
      <w:r>
        <w:rPr>
          <w:rFonts w:hint="eastAsia" w:ascii="Times New Roman" w:hAnsi="Times New Roman" w:eastAsia="仿宋_GB2312"/>
          <w:sz w:val="32"/>
          <w:szCs w:val="32"/>
          <w:highlight w:val="none"/>
        </w:rPr>
        <w:t>一是</w:t>
      </w:r>
      <w:r>
        <w:rPr>
          <w:rFonts w:hint="eastAsia" w:ascii="Times New Roman" w:hAnsi="Times New Roman" w:eastAsia="仿宋_GB2312"/>
          <w:sz w:val="32"/>
          <w:szCs w:val="32"/>
          <w:highlight w:val="none"/>
          <w:lang w:val="en-US" w:eastAsia="zh-CN"/>
        </w:rPr>
        <w:t>奖金发放时间存在时差，造成年终奖较上年少，但养老保险基数调高，基础性绩效奖计入核算标准，且公积金单位缴费部分由财政代缴变为各单位自行缴费，总体造成人员经费增加；二是2022年及2023年都存在临时性专项经费追加，两年追加数基本持平，上年追加增开人大会议的经费，本年度增加《人民之友》专题宣传经费、人大志编纂出版部分经费、人大预算联网监督平台奖励经费。</w:t>
      </w:r>
    </w:p>
    <w:p w14:paraId="2D64D7B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五、一般公共预算财政拨款支出决算情况说明</w:t>
      </w:r>
    </w:p>
    <w:p w14:paraId="1527FB9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（一）一般公共预算财政拨款支出决算总体情况</w:t>
      </w:r>
    </w:p>
    <w:p w14:paraId="50DABCDA">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年度财政拨款支出40</w:t>
      </w:r>
      <w:r>
        <w:rPr>
          <w:rFonts w:hint="eastAsia" w:ascii="Times New Roman" w:hAnsi="Times New Roman" w:eastAsia="仿宋_GB2312"/>
          <w:sz w:val="32"/>
          <w:szCs w:val="32"/>
          <w:highlight w:val="none"/>
          <w:lang w:val="en-US" w:eastAsia="zh-CN"/>
        </w:rPr>
        <w:t>79.75</w:t>
      </w:r>
      <w:r>
        <w:rPr>
          <w:rFonts w:hint="eastAsia" w:ascii="Times New Roman" w:hAnsi="Times New Roman" w:eastAsia="仿宋_GB2312"/>
          <w:sz w:val="32"/>
          <w:szCs w:val="32"/>
          <w:highlight w:val="none"/>
        </w:rPr>
        <w:t>万元，占本年支出合计的</w:t>
      </w:r>
      <w:r>
        <w:rPr>
          <w:rFonts w:hint="eastAsia" w:ascii="Times New Roman" w:hAnsi="Times New Roman" w:eastAsia="仿宋_GB2312"/>
          <w:sz w:val="32"/>
          <w:szCs w:val="32"/>
          <w:highlight w:val="none"/>
          <w:lang w:val="en-US" w:eastAsia="zh-CN"/>
        </w:rPr>
        <w:t>95.11</w:t>
      </w:r>
      <w:r>
        <w:rPr>
          <w:rFonts w:hint="eastAsia" w:ascii="Times New Roman" w:hAnsi="Times New Roman" w:eastAsia="仿宋_GB2312"/>
          <w:sz w:val="32"/>
          <w:szCs w:val="32"/>
          <w:highlight w:val="none"/>
        </w:rPr>
        <w:t>%，与上年4026.3万元相比，财政拨款支出增加</w:t>
      </w:r>
      <w:r>
        <w:rPr>
          <w:rFonts w:hint="eastAsia" w:ascii="Times New Roman" w:hAnsi="Times New Roman" w:eastAsia="仿宋_GB2312"/>
          <w:sz w:val="32"/>
          <w:szCs w:val="32"/>
          <w:highlight w:val="none"/>
          <w:lang w:val="en-US" w:eastAsia="zh-CN"/>
        </w:rPr>
        <w:t>53.45</w:t>
      </w:r>
      <w:r>
        <w:rPr>
          <w:rFonts w:hint="eastAsia" w:ascii="Times New Roman" w:hAnsi="Times New Roman" w:eastAsia="仿宋_GB2312"/>
          <w:sz w:val="32"/>
          <w:szCs w:val="32"/>
          <w:highlight w:val="none"/>
        </w:rPr>
        <w:t>万元，增长</w:t>
      </w:r>
      <w:r>
        <w:rPr>
          <w:rFonts w:hint="eastAsia" w:ascii="Times New Roman" w:hAnsi="Times New Roman" w:eastAsia="仿宋_GB2312"/>
          <w:sz w:val="32"/>
          <w:szCs w:val="32"/>
          <w:highlight w:val="none"/>
          <w:lang w:val="en-US" w:eastAsia="zh-CN"/>
        </w:rPr>
        <w:t>1.33</w:t>
      </w:r>
      <w:r>
        <w:rPr>
          <w:rFonts w:hint="eastAsia" w:ascii="Times New Roman" w:hAnsi="Times New Roman" w:eastAsia="仿宋_GB2312"/>
          <w:sz w:val="32"/>
          <w:szCs w:val="32"/>
          <w:highlight w:val="none"/>
        </w:rPr>
        <w:t>%，主要</w:t>
      </w:r>
      <w:r>
        <w:rPr>
          <w:rFonts w:hint="eastAsia" w:ascii="Times New Roman" w:hAnsi="Times New Roman" w:eastAsia="仿宋_GB2312"/>
          <w:sz w:val="32"/>
          <w:szCs w:val="32"/>
          <w:highlight w:val="none"/>
          <w:lang w:val="en-US" w:eastAsia="zh-CN"/>
        </w:rPr>
        <w:t>原因：</w:t>
      </w:r>
      <w:r>
        <w:rPr>
          <w:rFonts w:hint="eastAsia" w:ascii="Times New Roman" w:hAnsi="Times New Roman" w:eastAsia="仿宋_GB2312"/>
          <w:sz w:val="32"/>
          <w:szCs w:val="32"/>
          <w:highlight w:val="none"/>
        </w:rPr>
        <w:t>一是</w:t>
      </w:r>
      <w:r>
        <w:rPr>
          <w:rFonts w:hint="eastAsia" w:ascii="Times New Roman" w:hAnsi="Times New Roman" w:eastAsia="仿宋_GB2312"/>
          <w:sz w:val="32"/>
          <w:szCs w:val="32"/>
          <w:highlight w:val="none"/>
          <w:lang w:val="en-US" w:eastAsia="zh-CN"/>
        </w:rPr>
        <w:t>奖金发放时间存在时差，造成年终奖较上年少，但养老保险基数调高，基础性绩效奖计入核算标准，且公积金单位缴费部分由财政代缴变为各单位自行缴费，总体造成人员经费增加；二是2022年及2023年都存在临时性专项经费追加，两年追加数基本持平，上年追加增开人大会议的经费，本年度增加《人民之友》专题宣传经费、人大志编纂出版部分经费、人大预算联网监督平台奖励经费。</w:t>
      </w:r>
    </w:p>
    <w:p w14:paraId="72949C5D">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（二）一般公共预算财政拨款支出决算结构情况</w:t>
      </w:r>
    </w:p>
    <w:p w14:paraId="04B3C3D7">
      <w:pPr>
        <w:pStyle w:val="14"/>
        <w:ind w:firstLine="640" w:firstLineChars="200"/>
        <w:rPr>
          <w:rFonts w:hint="eastAsia" w:ascii="楷体" w:hAnsi="楷体" w:eastAsia="楷体" w:cs="楷体"/>
          <w:sz w:val="32"/>
          <w:szCs w:val="32"/>
          <w:highlight w:val="none"/>
        </w:rPr>
      </w:pP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年度财政拨款支出40</w:t>
      </w:r>
      <w:r>
        <w:rPr>
          <w:rFonts w:hint="eastAsia" w:ascii="Times New Roman" w:hAnsi="Times New Roman" w:eastAsia="仿宋_GB2312"/>
          <w:sz w:val="32"/>
          <w:szCs w:val="32"/>
          <w:highlight w:val="none"/>
          <w:lang w:val="en-US" w:eastAsia="zh-CN"/>
        </w:rPr>
        <w:t>79.75</w:t>
      </w:r>
      <w:r>
        <w:rPr>
          <w:rFonts w:hint="eastAsia" w:ascii="Times New Roman" w:hAnsi="Times New Roman" w:eastAsia="仿宋_GB2312"/>
          <w:sz w:val="32"/>
          <w:szCs w:val="32"/>
          <w:highlight w:val="none"/>
        </w:rPr>
        <w:t>万元，主要用于以下方面：</w:t>
      </w:r>
      <w:r>
        <w:rPr>
          <w:rFonts w:hint="eastAsia" w:ascii="Times New Roman" w:hAnsi="Times New Roman" w:eastAsia="仿宋_GB2312" w:cs="Times New Roman"/>
          <w:sz w:val="32"/>
          <w:szCs w:val="32"/>
          <w:highlight w:val="none"/>
        </w:rPr>
        <w:t>一般公共服务支出</w:t>
      </w:r>
      <w:r>
        <w:rPr>
          <w:rFonts w:hint="eastAsia" w:ascii="Times New Roman" w:hAnsi="Times New Roman" w:eastAsia="仿宋_GB2312" w:cs="Times New Roman"/>
          <w:sz w:val="32"/>
          <w:szCs w:val="32"/>
          <w:highlight w:val="none"/>
          <w:lang w:val="en-US" w:eastAsia="zh-CN"/>
        </w:rPr>
        <w:t>3285.92</w:t>
      </w:r>
      <w:r>
        <w:rPr>
          <w:rFonts w:hint="eastAsia" w:ascii="Times New Roman" w:hAnsi="Times New Roman" w:eastAsia="仿宋_GB2312" w:cs="Times New Roman"/>
          <w:sz w:val="32"/>
          <w:szCs w:val="32"/>
          <w:highlight w:val="none"/>
        </w:rPr>
        <w:t>万元，占比</w:t>
      </w:r>
      <w:r>
        <w:rPr>
          <w:rFonts w:hint="eastAsia" w:ascii="Times New Roman" w:hAnsi="Times New Roman" w:eastAsia="仿宋_GB2312" w:cs="Times New Roman"/>
          <w:sz w:val="32"/>
          <w:szCs w:val="32"/>
          <w:highlight w:val="none"/>
          <w:lang w:val="en-US" w:eastAsia="zh-CN"/>
        </w:rPr>
        <w:t>80.54</w:t>
      </w:r>
      <w:r>
        <w:rPr>
          <w:rFonts w:hint="eastAsia" w:ascii="Times New Roman" w:hAnsi="Times New Roman" w:eastAsia="仿宋_GB2312" w:cs="Times New Roman"/>
          <w:sz w:val="32"/>
          <w:szCs w:val="32"/>
          <w:highlight w:val="none"/>
        </w:rPr>
        <w:t>%；社会保障和就业支出</w:t>
      </w:r>
      <w:r>
        <w:rPr>
          <w:rFonts w:hint="eastAsia" w:ascii="Times New Roman" w:hAnsi="Times New Roman" w:eastAsia="仿宋_GB2312" w:cs="Times New Roman"/>
          <w:sz w:val="32"/>
          <w:szCs w:val="32"/>
          <w:highlight w:val="none"/>
          <w:lang w:val="en-US" w:eastAsia="zh-CN"/>
        </w:rPr>
        <w:t>542.95</w:t>
      </w:r>
      <w:r>
        <w:rPr>
          <w:rFonts w:hint="eastAsia" w:ascii="Times New Roman" w:hAnsi="Times New Roman" w:eastAsia="仿宋_GB2312" w:cs="Times New Roman"/>
          <w:sz w:val="32"/>
          <w:szCs w:val="32"/>
          <w:highlight w:val="none"/>
        </w:rPr>
        <w:t>万元，占比</w:t>
      </w:r>
      <w:r>
        <w:rPr>
          <w:rFonts w:hint="eastAsia" w:ascii="Times New Roman" w:hAnsi="Times New Roman" w:eastAsia="仿宋_GB2312" w:cs="Times New Roman"/>
          <w:sz w:val="32"/>
          <w:szCs w:val="32"/>
          <w:highlight w:val="none"/>
          <w:lang w:val="en-US" w:eastAsia="zh-CN"/>
        </w:rPr>
        <w:t>13.31</w:t>
      </w:r>
      <w:r>
        <w:rPr>
          <w:rFonts w:hint="eastAsia" w:ascii="Times New Roman" w:hAnsi="Times New Roman" w:eastAsia="仿宋_GB2312" w:cs="Times New Roman"/>
          <w:sz w:val="32"/>
          <w:szCs w:val="32"/>
          <w:highlight w:val="none"/>
        </w:rPr>
        <w:t>%；卫生健康支出</w:t>
      </w:r>
      <w:r>
        <w:rPr>
          <w:rFonts w:hint="eastAsia" w:ascii="Times New Roman" w:hAnsi="Times New Roman" w:eastAsia="仿宋_GB2312" w:cs="Times New Roman"/>
          <w:sz w:val="32"/>
          <w:szCs w:val="32"/>
          <w:highlight w:val="none"/>
          <w:lang w:val="en-US" w:eastAsia="zh-CN"/>
        </w:rPr>
        <w:t>126.6</w:t>
      </w:r>
      <w:r>
        <w:rPr>
          <w:rFonts w:hint="eastAsia" w:ascii="Times New Roman" w:hAnsi="Times New Roman" w:eastAsia="仿宋_GB2312" w:cs="Times New Roman"/>
          <w:sz w:val="32"/>
          <w:szCs w:val="32"/>
          <w:highlight w:val="none"/>
        </w:rPr>
        <w:t>万元，占比</w:t>
      </w:r>
      <w:r>
        <w:rPr>
          <w:rFonts w:hint="eastAsia" w:ascii="Times New Roman" w:hAnsi="Times New Roman" w:eastAsia="仿宋_GB2312" w:cs="Times New Roman"/>
          <w:sz w:val="32"/>
          <w:szCs w:val="32"/>
          <w:highlight w:val="none"/>
          <w:lang w:val="en-US" w:eastAsia="zh-CN"/>
        </w:rPr>
        <w:t>3.1</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；节能环保支出</w:t>
      </w:r>
      <w:r>
        <w:rPr>
          <w:rFonts w:hint="eastAsia" w:ascii="Times New Roman" w:hAnsi="Times New Roman" w:eastAsia="仿宋_GB2312" w:cs="Times New Roman"/>
          <w:sz w:val="32"/>
          <w:szCs w:val="32"/>
          <w:highlight w:val="none"/>
          <w:lang w:val="en-US" w:eastAsia="zh-CN"/>
        </w:rPr>
        <w:t>13.25万元</w:t>
      </w:r>
      <w:r>
        <w:rPr>
          <w:rFonts w:hint="eastAsia" w:ascii="Times New Roman" w:hAnsi="Times New Roman" w:eastAsia="仿宋_GB2312" w:cs="Times New Roman"/>
          <w:sz w:val="32"/>
          <w:szCs w:val="32"/>
          <w:highlight w:val="none"/>
        </w:rPr>
        <w:t>，占比</w:t>
      </w:r>
      <w:r>
        <w:rPr>
          <w:rFonts w:hint="eastAsia" w:ascii="Times New Roman" w:hAnsi="Times New Roman" w:eastAsia="仿宋_GB2312" w:cs="Times New Roman"/>
          <w:sz w:val="32"/>
          <w:szCs w:val="32"/>
          <w:highlight w:val="none"/>
          <w:lang w:val="en-US" w:eastAsia="zh-CN"/>
        </w:rPr>
        <w:t>0.32</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住房保障支出111.02万元，占比2.72</w:t>
      </w:r>
      <w:r>
        <w:rPr>
          <w:rFonts w:hint="eastAsia" w:ascii="Times New Roman" w:hAnsi="Times New Roman" w:eastAsia="仿宋_GB2312" w:cs="Times New Roman"/>
          <w:sz w:val="32"/>
          <w:szCs w:val="32"/>
          <w:highlight w:val="none"/>
        </w:rPr>
        <w:t>%。</w:t>
      </w:r>
    </w:p>
    <w:p w14:paraId="4BDD1C8C">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（三）一般公共预算财政拨款支出决算具体情况</w:t>
      </w:r>
    </w:p>
    <w:p w14:paraId="51C7CA48">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highlight w:val="none"/>
        </w:rPr>
      </w:pP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年度财政拨款支出年初预算数为</w:t>
      </w:r>
      <w:r>
        <w:rPr>
          <w:rFonts w:hint="eastAsia" w:ascii="Times New Roman" w:hAnsi="Times New Roman" w:eastAsia="仿宋_GB2312"/>
          <w:sz w:val="32"/>
          <w:szCs w:val="32"/>
          <w:highlight w:val="none"/>
          <w:lang w:val="en-US" w:eastAsia="zh-CN"/>
        </w:rPr>
        <w:t>3230.43</w:t>
      </w:r>
      <w:r>
        <w:rPr>
          <w:rFonts w:hint="eastAsia" w:ascii="Times New Roman" w:hAnsi="Times New Roman" w:eastAsia="仿宋_GB2312"/>
          <w:sz w:val="32"/>
          <w:szCs w:val="32"/>
          <w:highlight w:val="none"/>
        </w:rPr>
        <w:t>万元，支出决算数为</w:t>
      </w:r>
      <w:bookmarkStart w:id="5" w:name="OLE_LINK9"/>
      <w:r>
        <w:rPr>
          <w:rFonts w:hint="eastAsia" w:ascii="Times New Roman" w:hAnsi="Times New Roman" w:eastAsia="仿宋_GB2312"/>
          <w:sz w:val="32"/>
          <w:szCs w:val="32"/>
          <w:highlight w:val="none"/>
        </w:rPr>
        <w:t>40</w:t>
      </w:r>
      <w:r>
        <w:rPr>
          <w:rFonts w:hint="eastAsia" w:ascii="Times New Roman" w:hAnsi="Times New Roman" w:eastAsia="仿宋_GB2312"/>
          <w:sz w:val="32"/>
          <w:szCs w:val="32"/>
          <w:highlight w:val="none"/>
          <w:lang w:val="en-US" w:eastAsia="zh-CN"/>
        </w:rPr>
        <w:t>79.75</w:t>
      </w:r>
      <w:bookmarkEnd w:id="5"/>
      <w:r>
        <w:rPr>
          <w:rFonts w:hint="eastAsia" w:ascii="Times New Roman" w:hAnsi="Times New Roman" w:eastAsia="仿宋_GB2312"/>
          <w:sz w:val="32"/>
          <w:szCs w:val="32"/>
          <w:highlight w:val="none"/>
        </w:rPr>
        <w:t>万元，完成年初预算的</w:t>
      </w:r>
      <w:r>
        <w:rPr>
          <w:rFonts w:hint="eastAsia" w:ascii="宋体" w:hAnsi="宋体" w:eastAsia="宋体"/>
          <w:sz w:val="32"/>
          <w:szCs w:val="32"/>
          <w:highlight w:val="none"/>
          <w:lang w:val="en-US" w:eastAsia="zh-CN"/>
        </w:rPr>
        <w:t>126.29</w:t>
      </w:r>
      <w:r>
        <w:rPr>
          <w:rFonts w:hint="eastAsia" w:ascii="Times New Roman" w:hAnsi="Times New Roman" w:eastAsia="仿宋_GB2312"/>
          <w:sz w:val="32"/>
          <w:szCs w:val="32"/>
          <w:highlight w:val="none"/>
        </w:rPr>
        <w:t>%，其中</w:t>
      </w:r>
      <w:r>
        <w:rPr>
          <w:rFonts w:hint="eastAsia" w:ascii="仿宋_GB2312" w:hAnsi="仿宋_GB2312" w:eastAsia="仿宋_GB2312" w:cs="仿宋_GB2312"/>
          <w:sz w:val="32"/>
          <w:szCs w:val="32"/>
          <w:highlight w:val="none"/>
        </w:rPr>
        <w:t>：</w:t>
      </w:r>
    </w:p>
    <w:p w14:paraId="4F3B9AD3">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1、一般公共服务支出（类）人大事务（款）行政运行（项）。</w:t>
      </w:r>
    </w:p>
    <w:p w14:paraId="60756A05">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highlight w:val="none"/>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1326.7</w:t>
      </w:r>
      <w:r>
        <w:rPr>
          <w:rFonts w:hint="eastAsia" w:ascii="Times New Roman" w:hAnsi="Times New Roman" w:eastAsia="仿宋_GB2312"/>
          <w:sz w:val="32"/>
          <w:szCs w:val="32"/>
          <w:highlight w:val="none"/>
        </w:rPr>
        <w:t>万元，支出决算为</w:t>
      </w:r>
      <w:r>
        <w:rPr>
          <w:rFonts w:hint="default" w:ascii="Times New Roman" w:hAnsi="Times New Roman" w:eastAsia="仿宋_GB2312"/>
          <w:sz w:val="32"/>
          <w:szCs w:val="32"/>
          <w:highlight w:val="none"/>
        </w:rPr>
        <w:t>1807.65</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136.25</w:t>
      </w:r>
      <w:r>
        <w:rPr>
          <w:rFonts w:hint="eastAsia" w:ascii="Times New Roman" w:hAnsi="Times New Roman" w:eastAsia="仿宋_GB2312"/>
          <w:sz w:val="32"/>
          <w:szCs w:val="32"/>
          <w:highlight w:val="none"/>
        </w:rPr>
        <w:t>%，决算数大于年初预算数的主要原因是：</w:t>
      </w:r>
      <w:r>
        <w:rPr>
          <w:rFonts w:hint="eastAsia" w:ascii="Times New Roman" w:hAnsi="Times New Roman" w:eastAsia="仿宋_GB2312"/>
          <w:sz w:val="32"/>
          <w:szCs w:val="32"/>
          <w:highlight w:val="none"/>
          <w:lang w:val="en-US" w:eastAsia="zh-CN"/>
        </w:rPr>
        <w:t>一是人员变动及工资提标，造成工资及社保差额，财政追加人员经费；二是财政年中拨付2022年奖励性绩效奖、2023年第十三个月工资；三是财政追加运行经费及工作经费,如《人民之友》专题宣传经费、2022年决算补助经费、人大预算联网监督平台维护费；四是</w:t>
      </w:r>
      <w:r>
        <w:rPr>
          <w:rFonts w:hint="eastAsia" w:ascii="Times New Roman" w:hAnsi="Times New Roman" w:eastAsia="仿宋_GB2312"/>
          <w:sz w:val="32"/>
          <w:szCs w:val="32"/>
          <w:highlight w:val="none"/>
        </w:rPr>
        <w:t>年初预算不包含上年结余结转</w:t>
      </w:r>
      <w:r>
        <w:rPr>
          <w:rFonts w:hint="eastAsia" w:ascii="Times New Roman" w:hAnsi="Times New Roman" w:eastAsia="仿宋_GB2312"/>
          <w:sz w:val="32"/>
          <w:szCs w:val="32"/>
          <w:highlight w:val="none"/>
          <w:lang w:val="en-US" w:eastAsia="zh-CN"/>
        </w:rPr>
        <w:t>。</w:t>
      </w:r>
    </w:p>
    <w:p w14:paraId="6321EF19">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2、一般公共服务支出（类）人大事务（款）一般行政管理事务（项）。</w:t>
      </w:r>
    </w:p>
    <w:p w14:paraId="6E3BD2D5">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494</w:t>
      </w:r>
      <w:r>
        <w:rPr>
          <w:rFonts w:hint="eastAsia" w:ascii="Times New Roman" w:hAnsi="Times New Roman" w:eastAsia="仿宋_GB2312"/>
          <w:sz w:val="32"/>
          <w:szCs w:val="32"/>
          <w:highlight w:val="none"/>
        </w:rPr>
        <w:t>万元，支出决算为</w:t>
      </w:r>
      <w:r>
        <w:rPr>
          <w:rFonts w:hint="default" w:ascii="Times New Roman" w:hAnsi="Times New Roman" w:eastAsia="仿宋_GB2312"/>
          <w:sz w:val="32"/>
          <w:szCs w:val="32"/>
          <w:highlight w:val="none"/>
          <w:lang w:eastAsia="zh-CN"/>
        </w:rPr>
        <w:t>554</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112.15</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决算数大于年初预算数的主要原因是：</w:t>
      </w:r>
      <w:r>
        <w:rPr>
          <w:rFonts w:hint="eastAsia" w:ascii="Times New Roman" w:hAnsi="Times New Roman" w:eastAsia="仿宋_GB2312"/>
          <w:sz w:val="32"/>
          <w:szCs w:val="32"/>
          <w:highlight w:val="none"/>
          <w:lang w:val="en-US" w:eastAsia="zh-CN"/>
        </w:rPr>
        <w:t xml:space="preserve">财政追加部分人大志编纂出版经费。  </w:t>
      </w:r>
    </w:p>
    <w:p w14:paraId="28B2329B">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、一般公共服务支出（类）人大事务（款）人大会议（项）。</w:t>
      </w:r>
    </w:p>
    <w:p w14:paraId="1AF3671F">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262</w:t>
      </w:r>
      <w:r>
        <w:rPr>
          <w:rFonts w:hint="eastAsia" w:ascii="Times New Roman" w:hAnsi="Times New Roman" w:eastAsia="仿宋_GB2312"/>
          <w:sz w:val="32"/>
          <w:szCs w:val="32"/>
          <w:highlight w:val="none"/>
        </w:rPr>
        <w:t>万元，支出决算为</w:t>
      </w:r>
      <w:r>
        <w:rPr>
          <w:rFonts w:hint="default" w:ascii="Times New Roman" w:hAnsi="Times New Roman" w:eastAsia="仿宋_GB2312"/>
          <w:sz w:val="32"/>
          <w:szCs w:val="32"/>
          <w:highlight w:val="none"/>
        </w:rPr>
        <w:t>262</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预算数等于决算数的主要原因是足额预算，且无追加</w:t>
      </w:r>
      <w:r>
        <w:rPr>
          <w:rFonts w:hint="eastAsia" w:ascii="Times New Roman" w:hAnsi="Times New Roman" w:eastAsia="仿宋_GB2312"/>
          <w:sz w:val="32"/>
          <w:szCs w:val="32"/>
          <w:highlight w:val="none"/>
          <w:lang w:eastAsia="zh-CN"/>
        </w:rPr>
        <w:t>。</w:t>
      </w:r>
    </w:p>
    <w:p w14:paraId="1CA6582D">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rPr>
        <w:t>、一般公共服务支出（类）人大事务（款）人大立法（项）。</w:t>
      </w:r>
    </w:p>
    <w:p w14:paraId="1C6DCD82">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46</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47.97</w:t>
      </w:r>
      <w:r>
        <w:rPr>
          <w:rFonts w:hint="eastAsia" w:ascii="Times New Roman" w:hAnsi="Times New Roman" w:eastAsia="仿宋_GB2312"/>
          <w:sz w:val="32"/>
          <w:szCs w:val="32"/>
          <w:highlight w:val="none"/>
        </w:rPr>
        <w:t>万元，完成年初预算</w:t>
      </w:r>
      <w:r>
        <w:rPr>
          <w:rFonts w:hint="eastAsia" w:ascii="Times New Roman" w:hAnsi="Times New Roman" w:eastAsia="仿宋_GB2312"/>
          <w:sz w:val="32"/>
          <w:szCs w:val="32"/>
          <w:highlight w:val="none"/>
          <w:lang w:val="en-US" w:eastAsia="zh-CN"/>
        </w:rPr>
        <w:t>104.28</w:t>
      </w:r>
      <w:r>
        <w:rPr>
          <w:rFonts w:hint="eastAsia" w:ascii="Times New Roman" w:hAnsi="Times New Roman" w:eastAsia="仿宋_GB2312"/>
          <w:sz w:val="32"/>
          <w:szCs w:val="32"/>
          <w:highlight w:val="none"/>
        </w:rPr>
        <w:t>%，决算数大于年初预算数的主要原因是年初预算不包含上年结余结转</w:t>
      </w:r>
      <w:r>
        <w:rPr>
          <w:rFonts w:hint="eastAsia" w:ascii="Times New Roman" w:hAnsi="Times New Roman" w:eastAsia="仿宋_GB2312"/>
          <w:sz w:val="32"/>
          <w:szCs w:val="32"/>
          <w:highlight w:val="none"/>
          <w:lang w:eastAsia="zh-CN"/>
        </w:rPr>
        <w:t>。</w:t>
      </w:r>
    </w:p>
    <w:p w14:paraId="49925D59">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rPr>
        <w:t>、一般公共服务支出（类）人大事务（款）人大监督（项）。</w:t>
      </w:r>
    </w:p>
    <w:p w14:paraId="1E73761E">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年初预算为1</w:t>
      </w:r>
      <w:r>
        <w:rPr>
          <w:rFonts w:hint="eastAsia" w:ascii="Times New Roman" w:hAnsi="Times New Roman" w:eastAsia="仿宋_GB2312"/>
          <w:sz w:val="32"/>
          <w:szCs w:val="32"/>
          <w:highlight w:val="none"/>
          <w:lang w:val="en-US" w:eastAsia="zh-CN"/>
        </w:rPr>
        <w:t>34</w:t>
      </w:r>
      <w:r>
        <w:rPr>
          <w:rFonts w:hint="eastAsia" w:ascii="Times New Roman" w:hAnsi="Times New Roman" w:eastAsia="仿宋_GB2312"/>
          <w:sz w:val="32"/>
          <w:szCs w:val="32"/>
          <w:highlight w:val="none"/>
        </w:rPr>
        <w:t>万元，支出决算为</w:t>
      </w:r>
      <w:r>
        <w:rPr>
          <w:rFonts w:hint="default" w:ascii="Times New Roman" w:hAnsi="Times New Roman" w:eastAsia="仿宋_GB2312"/>
          <w:sz w:val="32"/>
          <w:szCs w:val="32"/>
          <w:highlight w:val="none"/>
          <w:lang w:eastAsia="zh-CN"/>
        </w:rPr>
        <w:t>135.82</w:t>
      </w:r>
      <w:r>
        <w:rPr>
          <w:rFonts w:hint="eastAsia" w:ascii="Times New Roman" w:hAnsi="Times New Roman" w:eastAsia="仿宋_GB2312"/>
          <w:sz w:val="32"/>
          <w:szCs w:val="32"/>
          <w:highlight w:val="none"/>
        </w:rPr>
        <w:t>万元，完成年初预算</w:t>
      </w:r>
      <w:r>
        <w:rPr>
          <w:rFonts w:hint="eastAsia" w:ascii="Times New Roman" w:hAnsi="Times New Roman" w:eastAsia="仿宋_GB2312"/>
          <w:sz w:val="32"/>
          <w:szCs w:val="32"/>
          <w:highlight w:val="none"/>
          <w:lang w:val="en-US" w:eastAsia="zh-CN"/>
        </w:rPr>
        <w:t>101.36</w:t>
      </w:r>
      <w:r>
        <w:rPr>
          <w:rFonts w:hint="eastAsia" w:ascii="Times New Roman" w:hAnsi="Times New Roman" w:eastAsia="仿宋_GB2312"/>
          <w:sz w:val="32"/>
          <w:szCs w:val="32"/>
          <w:highlight w:val="none"/>
        </w:rPr>
        <w:t>%，决算数大于年初预算数的主要原因是年初预算不包含上年结余结转</w:t>
      </w:r>
      <w:r>
        <w:rPr>
          <w:rFonts w:hint="eastAsia" w:ascii="Times New Roman" w:hAnsi="Times New Roman" w:eastAsia="仿宋_GB2312"/>
          <w:sz w:val="32"/>
          <w:szCs w:val="32"/>
          <w:highlight w:val="none"/>
          <w:lang w:eastAsia="zh-CN"/>
        </w:rPr>
        <w:t>。</w:t>
      </w:r>
    </w:p>
    <w:p w14:paraId="389EF7F2">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6</w:t>
      </w:r>
      <w:r>
        <w:rPr>
          <w:rFonts w:hint="eastAsia" w:ascii="Times New Roman" w:hAnsi="Times New Roman" w:eastAsia="仿宋_GB2312"/>
          <w:sz w:val="32"/>
          <w:szCs w:val="32"/>
          <w:highlight w:val="none"/>
        </w:rPr>
        <w:t>、一般公共服务支出（类）人大事务（款） 代表工作（项）。</w:t>
      </w:r>
    </w:p>
    <w:p w14:paraId="35A6BB1B">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258</w:t>
      </w:r>
      <w:r>
        <w:rPr>
          <w:rFonts w:hint="eastAsia" w:ascii="Times New Roman" w:hAnsi="Times New Roman" w:eastAsia="仿宋_GB2312"/>
          <w:sz w:val="32"/>
          <w:szCs w:val="32"/>
          <w:highlight w:val="none"/>
        </w:rPr>
        <w:t>万元，支出决算为</w:t>
      </w:r>
      <w:r>
        <w:rPr>
          <w:rFonts w:hint="default" w:ascii="Times New Roman" w:hAnsi="Times New Roman" w:eastAsia="仿宋_GB2312"/>
          <w:sz w:val="32"/>
          <w:szCs w:val="32"/>
          <w:highlight w:val="none"/>
        </w:rPr>
        <w:t>266.82</w:t>
      </w:r>
      <w:r>
        <w:rPr>
          <w:rFonts w:hint="eastAsia" w:ascii="Times New Roman" w:hAnsi="Times New Roman" w:eastAsia="仿宋_GB2312"/>
          <w:sz w:val="32"/>
          <w:szCs w:val="32"/>
          <w:highlight w:val="none"/>
        </w:rPr>
        <w:t>万元，完成年初预算</w:t>
      </w:r>
      <w:r>
        <w:rPr>
          <w:rFonts w:hint="eastAsia" w:ascii="Times New Roman" w:hAnsi="Times New Roman" w:eastAsia="仿宋_GB2312"/>
          <w:sz w:val="32"/>
          <w:szCs w:val="32"/>
          <w:highlight w:val="none"/>
          <w:lang w:val="en-US" w:eastAsia="zh-CN"/>
        </w:rPr>
        <w:t>103.42</w:t>
      </w:r>
      <w:r>
        <w:rPr>
          <w:rFonts w:hint="eastAsia" w:ascii="Times New Roman" w:hAnsi="Times New Roman" w:eastAsia="仿宋_GB2312"/>
          <w:sz w:val="32"/>
          <w:szCs w:val="32"/>
          <w:highlight w:val="none"/>
        </w:rPr>
        <w:t>%，决算数大于年初预算数的主要原因</w:t>
      </w:r>
      <w:r>
        <w:rPr>
          <w:rFonts w:hint="eastAsia" w:ascii="Times New Roman" w:hAnsi="Times New Roman" w:eastAsia="仿宋_GB2312"/>
          <w:sz w:val="32"/>
          <w:szCs w:val="32"/>
          <w:highlight w:val="none"/>
          <w:lang w:val="en-US" w:eastAsia="zh-CN"/>
        </w:rPr>
        <w:t>;一是</w:t>
      </w:r>
      <w:r>
        <w:rPr>
          <w:rFonts w:hint="eastAsia" w:ascii="Times New Roman" w:hAnsi="Times New Roman" w:eastAsia="仿宋_GB2312"/>
          <w:sz w:val="32"/>
          <w:szCs w:val="32"/>
          <w:highlight w:val="none"/>
        </w:rPr>
        <w:t>每年省人大另拨付全国人大代表和省人大代表活动经费，用于下拨至县（市）区</w:t>
      </w:r>
      <w:r>
        <w:rPr>
          <w:rFonts w:hint="eastAsia" w:ascii="Times New Roman" w:hAnsi="Times New Roman" w:eastAsia="仿宋_GB2312"/>
          <w:sz w:val="32"/>
          <w:szCs w:val="32"/>
          <w:highlight w:val="none"/>
          <w:lang w:val="en-US" w:eastAsia="zh-CN"/>
        </w:rPr>
        <w:t>及组织代表活动；二是</w:t>
      </w:r>
      <w:bookmarkStart w:id="6" w:name="OLE_LINK5"/>
      <w:r>
        <w:rPr>
          <w:rFonts w:hint="eastAsia" w:ascii="Times New Roman" w:hAnsi="Times New Roman" w:eastAsia="仿宋_GB2312"/>
          <w:sz w:val="32"/>
          <w:szCs w:val="32"/>
          <w:highlight w:val="none"/>
        </w:rPr>
        <w:t>年初预算不包含上年结余结转。</w:t>
      </w:r>
      <w:bookmarkEnd w:id="6"/>
    </w:p>
    <w:p w14:paraId="65F935B5">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bookmarkStart w:id="7" w:name="OLE_LINK3"/>
      <w:r>
        <w:rPr>
          <w:rFonts w:hint="eastAsia" w:ascii="Times New Roman" w:hAnsi="Times New Roman" w:eastAsia="仿宋_GB2312"/>
          <w:sz w:val="32"/>
          <w:szCs w:val="32"/>
          <w:highlight w:val="none"/>
          <w:lang w:val="en-US" w:eastAsia="zh-CN"/>
        </w:rPr>
        <w:t>7</w:t>
      </w:r>
      <w:r>
        <w:rPr>
          <w:rFonts w:hint="eastAsia" w:ascii="Times New Roman" w:hAnsi="Times New Roman" w:eastAsia="仿宋_GB2312"/>
          <w:sz w:val="32"/>
          <w:szCs w:val="32"/>
          <w:highlight w:val="none"/>
        </w:rPr>
        <w:t>、一般公共服务支出（类）人大事务（款）其他人大事务支出（项）。</w:t>
      </w:r>
    </w:p>
    <w:bookmarkEnd w:id="7"/>
    <w:p w14:paraId="2697FEDA">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bookmarkStart w:id="8" w:name="OLE_LINK4"/>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default" w:ascii="Times New Roman" w:hAnsi="Times New Roman" w:eastAsia="仿宋_GB2312"/>
          <w:sz w:val="32"/>
          <w:szCs w:val="32"/>
          <w:highlight w:val="none"/>
        </w:rPr>
        <w:t>207.6</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由于预算数为0，无法计算百分比</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决算数大于年初预算数的主要原因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一是财政追加2023年机关运行缺口</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二是财政追加省第十四届一次会议及全国人大代表集中视察活动经费。</w:t>
      </w:r>
    </w:p>
    <w:bookmarkEnd w:id="8"/>
    <w:p w14:paraId="13010EB6">
      <w:pPr>
        <w:pStyle w:val="14"/>
        <w:keepNext w:val="0"/>
        <w:keepLines w:val="0"/>
        <w:pageBreakBefore w:val="0"/>
        <w:widowControl w:val="0"/>
        <w:numPr>
          <w:ilvl w:val="0"/>
          <w:numId w:val="1"/>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一般公共服务支出（类）其他一般公共服务支出（款）其他一般公共服务支出（项）。</w:t>
      </w:r>
    </w:p>
    <w:p w14:paraId="6287CA49">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4.06</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由于预算数为0，无法计算百分比</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决算数大于年初预算数的主要原因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年初预算不包含上年结余结转。</w:t>
      </w:r>
    </w:p>
    <w:p w14:paraId="47122DF9">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9</w:t>
      </w:r>
      <w:r>
        <w:rPr>
          <w:rFonts w:hint="eastAsia" w:ascii="Times New Roman" w:hAnsi="Times New Roman" w:eastAsia="仿宋_GB2312"/>
          <w:sz w:val="32"/>
          <w:szCs w:val="32"/>
          <w:highlight w:val="none"/>
        </w:rPr>
        <w:t>、社会保障和就业支出（类）行政事业单位养老支出（款）行政单位离退休（项）。</w:t>
      </w:r>
    </w:p>
    <w:p w14:paraId="39B2F2AF">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354.7</w:t>
      </w:r>
      <w:r>
        <w:rPr>
          <w:rFonts w:hint="eastAsia" w:ascii="Times New Roman" w:hAnsi="Times New Roman" w:eastAsia="仿宋_GB2312"/>
          <w:sz w:val="32"/>
          <w:szCs w:val="32"/>
          <w:highlight w:val="none"/>
        </w:rPr>
        <w:t>万元，支出决算为</w:t>
      </w:r>
      <w:r>
        <w:rPr>
          <w:rFonts w:hint="default" w:ascii="Times New Roman" w:hAnsi="Times New Roman" w:eastAsia="仿宋_GB2312"/>
          <w:sz w:val="32"/>
          <w:szCs w:val="32"/>
          <w:highlight w:val="none"/>
          <w:lang w:eastAsia="zh-CN"/>
        </w:rPr>
        <w:t>354.62</w:t>
      </w:r>
      <w:r>
        <w:rPr>
          <w:rFonts w:hint="eastAsia" w:ascii="Times New Roman" w:hAnsi="Times New Roman" w:eastAsia="仿宋_GB2312"/>
          <w:sz w:val="32"/>
          <w:szCs w:val="32"/>
          <w:highlight w:val="none"/>
        </w:rPr>
        <w:t>元，完成年初预算的</w:t>
      </w:r>
      <w:r>
        <w:rPr>
          <w:rFonts w:hint="eastAsia" w:ascii="Times New Roman" w:hAnsi="Times New Roman" w:eastAsia="仿宋_GB2312"/>
          <w:sz w:val="32"/>
          <w:szCs w:val="32"/>
          <w:highlight w:val="none"/>
          <w:lang w:val="en-US" w:eastAsia="zh-CN"/>
        </w:rPr>
        <w:t>99.98</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决算数</w:t>
      </w:r>
      <w:r>
        <w:rPr>
          <w:rFonts w:hint="eastAsia" w:ascii="Times New Roman" w:hAnsi="Times New Roman" w:eastAsia="仿宋_GB2312"/>
          <w:sz w:val="32"/>
          <w:szCs w:val="32"/>
          <w:highlight w:val="none"/>
          <w:lang w:val="en-US" w:eastAsia="zh-CN"/>
        </w:rPr>
        <w:t>小于</w:t>
      </w:r>
      <w:r>
        <w:rPr>
          <w:rFonts w:hint="eastAsia" w:ascii="Times New Roman" w:hAnsi="Times New Roman" w:eastAsia="仿宋_GB2312"/>
          <w:sz w:val="32"/>
          <w:szCs w:val="32"/>
          <w:highlight w:val="none"/>
        </w:rPr>
        <w:t>于年初预算数的主要原因</w:t>
      </w:r>
      <w:r>
        <w:rPr>
          <w:rFonts w:hint="eastAsia" w:ascii="Times New Roman" w:hAnsi="Times New Roman" w:eastAsia="仿宋_GB2312"/>
          <w:sz w:val="32"/>
          <w:szCs w:val="32"/>
          <w:highlight w:val="none"/>
          <w:lang w:val="en-US" w:eastAsia="zh-CN"/>
        </w:rPr>
        <w:t>是中途一名离休干部去世造成资金剩余</w:t>
      </w:r>
      <w:r>
        <w:rPr>
          <w:rFonts w:hint="eastAsia" w:ascii="Times New Roman" w:hAnsi="Times New Roman" w:eastAsia="仿宋_GB2312"/>
          <w:sz w:val="32"/>
          <w:szCs w:val="32"/>
          <w:highlight w:val="none"/>
        </w:rPr>
        <w:t>。</w:t>
      </w:r>
    </w:p>
    <w:p w14:paraId="51D43862">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10</w:t>
      </w:r>
      <w:r>
        <w:rPr>
          <w:rFonts w:hint="eastAsia" w:ascii="Times New Roman" w:hAnsi="Times New Roman" w:eastAsia="仿宋_GB2312"/>
          <w:sz w:val="32"/>
          <w:szCs w:val="32"/>
          <w:highlight w:val="none"/>
        </w:rPr>
        <w:t>、社会保障和就业支出（类）行政事业单位离退休（款）机关事业单位基本养老保险缴费支出（项）。</w:t>
      </w:r>
    </w:p>
    <w:p w14:paraId="1364684A">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117.41</w:t>
      </w:r>
      <w:r>
        <w:rPr>
          <w:rFonts w:hint="eastAsia" w:ascii="Times New Roman" w:hAnsi="Times New Roman" w:eastAsia="仿宋_GB2312"/>
          <w:sz w:val="32"/>
          <w:szCs w:val="32"/>
          <w:highlight w:val="none"/>
        </w:rPr>
        <w:t>万元，支出决算为</w:t>
      </w:r>
      <w:r>
        <w:rPr>
          <w:rFonts w:hint="default" w:ascii="Times New Roman" w:hAnsi="Times New Roman" w:eastAsia="仿宋_GB2312"/>
          <w:sz w:val="32"/>
          <w:szCs w:val="32"/>
          <w:highlight w:val="none"/>
        </w:rPr>
        <w:t>117.41</w:t>
      </w:r>
      <w:r>
        <w:rPr>
          <w:rFonts w:hint="eastAsia" w:ascii="Times New Roman" w:hAnsi="Times New Roman" w:eastAsia="仿宋_GB2312"/>
          <w:sz w:val="32"/>
          <w:szCs w:val="32"/>
          <w:highlight w:val="none"/>
        </w:rPr>
        <w:t>万元，完成年初预算的100%。</w:t>
      </w:r>
      <w:r>
        <w:rPr>
          <w:rFonts w:hint="eastAsia" w:ascii="Times New Roman" w:hAnsi="Times New Roman" w:eastAsia="仿宋_GB2312"/>
          <w:sz w:val="32"/>
          <w:szCs w:val="32"/>
          <w:highlight w:val="none"/>
          <w:lang w:val="en-US" w:eastAsia="zh-CN"/>
        </w:rPr>
        <w:t>预算数等于决算数的主要原因是足额预算，且无追加</w:t>
      </w:r>
      <w:r>
        <w:rPr>
          <w:rFonts w:hint="eastAsia" w:ascii="Times New Roman" w:hAnsi="Times New Roman" w:eastAsia="仿宋_GB2312"/>
          <w:sz w:val="32"/>
          <w:szCs w:val="32"/>
          <w:highlight w:val="none"/>
          <w:lang w:eastAsia="zh-CN"/>
        </w:rPr>
        <w:t>。</w:t>
      </w:r>
    </w:p>
    <w:p w14:paraId="606960FF">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11、</w:t>
      </w:r>
      <w:r>
        <w:rPr>
          <w:rFonts w:hint="eastAsia" w:ascii="Times New Roman" w:hAnsi="Times New Roman" w:eastAsia="仿宋_GB2312"/>
          <w:sz w:val="32"/>
          <w:szCs w:val="32"/>
          <w:highlight w:val="none"/>
        </w:rPr>
        <w:t>社会保障和就业支出（类）抚恤（款）其他优抚支出（项）。</w:t>
      </w:r>
    </w:p>
    <w:p w14:paraId="2145FD7D">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年初预算为0万元，支出决算为</w:t>
      </w:r>
      <w:r>
        <w:rPr>
          <w:rFonts w:hint="default" w:ascii="Times New Roman" w:hAnsi="Times New Roman" w:eastAsia="仿宋_GB2312"/>
          <w:sz w:val="32"/>
          <w:szCs w:val="32"/>
          <w:highlight w:val="none"/>
        </w:rPr>
        <w:t>70.92</w:t>
      </w:r>
      <w:r>
        <w:rPr>
          <w:rFonts w:hint="eastAsia" w:ascii="Times New Roman" w:hAnsi="Times New Roman" w:eastAsia="仿宋_GB2312"/>
          <w:sz w:val="32"/>
          <w:szCs w:val="32"/>
          <w:highlight w:val="none"/>
        </w:rPr>
        <w:t>万元，由于预算数为0，无法计算百分比</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决算数大于年初预算数的主要原因是：财政根据单位当年实际申报情况拨付抚恤金。</w:t>
      </w:r>
    </w:p>
    <w:p w14:paraId="071E6A73">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12、</w:t>
      </w:r>
      <w:r>
        <w:rPr>
          <w:rFonts w:hint="eastAsia" w:ascii="Times New Roman" w:hAnsi="Times New Roman" w:eastAsia="仿宋_GB2312"/>
          <w:sz w:val="32"/>
          <w:szCs w:val="32"/>
          <w:highlight w:val="none"/>
        </w:rPr>
        <w:t>卫生健康支出（类）行政事业单位医疗（款）行政单位医疗（项）。</w:t>
      </w:r>
    </w:p>
    <w:p w14:paraId="6F9EA9DE">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126.6</w:t>
      </w:r>
      <w:r>
        <w:rPr>
          <w:rFonts w:hint="eastAsia" w:ascii="Times New Roman" w:hAnsi="Times New Roman" w:eastAsia="仿宋_GB2312"/>
          <w:sz w:val="32"/>
          <w:szCs w:val="32"/>
          <w:highlight w:val="none"/>
        </w:rPr>
        <w:t>万元，支出决算为</w:t>
      </w:r>
      <w:r>
        <w:rPr>
          <w:rFonts w:hint="default" w:ascii="Times New Roman" w:hAnsi="Times New Roman" w:eastAsia="仿宋_GB2312"/>
          <w:sz w:val="32"/>
          <w:szCs w:val="32"/>
          <w:highlight w:val="none"/>
          <w:lang w:eastAsia="zh-CN"/>
        </w:rPr>
        <w:t>126.6</w:t>
      </w:r>
      <w:r>
        <w:rPr>
          <w:rFonts w:hint="eastAsia" w:ascii="Times New Roman" w:hAnsi="Times New Roman" w:eastAsia="仿宋_GB2312"/>
          <w:sz w:val="32"/>
          <w:szCs w:val="32"/>
          <w:highlight w:val="none"/>
        </w:rPr>
        <w:t>万元，完成年初预算的100%。</w:t>
      </w:r>
      <w:r>
        <w:rPr>
          <w:rFonts w:hint="eastAsia" w:ascii="Times New Roman" w:hAnsi="Times New Roman" w:eastAsia="仿宋_GB2312"/>
          <w:sz w:val="32"/>
          <w:szCs w:val="32"/>
          <w:highlight w:val="none"/>
          <w:lang w:val="en-US" w:eastAsia="zh-CN"/>
        </w:rPr>
        <w:t>预算数等于决算数的主要原因是足额预算，且无追加</w:t>
      </w:r>
      <w:r>
        <w:rPr>
          <w:rFonts w:hint="eastAsia" w:ascii="Times New Roman" w:hAnsi="Times New Roman" w:eastAsia="仿宋_GB2312"/>
          <w:sz w:val="32"/>
          <w:szCs w:val="32"/>
          <w:highlight w:val="none"/>
          <w:lang w:eastAsia="zh-CN"/>
        </w:rPr>
        <w:t>。</w:t>
      </w:r>
    </w:p>
    <w:p w14:paraId="165C0911">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13、</w:t>
      </w:r>
      <w:r>
        <w:rPr>
          <w:rFonts w:hint="eastAsia" w:ascii="Times New Roman" w:hAnsi="Times New Roman" w:eastAsia="仿宋_GB2312"/>
          <w:sz w:val="32"/>
          <w:szCs w:val="32"/>
          <w:highlight w:val="none"/>
        </w:rPr>
        <w:t>节能环保支出（类）其他节能环保支出（款）其他节能环保支出（项）。</w:t>
      </w:r>
    </w:p>
    <w:p w14:paraId="781C001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default" w:ascii="Times New Roman" w:hAnsi="Times New Roman" w:eastAsia="仿宋_GB2312"/>
          <w:sz w:val="32"/>
          <w:szCs w:val="32"/>
          <w:highlight w:val="none"/>
          <w:lang w:eastAsia="zh-CN"/>
        </w:rPr>
        <w:t>13.25</w:t>
      </w:r>
      <w:r>
        <w:rPr>
          <w:rFonts w:hint="eastAsia" w:ascii="Times New Roman" w:hAnsi="Times New Roman" w:eastAsia="仿宋_GB2312"/>
          <w:sz w:val="32"/>
          <w:szCs w:val="32"/>
          <w:highlight w:val="none"/>
        </w:rPr>
        <w:t>万元，由于预算数为0，无法计算百分比</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决算数大于年初预算数的主要原因是：</w:t>
      </w:r>
      <w:r>
        <w:rPr>
          <w:rFonts w:hint="eastAsia" w:ascii="Times New Roman" w:hAnsi="Times New Roman" w:eastAsia="仿宋_GB2312"/>
          <w:sz w:val="32"/>
          <w:szCs w:val="32"/>
          <w:highlight w:val="none"/>
          <w:lang w:val="en-US" w:eastAsia="zh-CN"/>
        </w:rPr>
        <w:t>该经费为环保世纪行专项经费，每年由财政统一编制预算，年终追加拨付</w:t>
      </w:r>
      <w:r>
        <w:rPr>
          <w:rFonts w:hint="eastAsia" w:ascii="Times New Roman" w:hAnsi="Times New Roman" w:eastAsia="仿宋_GB2312"/>
          <w:sz w:val="32"/>
          <w:szCs w:val="32"/>
          <w:highlight w:val="none"/>
        </w:rPr>
        <w:t>。</w:t>
      </w:r>
    </w:p>
    <w:p w14:paraId="34ADEABE">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14、住房保障</w:t>
      </w:r>
      <w:r>
        <w:rPr>
          <w:rFonts w:hint="eastAsia" w:ascii="Times New Roman" w:hAnsi="Times New Roman" w:eastAsia="仿宋_GB2312"/>
          <w:sz w:val="32"/>
          <w:szCs w:val="32"/>
          <w:highlight w:val="none"/>
        </w:rPr>
        <w:t>支出（类）</w:t>
      </w:r>
      <w:r>
        <w:rPr>
          <w:rFonts w:hint="eastAsia" w:ascii="Times New Roman" w:hAnsi="Times New Roman" w:eastAsia="仿宋_GB2312"/>
          <w:sz w:val="32"/>
          <w:szCs w:val="32"/>
          <w:highlight w:val="none"/>
          <w:lang w:val="en-US" w:eastAsia="zh-CN"/>
        </w:rPr>
        <w:t>住房改革支出</w:t>
      </w:r>
      <w:r>
        <w:rPr>
          <w:rFonts w:hint="eastAsia" w:ascii="Times New Roman" w:hAnsi="Times New Roman" w:eastAsia="仿宋_GB2312"/>
          <w:sz w:val="32"/>
          <w:szCs w:val="32"/>
          <w:highlight w:val="none"/>
        </w:rPr>
        <w:t>（款）住房公积金（项）。</w:t>
      </w:r>
    </w:p>
    <w:p w14:paraId="5904E4A5">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111.02</w:t>
      </w:r>
      <w:r>
        <w:rPr>
          <w:rFonts w:hint="eastAsia" w:ascii="Times New Roman" w:hAnsi="Times New Roman" w:eastAsia="仿宋_GB2312"/>
          <w:sz w:val="32"/>
          <w:szCs w:val="32"/>
          <w:highlight w:val="none"/>
        </w:rPr>
        <w:t>万元，支出决算为</w:t>
      </w:r>
      <w:r>
        <w:rPr>
          <w:rFonts w:hint="default" w:ascii="Times New Roman" w:hAnsi="Times New Roman" w:eastAsia="仿宋_GB2312"/>
          <w:sz w:val="32"/>
          <w:szCs w:val="32"/>
          <w:highlight w:val="none"/>
          <w:lang w:eastAsia="zh-CN"/>
        </w:rPr>
        <w:t>111.02</w:t>
      </w:r>
      <w:r>
        <w:rPr>
          <w:rFonts w:hint="eastAsia" w:ascii="Times New Roman" w:hAnsi="Times New Roman" w:eastAsia="仿宋_GB2312"/>
          <w:sz w:val="32"/>
          <w:szCs w:val="32"/>
          <w:highlight w:val="none"/>
        </w:rPr>
        <w:t>万元，完成年初预算的100%。</w:t>
      </w:r>
      <w:r>
        <w:rPr>
          <w:rFonts w:hint="eastAsia" w:ascii="Times New Roman" w:hAnsi="Times New Roman" w:eastAsia="仿宋_GB2312"/>
          <w:sz w:val="32"/>
          <w:szCs w:val="32"/>
          <w:highlight w:val="none"/>
          <w:lang w:val="en-US" w:eastAsia="zh-CN"/>
        </w:rPr>
        <w:t>预算数等于决算数的主要原因是足额预算，且无追加</w:t>
      </w:r>
      <w:r>
        <w:rPr>
          <w:rFonts w:hint="eastAsia" w:ascii="Times New Roman" w:hAnsi="Times New Roman" w:eastAsia="仿宋_GB2312"/>
          <w:sz w:val="32"/>
          <w:szCs w:val="32"/>
          <w:highlight w:val="none"/>
          <w:lang w:eastAsia="zh-CN"/>
        </w:rPr>
        <w:t>。</w:t>
      </w:r>
    </w:p>
    <w:p w14:paraId="3308FDB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六、一般公共预算财政拨款基本支出决算情况说明</w:t>
      </w:r>
    </w:p>
    <w:p w14:paraId="3BC62D8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年度财政拨款基本支出</w:t>
      </w:r>
      <w:r>
        <w:rPr>
          <w:rFonts w:hint="eastAsia" w:ascii="Times New Roman" w:hAnsi="Times New Roman" w:eastAsia="仿宋_GB2312"/>
          <w:sz w:val="32"/>
          <w:szCs w:val="32"/>
          <w:highlight w:val="none"/>
          <w:lang w:val="en-US" w:eastAsia="zh-CN"/>
        </w:rPr>
        <w:t>2579.3</w:t>
      </w:r>
      <w:r>
        <w:rPr>
          <w:rFonts w:hint="eastAsia" w:ascii="仿宋_GB2312" w:hAnsi="仿宋_GB2312" w:eastAsia="仿宋_GB2312" w:cs="仿宋_GB2312"/>
          <w:sz w:val="32"/>
          <w:szCs w:val="32"/>
          <w:highlight w:val="none"/>
        </w:rPr>
        <w:t>万元，其中：</w:t>
      </w:r>
    </w:p>
    <w:p w14:paraId="02EE347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仿宋_GB2312" w:hAnsi="仿宋_GB2312" w:eastAsia="仿宋_GB2312" w:cs="仿宋_GB2312"/>
          <w:b/>
          <w:bCs/>
          <w:sz w:val="32"/>
          <w:szCs w:val="32"/>
          <w:highlight w:val="none"/>
        </w:rPr>
        <w:t>人员经费</w:t>
      </w:r>
      <w:r>
        <w:rPr>
          <w:rFonts w:hint="eastAsia" w:ascii="Times New Roman" w:hAnsi="Times New Roman" w:eastAsia="仿宋_GB2312"/>
          <w:sz w:val="32"/>
          <w:szCs w:val="32"/>
          <w:highlight w:val="none"/>
          <w:lang w:val="en-US" w:eastAsia="zh-CN"/>
        </w:rPr>
        <w:t>2233.27</w:t>
      </w:r>
      <w:r>
        <w:rPr>
          <w:rFonts w:hint="eastAsia" w:ascii="Times New Roman" w:hAnsi="Times New Roman" w:eastAsia="仿宋_GB2312"/>
          <w:sz w:val="32"/>
          <w:szCs w:val="32"/>
          <w:highlight w:val="none"/>
        </w:rPr>
        <w:t>万元，占基本支出的</w:t>
      </w:r>
      <w:r>
        <w:rPr>
          <w:rFonts w:hint="eastAsia" w:ascii="Times New Roman" w:hAnsi="Times New Roman" w:eastAsia="仿宋_GB2312"/>
          <w:sz w:val="32"/>
          <w:szCs w:val="32"/>
          <w:highlight w:val="none"/>
          <w:lang w:val="en-US" w:eastAsia="zh-CN"/>
        </w:rPr>
        <w:t>86.58</w:t>
      </w:r>
      <w:r>
        <w:rPr>
          <w:rFonts w:hint="eastAsia" w:ascii="Times New Roman" w:hAnsi="Times New Roman" w:eastAsia="仿宋_GB2312"/>
          <w:sz w:val="32"/>
          <w:szCs w:val="32"/>
          <w:highlight w:val="none"/>
        </w:rPr>
        <w:t>%,主要包括基本工资、津贴补贴、</w:t>
      </w:r>
      <w:r>
        <w:rPr>
          <w:rFonts w:hint="eastAsia" w:ascii="Times New Roman" w:hAnsi="Times New Roman" w:eastAsia="仿宋_GB2312"/>
          <w:sz w:val="32"/>
          <w:szCs w:val="32"/>
          <w:highlight w:val="none"/>
          <w:lang w:val="zh-CN"/>
        </w:rPr>
        <w:t>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hint="eastAsia" w:ascii="Times New Roman" w:hAnsi="Times New Roman" w:eastAsia="仿宋_GB2312"/>
          <w:sz w:val="32"/>
          <w:szCs w:val="32"/>
          <w:highlight w:val="none"/>
          <w:lang w:eastAsia="zh-CN"/>
        </w:rPr>
        <w:t>。</w:t>
      </w:r>
    </w:p>
    <w:p w14:paraId="0A71C66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bCs/>
          <w:sz w:val="32"/>
          <w:szCs w:val="32"/>
          <w:highlight w:val="none"/>
        </w:rPr>
        <w:t>公用经费</w:t>
      </w:r>
      <w:r>
        <w:rPr>
          <w:rFonts w:hint="eastAsia" w:ascii="Times New Roman" w:hAnsi="Times New Roman" w:eastAsia="仿宋_GB2312"/>
          <w:sz w:val="32"/>
          <w:szCs w:val="32"/>
          <w:highlight w:val="none"/>
          <w:lang w:val="en-US" w:eastAsia="zh-CN"/>
        </w:rPr>
        <w:t>346.03万元，</w:t>
      </w:r>
      <w:r>
        <w:rPr>
          <w:rFonts w:hint="eastAsia" w:ascii="Times New Roman" w:hAnsi="Times New Roman" w:eastAsia="仿宋_GB2312"/>
          <w:sz w:val="32"/>
          <w:szCs w:val="32"/>
          <w:highlight w:val="none"/>
        </w:rPr>
        <w:t>占基本支出的</w:t>
      </w:r>
      <w:r>
        <w:rPr>
          <w:rFonts w:hint="eastAsia" w:ascii="Times New Roman" w:hAnsi="Times New Roman" w:eastAsia="仿宋_GB2312"/>
          <w:sz w:val="32"/>
          <w:szCs w:val="32"/>
          <w:highlight w:val="none"/>
          <w:lang w:val="en-US" w:eastAsia="zh-CN"/>
        </w:rPr>
        <w:t>13.42</w:t>
      </w:r>
      <w:r>
        <w:rPr>
          <w:rFonts w:hint="eastAsia" w:ascii="Times New Roman" w:hAnsi="Times New Roman" w:eastAsia="仿宋_GB2312"/>
          <w:sz w:val="32"/>
          <w:szCs w:val="32"/>
          <w:highlight w:val="none"/>
        </w:rPr>
        <w:t>%，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无形资产购置、其他资本性支出、赠与。</w:t>
      </w:r>
    </w:p>
    <w:p w14:paraId="153D796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14:paraId="614B5B88">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黑体" w:hAnsi="黑体" w:eastAsia="黑体" w:cs="黑体"/>
          <w:b w:val="0"/>
          <w:bCs/>
          <w:color w:val="000000"/>
          <w:kern w:val="0"/>
          <w:sz w:val="32"/>
          <w:szCs w:val="32"/>
          <w:highlight w:val="none"/>
          <w:lang w:val="en-US" w:eastAsia="zh-CN" w:bidi="ar-SA"/>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年度政府性基金预算财政拨款收入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万元；年初结转和结余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万元；年末结转和结余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14:paraId="717F268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14:paraId="29B8919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2023年度国有资本经营预算财政拨款收入0万元；年初结转和结余0万；支出0万元，其中：基本支出0万元，项目支出0万元；年末结转和结余0万元。</w:t>
      </w:r>
    </w:p>
    <w:p w14:paraId="2498DA6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14:paraId="5757712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7C7CF84E">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highlight w:val="none"/>
        </w:rPr>
      </w:pPr>
      <w:r>
        <w:rPr>
          <w:rFonts w:hint="eastAsia" w:ascii="Times New Roman" w:hAnsi="Times New Roman" w:eastAsia="仿宋_GB2312"/>
          <w:sz w:val="32"/>
          <w:szCs w:val="32"/>
          <w:highlight w:val="none"/>
        </w:rPr>
        <w:t>“三公”经费财政拨款支出预算为</w:t>
      </w:r>
      <w:r>
        <w:rPr>
          <w:rFonts w:hint="eastAsia" w:ascii="Times New Roman" w:hAnsi="Times New Roman" w:eastAsia="仿宋_GB2312"/>
          <w:sz w:val="32"/>
          <w:szCs w:val="32"/>
          <w:highlight w:val="none"/>
          <w:lang w:val="en-US" w:eastAsia="zh-CN"/>
        </w:rPr>
        <w:t>210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37.45</w:t>
      </w:r>
      <w:r>
        <w:rPr>
          <w:rFonts w:hint="eastAsia" w:ascii="Times New Roman" w:hAnsi="Times New Roman" w:eastAsia="仿宋_GB2312"/>
          <w:sz w:val="32"/>
          <w:szCs w:val="32"/>
          <w:highlight w:val="none"/>
        </w:rPr>
        <w:t>万元，完成预算的</w:t>
      </w:r>
      <w:r>
        <w:rPr>
          <w:rFonts w:hint="eastAsia" w:ascii="Times New Roman" w:hAnsi="Times New Roman" w:eastAsia="仿宋_GB2312"/>
          <w:sz w:val="32"/>
          <w:szCs w:val="32"/>
          <w:highlight w:val="none"/>
          <w:lang w:val="en-US" w:eastAsia="zh-CN"/>
        </w:rPr>
        <w:t>17.83</w:t>
      </w:r>
      <w:r>
        <w:rPr>
          <w:rFonts w:hint="eastAsia" w:ascii="Times New Roman" w:hAnsi="Times New Roman" w:eastAsia="仿宋_GB2312"/>
          <w:sz w:val="32"/>
          <w:szCs w:val="32"/>
          <w:highlight w:val="none"/>
        </w:rPr>
        <w:t>%，</w:t>
      </w:r>
      <w:r>
        <w:rPr>
          <w:rFonts w:hint="eastAsia" w:ascii="仿宋_GB2312" w:hAnsi="仿宋_GB2312" w:eastAsia="仿宋_GB2312" w:cs="仿宋_GB2312"/>
          <w:sz w:val="32"/>
          <w:szCs w:val="32"/>
          <w:highlight w:val="none"/>
        </w:rPr>
        <w:t>决算数小于预算数的主要原因</w:t>
      </w:r>
      <w:r>
        <w:rPr>
          <w:rFonts w:hint="eastAsia" w:ascii="仿宋_GB2312" w:hAnsi="仿宋_GB2312" w:eastAsia="仿宋_GB2312" w:cs="仿宋_GB2312"/>
          <w:sz w:val="32"/>
          <w:szCs w:val="32"/>
          <w:highlight w:val="none"/>
          <w:lang w:eastAsia="zh-CN"/>
        </w:rPr>
        <w:t>：</w:t>
      </w:r>
      <w:bookmarkStart w:id="9" w:name="OLE_LINK6"/>
      <w:r>
        <w:rPr>
          <w:rFonts w:hint="eastAsia" w:ascii="仿宋_GB2312" w:hAnsi="仿宋_GB2312" w:eastAsia="仿宋_GB2312" w:cs="仿宋_GB2312"/>
          <w:sz w:val="32"/>
          <w:szCs w:val="32"/>
          <w:highlight w:val="none"/>
          <w:lang w:val="en-US" w:eastAsia="zh-CN"/>
        </w:rPr>
        <w:t>一是</w:t>
      </w:r>
      <w:r>
        <w:rPr>
          <w:rFonts w:hint="eastAsia" w:ascii="Times New Roman" w:hAnsi="Times New Roman" w:eastAsia="仿宋_GB2312"/>
          <w:sz w:val="32"/>
          <w:szCs w:val="32"/>
          <w:highlight w:val="none"/>
          <w:lang w:val="en-US" w:eastAsia="zh-CN"/>
        </w:rPr>
        <w:t>未安排因公出国（境）活动；二是</w:t>
      </w:r>
      <w:r>
        <w:rPr>
          <w:rFonts w:hint="eastAsia" w:ascii="Times New Roman" w:hAnsi="Times New Roman" w:eastAsia="仿宋_GB2312"/>
          <w:sz w:val="32"/>
          <w:szCs w:val="32"/>
          <w:highlight w:val="none"/>
        </w:rPr>
        <w:t>我单位规范公务接待管理，严格控制“三公”经费支出</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三是原计划购买公务用车，后取消购买；四是</w:t>
      </w:r>
      <w:r>
        <w:rPr>
          <w:rFonts w:hint="eastAsia" w:ascii="Times New Roman" w:hAnsi="Times New Roman" w:eastAsia="仿宋_GB2312"/>
          <w:sz w:val="32"/>
          <w:szCs w:val="32"/>
          <w:highlight w:val="none"/>
        </w:rPr>
        <w:t>我单位规范公务用车管理，严格控制公务用车维护支出</w:t>
      </w:r>
      <w:bookmarkEnd w:id="9"/>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与上年</w:t>
      </w:r>
      <w:r>
        <w:rPr>
          <w:rFonts w:hint="eastAsia" w:ascii="Times New Roman" w:hAnsi="Times New Roman" w:eastAsia="仿宋_GB2312"/>
          <w:sz w:val="32"/>
          <w:szCs w:val="32"/>
          <w:highlight w:val="none"/>
          <w:lang w:val="en-US" w:eastAsia="zh-CN"/>
        </w:rPr>
        <w:t>70.3万元</w:t>
      </w:r>
      <w:r>
        <w:rPr>
          <w:rFonts w:hint="eastAsia" w:ascii="仿宋_GB2312" w:hAnsi="仿宋_GB2312" w:eastAsia="仿宋_GB2312" w:cs="仿宋_GB2312"/>
          <w:sz w:val="32"/>
          <w:szCs w:val="32"/>
          <w:highlight w:val="none"/>
        </w:rPr>
        <w:t>相比减少</w:t>
      </w:r>
      <w:r>
        <w:rPr>
          <w:rFonts w:hint="eastAsia" w:ascii="仿宋_GB2312" w:hAnsi="仿宋_GB2312" w:eastAsia="仿宋_GB2312" w:cs="仿宋_GB2312"/>
          <w:sz w:val="32"/>
          <w:szCs w:val="32"/>
          <w:highlight w:val="none"/>
          <w:lang w:val="en-US" w:eastAsia="zh-CN"/>
        </w:rPr>
        <w:t>32.85</w:t>
      </w:r>
      <w:r>
        <w:rPr>
          <w:rFonts w:hint="eastAsia" w:ascii="仿宋_GB2312" w:hAnsi="仿宋_GB2312" w:eastAsia="仿宋_GB2312" w:cs="仿宋_GB2312"/>
          <w:sz w:val="32"/>
          <w:szCs w:val="32"/>
          <w:highlight w:val="none"/>
        </w:rPr>
        <w:t>万元，减少</w:t>
      </w:r>
      <w:r>
        <w:rPr>
          <w:rFonts w:hint="eastAsia" w:ascii="仿宋_GB2312" w:hAnsi="仿宋_GB2312" w:eastAsia="仿宋_GB2312" w:cs="仿宋_GB2312"/>
          <w:sz w:val="32"/>
          <w:szCs w:val="32"/>
          <w:highlight w:val="none"/>
          <w:lang w:val="en-US" w:eastAsia="zh-CN"/>
        </w:rPr>
        <w:t>46.73</w:t>
      </w:r>
      <w:r>
        <w:rPr>
          <w:rFonts w:hint="eastAsia" w:ascii="仿宋_GB2312" w:hAnsi="仿宋_GB2312" w:eastAsia="仿宋_GB2312" w:cs="仿宋_GB2312"/>
          <w:sz w:val="32"/>
          <w:szCs w:val="32"/>
          <w:highlight w:val="none"/>
        </w:rPr>
        <w:t>%,减少的主要原因</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一是</w:t>
      </w:r>
      <w:r>
        <w:rPr>
          <w:rFonts w:hint="eastAsia" w:ascii="Times New Roman" w:hAnsi="Times New Roman" w:eastAsia="仿宋_GB2312"/>
          <w:sz w:val="32"/>
          <w:szCs w:val="32"/>
          <w:highlight w:val="none"/>
          <w:lang w:val="en-US" w:eastAsia="zh-CN"/>
        </w:rPr>
        <w:t>未安排因公出国（境）活动；二是</w:t>
      </w:r>
      <w:r>
        <w:rPr>
          <w:rFonts w:hint="eastAsia" w:ascii="Times New Roman" w:hAnsi="Times New Roman" w:eastAsia="仿宋_GB2312"/>
          <w:sz w:val="32"/>
          <w:szCs w:val="32"/>
          <w:highlight w:val="none"/>
        </w:rPr>
        <w:t>我单位规范公务接待管理，严格控制“三公”经费支出</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三是11月底一体化系统暂停支付三公经费，部分费用转至下一年支付</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四是2022年新增老干公务用车一台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2023年未购买车辆</w:t>
      </w:r>
      <w:r>
        <w:rPr>
          <w:rFonts w:hint="eastAsia" w:ascii="仿宋_GB2312" w:hAnsi="仿宋_GB2312" w:eastAsia="仿宋_GB2312" w:cs="仿宋_GB2312"/>
          <w:sz w:val="32"/>
          <w:szCs w:val="32"/>
          <w:highlight w:val="none"/>
        </w:rPr>
        <w:t>。其中：</w:t>
      </w:r>
    </w:p>
    <w:p w14:paraId="1D22E071">
      <w:pPr>
        <w:pStyle w:val="14"/>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rPr>
        <w:t>因公出国（境）费支出预算为</w:t>
      </w:r>
      <w:r>
        <w:rPr>
          <w:rFonts w:hint="eastAsia" w:ascii="Times New Roman" w:hAnsi="Times New Roman" w:eastAsia="仿宋_GB2312"/>
          <w:sz w:val="32"/>
          <w:szCs w:val="32"/>
          <w:highlight w:val="none"/>
          <w:lang w:val="en-US" w:eastAsia="zh-CN"/>
        </w:rPr>
        <w:t>30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万元，完成预算的</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%，决算数小于年初预算数的主要原因是</w:t>
      </w:r>
      <w:bookmarkStart w:id="10" w:name="OLE_LINK38"/>
      <w:r>
        <w:rPr>
          <w:rFonts w:hint="eastAsia" w:ascii="Times New Roman" w:hAnsi="Times New Roman" w:eastAsia="仿宋_GB2312"/>
          <w:sz w:val="32"/>
          <w:szCs w:val="32"/>
          <w:highlight w:val="none"/>
          <w:lang w:val="en-US" w:eastAsia="zh-CN"/>
        </w:rPr>
        <w:t>未安排因公出国（境）活动</w:t>
      </w:r>
      <w:bookmarkEnd w:id="10"/>
      <w:r>
        <w:rPr>
          <w:rFonts w:hint="eastAsia" w:ascii="Times New Roman" w:hAnsi="Times New Roman" w:eastAsia="仿宋_GB2312"/>
          <w:sz w:val="32"/>
          <w:szCs w:val="32"/>
          <w:highlight w:val="none"/>
        </w:rPr>
        <w:t>。与上年</w:t>
      </w:r>
      <w:r>
        <w:rPr>
          <w:rFonts w:hint="eastAsia" w:ascii="Times New Roman" w:hAnsi="Times New Roman" w:eastAsia="仿宋_GB2312"/>
          <w:sz w:val="32"/>
          <w:szCs w:val="32"/>
          <w:highlight w:val="none"/>
          <w:lang w:val="en-US" w:eastAsia="zh-CN"/>
        </w:rPr>
        <w:t>0万元</w:t>
      </w:r>
      <w:r>
        <w:rPr>
          <w:rFonts w:hint="eastAsia" w:ascii="Times New Roman" w:hAnsi="Times New Roman" w:eastAsia="仿宋_GB2312"/>
          <w:sz w:val="32"/>
          <w:szCs w:val="32"/>
          <w:highlight w:val="none"/>
        </w:rPr>
        <w:t>相比</w:t>
      </w:r>
      <w:r>
        <w:rPr>
          <w:rFonts w:hint="eastAsia" w:ascii="Times New Roman" w:hAnsi="Times New Roman" w:eastAsia="仿宋_GB2312"/>
          <w:sz w:val="32"/>
          <w:szCs w:val="32"/>
          <w:highlight w:val="none"/>
          <w:lang w:val="en-US" w:eastAsia="zh-CN"/>
        </w:rPr>
        <w:t>持平，主要原因是</w:t>
      </w:r>
      <w:bookmarkStart w:id="11" w:name="OLE_LINK42"/>
      <w:r>
        <w:rPr>
          <w:rFonts w:hint="eastAsia" w:ascii="Times New Roman" w:hAnsi="Times New Roman" w:eastAsia="仿宋_GB2312"/>
          <w:sz w:val="32"/>
          <w:szCs w:val="32"/>
          <w:highlight w:val="none"/>
          <w:lang w:val="en-US" w:eastAsia="zh-CN"/>
        </w:rPr>
        <w:t>未安排因公出国（境）活动</w:t>
      </w:r>
      <w:bookmarkEnd w:id="11"/>
      <w:r>
        <w:rPr>
          <w:rFonts w:hint="eastAsia" w:ascii="Times New Roman" w:hAnsi="Times New Roman" w:eastAsia="仿宋_GB2312"/>
          <w:sz w:val="32"/>
          <w:szCs w:val="32"/>
          <w:highlight w:val="none"/>
          <w:lang w:val="en-US" w:eastAsia="zh-CN"/>
        </w:rPr>
        <w:t>。</w:t>
      </w:r>
    </w:p>
    <w:p w14:paraId="35B754CC">
      <w:pPr>
        <w:pStyle w:val="14"/>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Times New Roman" w:hAnsi="Times New Roman" w:eastAsia="仿宋_GB2312"/>
          <w:sz w:val="32"/>
          <w:szCs w:val="32"/>
          <w:highlight w:val="none"/>
        </w:rPr>
        <w:t>公务接待费支出预算为</w:t>
      </w:r>
      <w:r>
        <w:rPr>
          <w:rFonts w:hint="eastAsia" w:ascii="Times New Roman" w:hAnsi="Times New Roman" w:eastAsia="仿宋_GB2312"/>
          <w:sz w:val="32"/>
          <w:szCs w:val="32"/>
          <w:highlight w:val="none"/>
          <w:lang w:val="en-US" w:eastAsia="zh-CN"/>
        </w:rPr>
        <w:t>40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2.78</w:t>
      </w:r>
      <w:r>
        <w:rPr>
          <w:rFonts w:hint="eastAsia" w:ascii="Times New Roman" w:hAnsi="Times New Roman" w:eastAsia="仿宋_GB2312"/>
          <w:sz w:val="32"/>
          <w:szCs w:val="32"/>
          <w:highlight w:val="none"/>
        </w:rPr>
        <w:t>万元，完成预算的</w:t>
      </w:r>
      <w:r>
        <w:rPr>
          <w:rFonts w:hint="eastAsia" w:ascii="宋体" w:hAnsi="宋体"/>
          <w:sz w:val="32"/>
          <w:szCs w:val="32"/>
          <w:highlight w:val="none"/>
          <w:lang w:val="en-US" w:eastAsia="zh-CN"/>
        </w:rPr>
        <w:t>6.95</w:t>
      </w:r>
      <w:r>
        <w:rPr>
          <w:rFonts w:hint="eastAsia" w:ascii="Times New Roman" w:hAnsi="Times New Roman" w:eastAsia="仿宋_GB2312"/>
          <w:sz w:val="32"/>
          <w:szCs w:val="32"/>
          <w:highlight w:val="none"/>
        </w:rPr>
        <w:t>%，决算数小于年初预算数的主要原因是</w:t>
      </w:r>
      <w:bookmarkStart w:id="12" w:name="OLE_LINK39"/>
      <w:r>
        <w:rPr>
          <w:rFonts w:hint="eastAsia" w:ascii="Times New Roman" w:hAnsi="Times New Roman" w:eastAsia="仿宋_GB2312"/>
          <w:sz w:val="32"/>
          <w:szCs w:val="32"/>
          <w:highlight w:val="none"/>
        </w:rPr>
        <w:t>我单位规范公务接待管理，严格控制“三公”经费支出所致</w:t>
      </w:r>
      <w:bookmarkEnd w:id="12"/>
      <w:r>
        <w:rPr>
          <w:rFonts w:hint="eastAsia" w:ascii="Times New Roman" w:hAnsi="Times New Roman" w:eastAsia="仿宋_GB2312"/>
          <w:sz w:val="32"/>
          <w:szCs w:val="32"/>
          <w:highlight w:val="none"/>
        </w:rPr>
        <w:t>。与上年</w:t>
      </w:r>
      <w:r>
        <w:rPr>
          <w:rFonts w:hint="eastAsia" w:ascii="Times New Roman" w:hAnsi="Times New Roman" w:eastAsia="仿宋_GB2312"/>
          <w:sz w:val="32"/>
          <w:szCs w:val="32"/>
          <w:highlight w:val="none"/>
          <w:lang w:val="en-US" w:eastAsia="zh-CN"/>
        </w:rPr>
        <w:t>3.49</w:t>
      </w:r>
      <w:r>
        <w:rPr>
          <w:rFonts w:hint="eastAsia" w:ascii="Times New Roman" w:hAnsi="Times New Roman" w:eastAsia="仿宋_GB2312"/>
          <w:sz w:val="32"/>
          <w:szCs w:val="32"/>
          <w:highlight w:val="none"/>
        </w:rPr>
        <w:t>万元相比</w:t>
      </w:r>
      <w:r>
        <w:rPr>
          <w:rFonts w:hint="eastAsia" w:ascii="Times New Roman" w:hAnsi="Times New Roman" w:eastAsia="仿宋_GB2312"/>
          <w:sz w:val="32"/>
          <w:szCs w:val="32"/>
          <w:highlight w:val="none"/>
          <w:lang w:val="en-US" w:eastAsia="zh-CN"/>
        </w:rPr>
        <w:t>减少0.71</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highlight w:val="none"/>
          <w:lang w:val="en-US" w:eastAsia="zh-CN"/>
        </w:rPr>
        <w:t>减幅20.34</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较少</w:t>
      </w:r>
      <w:r>
        <w:rPr>
          <w:rFonts w:hint="eastAsia" w:ascii="Times New Roman" w:hAnsi="Times New Roman" w:eastAsia="仿宋_GB2312"/>
          <w:sz w:val="32"/>
          <w:szCs w:val="32"/>
          <w:highlight w:val="none"/>
        </w:rPr>
        <w:t>的主要原因：</w:t>
      </w:r>
      <w:bookmarkStart w:id="13" w:name="OLE_LINK43"/>
      <w:r>
        <w:rPr>
          <w:rFonts w:hint="eastAsia" w:ascii="Times New Roman" w:hAnsi="Times New Roman" w:eastAsia="仿宋_GB2312"/>
          <w:sz w:val="32"/>
          <w:szCs w:val="32"/>
          <w:highlight w:val="none"/>
          <w:lang w:val="en-US" w:eastAsia="zh-CN"/>
        </w:rPr>
        <w:t>一是</w:t>
      </w:r>
      <w:r>
        <w:rPr>
          <w:rFonts w:hint="eastAsia" w:ascii="Times New Roman" w:hAnsi="Times New Roman" w:eastAsia="仿宋_GB2312"/>
          <w:sz w:val="32"/>
          <w:szCs w:val="32"/>
          <w:highlight w:val="none"/>
        </w:rPr>
        <w:t>我单位规范公务接待管理，严格控制“三公”经费支出所致</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二是11月底一体化系统暂停支付三公经费，故部分费用下一年支付</w:t>
      </w:r>
      <w:bookmarkEnd w:id="13"/>
      <w:r>
        <w:rPr>
          <w:rFonts w:hint="eastAsia" w:ascii="Times New Roman" w:hAnsi="Times New Roman" w:eastAsia="仿宋_GB2312"/>
          <w:sz w:val="32"/>
          <w:szCs w:val="32"/>
          <w:highlight w:val="none"/>
        </w:rPr>
        <w:t>。</w:t>
      </w:r>
    </w:p>
    <w:p w14:paraId="4B8FFEB4">
      <w:pPr>
        <w:pStyle w:val="14"/>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rPr>
        <w:t>公务用车购置费支出预算为</w:t>
      </w:r>
      <w:r>
        <w:rPr>
          <w:rFonts w:hint="eastAsia" w:ascii="Times New Roman" w:hAnsi="Times New Roman" w:eastAsia="仿宋_GB2312"/>
          <w:sz w:val="32"/>
          <w:szCs w:val="32"/>
          <w:highlight w:val="none"/>
          <w:lang w:val="en-US" w:eastAsia="zh-CN"/>
        </w:rPr>
        <w:t>45</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万元，完成预算的</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%，决算数小于预算数的主要原因是</w:t>
      </w:r>
      <w:bookmarkStart w:id="14" w:name="OLE_LINK40"/>
      <w:r>
        <w:rPr>
          <w:rFonts w:hint="eastAsia" w:ascii="Times New Roman" w:hAnsi="Times New Roman" w:eastAsia="仿宋_GB2312"/>
          <w:sz w:val="32"/>
          <w:szCs w:val="32"/>
          <w:highlight w:val="none"/>
          <w:lang w:val="en-US" w:eastAsia="zh-CN"/>
        </w:rPr>
        <w:t>未购买车辆</w:t>
      </w:r>
      <w:bookmarkEnd w:id="14"/>
      <w:r>
        <w:rPr>
          <w:rFonts w:hint="eastAsia" w:ascii="Times New Roman" w:hAnsi="Times New Roman" w:eastAsia="仿宋_GB2312"/>
          <w:sz w:val="32"/>
          <w:szCs w:val="32"/>
          <w:highlight w:val="none"/>
          <w:lang w:val="en-US" w:eastAsia="zh-CN"/>
        </w:rPr>
        <w:t>。</w:t>
      </w:r>
      <w:r>
        <w:rPr>
          <w:rFonts w:hint="eastAsia" w:ascii="Times New Roman" w:hAnsi="Times New Roman" w:eastAsia="仿宋_GB2312"/>
          <w:sz w:val="32"/>
          <w:szCs w:val="32"/>
          <w:highlight w:val="none"/>
        </w:rPr>
        <w:t>与上年</w:t>
      </w:r>
      <w:r>
        <w:rPr>
          <w:rFonts w:hint="eastAsia" w:ascii="Times New Roman" w:hAnsi="Times New Roman" w:eastAsia="仿宋_GB2312"/>
          <w:sz w:val="32"/>
          <w:szCs w:val="32"/>
          <w:highlight w:val="none"/>
          <w:lang w:val="en-US" w:eastAsia="zh-CN"/>
        </w:rPr>
        <w:t>17.98</w:t>
      </w:r>
      <w:r>
        <w:rPr>
          <w:rFonts w:hint="eastAsia" w:ascii="Times New Roman" w:hAnsi="Times New Roman" w:eastAsia="仿宋_GB2312"/>
          <w:sz w:val="32"/>
          <w:szCs w:val="32"/>
          <w:highlight w:val="none"/>
        </w:rPr>
        <w:t>万元相比</w:t>
      </w:r>
      <w:r>
        <w:rPr>
          <w:rFonts w:hint="eastAsia" w:ascii="Times New Roman" w:hAnsi="Times New Roman" w:eastAsia="仿宋_GB2312"/>
          <w:sz w:val="32"/>
          <w:szCs w:val="32"/>
          <w:highlight w:val="none"/>
          <w:lang w:val="en-US" w:eastAsia="zh-CN"/>
        </w:rPr>
        <w:t>减少17.98</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highlight w:val="none"/>
          <w:lang w:val="en-US" w:eastAsia="zh-CN"/>
        </w:rPr>
        <w:t>减幅100</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主要原因</w:t>
      </w:r>
      <w:bookmarkStart w:id="15" w:name="OLE_LINK44"/>
      <w:r>
        <w:rPr>
          <w:rFonts w:hint="eastAsia" w:ascii="Times New Roman" w:hAnsi="Times New Roman" w:eastAsia="仿宋_GB2312"/>
          <w:sz w:val="32"/>
          <w:szCs w:val="32"/>
          <w:highlight w:val="none"/>
        </w:rPr>
        <w:t>是</w:t>
      </w:r>
      <w:r>
        <w:rPr>
          <w:rFonts w:hint="eastAsia" w:ascii="Times New Roman" w:hAnsi="Times New Roman" w:eastAsia="仿宋_GB2312"/>
          <w:sz w:val="32"/>
          <w:szCs w:val="32"/>
          <w:highlight w:val="none"/>
          <w:lang w:val="en-US" w:eastAsia="zh-CN"/>
        </w:rPr>
        <w:t>2022年新增老干公务用车一台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2023年未购买车辆。</w:t>
      </w:r>
      <w:bookmarkEnd w:id="15"/>
    </w:p>
    <w:p w14:paraId="7DB31A8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Times New Roman" w:hAnsi="Times New Roman" w:eastAsia="仿宋_GB2312"/>
          <w:sz w:val="32"/>
          <w:szCs w:val="32"/>
          <w:highlight w:val="none"/>
        </w:rPr>
        <w:t>公务用车运行维护费支出预算为</w:t>
      </w:r>
      <w:r>
        <w:rPr>
          <w:rFonts w:hint="eastAsia" w:ascii="Times New Roman" w:hAnsi="Times New Roman" w:eastAsia="仿宋_GB2312"/>
          <w:sz w:val="32"/>
          <w:szCs w:val="32"/>
          <w:highlight w:val="none"/>
          <w:lang w:val="en-US" w:eastAsia="zh-CN"/>
        </w:rPr>
        <w:t>95</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34.67</w:t>
      </w:r>
      <w:r>
        <w:rPr>
          <w:rFonts w:hint="eastAsia" w:ascii="Times New Roman" w:hAnsi="Times New Roman" w:eastAsia="仿宋_GB2312"/>
          <w:sz w:val="32"/>
          <w:szCs w:val="32"/>
          <w:highlight w:val="none"/>
        </w:rPr>
        <w:t>万元，完成预算的</w:t>
      </w:r>
      <w:r>
        <w:rPr>
          <w:rFonts w:hint="eastAsia" w:ascii="宋体" w:hAnsi="宋体" w:eastAsia="宋体"/>
          <w:sz w:val="32"/>
          <w:szCs w:val="32"/>
          <w:highlight w:val="none"/>
          <w:lang w:val="en-US" w:eastAsia="zh-CN"/>
        </w:rPr>
        <w:t>36.49</w:t>
      </w:r>
      <w:r>
        <w:rPr>
          <w:rFonts w:hint="eastAsia" w:ascii="Times New Roman" w:hAnsi="Times New Roman" w:eastAsia="仿宋_GB2312"/>
          <w:sz w:val="32"/>
          <w:szCs w:val="32"/>
          <w:highlight w:val="none"/>
        </w:rPr>
        <w:t>%，决算数小于年初预算数的主要原因为</w:t>
      </w:r>
      <w:bookmarkStart w:id="16" w:name="OLE_LINK41"/>
      <w:r>
        <w:rPr>
          <w:rFonts w:hint="eastAsia" w:ascii="Times New Roman" w:hAnsi="Times New Roman" w:eastAsia="仿宋_GB2312"/>
          <w:sz w:val="32"/>
          <w:szCs w:val="32"/>
          <w:highlight w:val="none"/>
        </w:rPr>
        <w:t>我单位规范公务用车管理，严格控制公务用车维护支出</w:t>
      </w:r>
      <w:bookmarkEnd w:id="16"/>
      <w:r>
        <w:rPr>
          <w:rFonts w:hint="eastAsia" w:ascii="Times New Roman" w:hAnsi="Times New Roman" w:eastAsia="仿宋_GB2312"/>
          <w:sz w:val="32"/>
          <w:szCs w:val="32"/>
          <w:highlight w:val="none"/>
        </w:rPr>
        <w:t>。与上年</w:t>
      </w:r>
      <w:r>
        <w:rPr>
          <w:rFonts w:hint="eastAsia" w:ascii="Times New Roman" w:hAnsi="Times New Roman" w:eastAsia="仿宋_GB2312"/>
          <w:sz w:val="32"/>
          <w:szCs w:val="32"/>
          <w:highlight w:val="none"/>
          <w:lang w:val="en-US" w:eastAsia="zh-CN"/>
        </w:rPr>
        <w:t>48.83</w:t>
      </w:r>
      <w:r>
        <w:rPr>
          <w:rFonts w:hint="eastAsia" w:ascii="Times New Roman" w:hAnsi="Times New Roman" w:eastAsia="仿宋_GB2312"/>
          <w:sz w:val="32"/>
          <w:szCs w:val="32"/>
          <w:highlight w:val="none"/>
        </w:rPr>
        <w:t>万元相比</w:t>
      </w:r>
      <w:r>
        <w:rPr>
          <w:rFonts w:hint="eastAsia" w:ascii="Times New Roman" w:hAnsi="Times New Roman" w:eastAsia="仿宋_GB2312"/>
          <w:sz w:val="32"/>
          <w:szCs w:val="32"/>
          <w:highlight w:val="none"/>
          <w:lang w:val="en-US" w:eastAsia="zh-CN"/>
        </w:rPr>
        <w:t>减少14.16万元，减幅29</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减少</w:t>
      </w:r>
      <w:r>
        <w:rPr>
          <w:rFonts w:hint="eastAsia" w:ascii="Times New Roman" w:hAnsi="Times New Roman" w:eastAsia="仿宋_GB2312"/>
          <w:sz w:val="32"/>
          <w:szCs w:val="32"/>
          <w:highlight w:val="none"/>
        </w:rPr>
        <w:t>的主要原因</w:t>
      </w:r>
      <w:r>
        <w:rPr>
          <w:rFonts w:hint="eastAsia" w:ascii="Times New Roman" w:hAnsi="Times New Roman" w:eastAsia="仿宋_GB2312"/>
          <w:sz w:val="32"/>
          <w:szCs w:val="32"/>
          <w:highlight w:val="none"/>
          <w:lang w:eastAsia="zh-CN"/>
        </w:rPr>
        <w:t>：</w:t>
      </w:r>
      <w:bookmarkStart w:id="17" w:name="OLE_LINK45"/>
      <w:r>
        <w:rPr>
          <w:rFonts w:hint="eastAsia" w:ascii="Times New Roman" w:hAnsi="Times New Roman" w:eastAsia="仿宋_GB2312"/>
          <w:sz w:val="32"/>
          <w:szCs w:val="32"/>
          <w:highlight w:val="none"/>
          <w:lang w:val="en-US" w:eastAsia="zh-CN"/>
        </w:rPr>
        <w:t>11月底一体化系统暂停支付三公经费，故部分费用下一年支付</w:t>
      </w:r>
      <w:bookmarkEnd w:id="17"/>
      <w:r>
        <w:rPr>
          <w:rFonts w:hint="eastAsia" w:ascii="Times New Roman" w:hAnsi="Times New Roman" w:eastAsia="仿宋_GB2312"/>
          <w:sz w:val="32"/>
          <w:szCs w:val="32"/>
          <w:highlight w:val="none"/>
        </w:rPr>
        <w:t>。</w:t>
      </w:r>
    </w:p>
    <w:p w14:paraId="5A88ABA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highlight w:val="none"/>
        </w:rPr>
      </w:pPr>
      <w:r>
        <w:rPr>
          <w:rFonts w:hint="eastAsia" w:ascii="楷体" w:hAnsi="楷体" w:eastAsia="楷体" w:cs="楷体"/>
          <w:b/>
          <w:bCs w:val="0"/>
          <w:sz w:val="32"/>
          <w:szCs w:val="32"/>
          <w:highlight w:val="none"/>
        </w:rPr>
        <w:t>（二）“三公”经费财政拨款支出决算具体情况说明</w:t>
      </w:r>
    </w:p>
    <w:p w14:paraId="3B93FA4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年度“三公”经费财政拨款支出决算中，公务接待费支出决算</w:t>
      </w:r>
      <w:r>
        <w:rPr>
          <w:rFonts w:hint="eastAsia" w:ascii="Times New Roman" w:hAnsi="Times New Roman" w:eastAsia="仿宋_GB2312"/>
          <w:sz w:val="32"/>
          <w:szCs w:val="32"/>
          <w:highlight w:val="none"/>
          <w:lang w:val="en-US" w:eastAsia="zh-CN"/>
        </w:rPr>
        <w:t>2.78</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7.42</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因公出国（境）费支出决算</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公务用车购置费及运行维护费支出决算</w:t>
      </w:r>
      <w:r>
        <w:rPr>
          <w:rFonts w:hint="eastAsia" w:ascii="Times New Roman" w:hAnsi="Times New Roman" w:eastAsia="仿宋_GB2312"/>
          <w:sz w:val="32"/>
          <w:szCs w:val="32"/>
          <w:highlight w:val="none"/>
          <w:lang w:val="en-US" w:eastAsia="zh-CN"/>
        </w:rPr>
        <w:t>34.67</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92.58</w:t>
      </w:r>
      <w:r>
        <w:rPr>
          <w:rFonts w:hint="eastAsia" w:ascii="Times New Roman" w:hAnsi="Times New Roman" w:eastAsia="仿宋_GB2312"/>
          <w:sz w:val="32"/>
          <w:szCs w:val="32"/>
          <w:highlight w:val="none"/>
        </w:rPr>
        <w:t>%。其中：</w:t>
      </w:r>
    </w:p>
    <w:p w14:paraId="76C23D60">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Times New Roman" w:hAnsi="Times New Roman" w:eastAsia="仿宋_GB2312"/>
          <w:sz w:val="32"/>
          <w:szCs w:val="32"/>
          <w:highlight w:val="none"/>
        </w:rPr>
        <w:t>因公出国（境）费支出决算为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万元，全年安排因公出国（境）团组</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个，累计</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人次</w:t>
      </w:r>
      <w:r>
        <w:rPr>
          <w:rFonts w:hint="eastAsia" w:ascii="Times New Roman" w:hAnsi="Times New Roman" w:eastAsia="仿宋_GB2312"/>
          <w:sz w:val="32"/>
          <w:szCs w:val="32"/>
          <w:highlight w:val="none"/>
          <w:lang w:eastAsia="zh-CN"/>
        </w:rPr>
        <w:t>，我单位202</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lang w:eastAsia="zh-CN"/>
        </w:rPr>
        <w:t>年度无因公出国（境）费支出。</w:t>
      </w:r>
    </w:p>
    <w:p w14:paraId="73B2A7A0">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Times New Roman" w:hAnsi="Times New Roman" w:eastAsia="仿宋_GB2312"/>
          <w:sz w:val="32"/>
          <w:szCs w:val="32"/>
          <w:highlight w:val="none"/>
        </w:rPr>
        <w:t>公务接待费支出决算为</w:t>
      </w:r>
      <w:r>
        <w:rPr>
          <w:rFonts w:hint="eastAsia" w:ascii="Times New Roman" w:hAnsi="Times New Roman" w:eastAsia="仿宋_GB2312"/>
          <w:sz w:val="32"/>
          <w:szCs w:val="32"/>
          <w:highlight w:val="none"/>
          <w:lang w:val="en-US" w:eastAsia="zh-CN"/>
        </w:rPr>
        <w:t>2.78</w:t>
      </w:r>
      <w:r>
        <w:rPr>
          <w:rFonts w:hint="eastAsia" w:ascii="Times New Roman" w:hAnsi="Times New Roman" w:eastAsia="仿宋_GB2312"/>
          <w:sz w:val="32"/>
          <w:szCs w:val="32"/>
          <w:highlight w:val="none"/>
        </w:rPr>
        <w:t>万元，全年共接待来访团组</w:t>
      </w:r>
      <w:r>
        <w:rPr>
          <w:rFonts w:hint="eastAsia" w:ascii="Times New Roman" w:hAnsi="Times New Roman" w:eastAsia="仿宋_GB2312"/>
          <w:sz w:val="32"/>
          <w:szCs w:val="32"/>
          <w:highlight w:val="none"/>
          <w:lang w:val="en-US" w:eastAsia="zh-CN"/>
        </w:rPr>
        <w:t>27</w:t>
      </w:r>
      <w:r>
        <w:rPr>
          <w:rFonts w:hint="eastAsia" w:ascii="Times New Roman" w:hAnsi="Times New Roman" w:eastAsia="仿宋_GB2312"/>
          <w:sz w:val="32"/>
          <w:szCs w:val="32"/>
          <w:highlight w:val="none"/>
        </w:rPr>
        <w:t>个、来宾</w:t>
      </w:r>
      <w:r>
        <w:rPr>
          <w:rFonts w:hint="eastAsia" w:ascii="Times New Roman" w:hAnsi="Times New Roman" w:eastAsia="仿宋_GB2312"/>
          <w:sz w:val="32"/>
          <w:szCs w:val="32"/>
          <w:highlight w:val="none"/>
          <w:lang w:val="en-US" w:eastAsia="zh-CN"/>
        </w:rPr>
        <w:t>224</w:t>
      </w:r>
      <w:r>
        <w:rPr>
          <w:rFonts w:hint="eastAsia" w:ascii="Times New Roman" w:hAnsi="Times New Roman" w:eastAsia="仿宋_GB2312"/>
          <w:sz w:val="32"/>
          <w:szCs w:val="32"/>
          <w:highlight w:val="none"/>
        </w:rPr>
        <w:t>人次，主要是外地人大来我单位考察学习、汇报工作等发生的接待支出。</w:t>
      </w:r>
    </w:p>
    <w:p w14:paraId="2B50C5B3">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宋体" w:hAnsi="宋体" w:cs="黑体"/>
          <w:b/>
          <w:bCs/>
          <w:i w:val="0"/>
          <w:iCs/>
          <w:color w:val="FF0000"/>
          <w:kern w:val="0"/>
          <w:sz w:val="40"/>
          <w:szCs w:val="40"/>
          <w:highlight w:val="none"/>
        </w:rPr>
      </w:pPr>
      <w:r>
        <w:rPr>
          <w:rFonts w:hint="eastAsia" w:ascii="仿宋_GB2312" w:hAnsi="仿宋_GB2312" w:eastAsia="仿宋_GB2312" w:cs="仿宋_GB2312"/>
          <w:sz w:val="32"/>
          <w:szCs w:val="32"/>
          <w:highlight w:val="none"/>
        </w:rPr>
        <w:t>3、</w:t>
      </w:r>
      <w:r>
        <w:rPr>
          <w:rFonts w:hint="eastAsia" w:ascii="Times New Roman" w:hAnsi="Times New Roman" w:eastAsia="仿宋_GB2312"/>
          <w:sz w:val="32"/>
          <w:szCs w:val="32"/>
          <w:highlight w:val="none"/>
        </w:rPr>
        <w:t>公务用车购置费及运行维护费支出决算为</w:t>
      </w:r>
      <w:r>
        <w:rPr>
          <w:rFonts w:hint="eastAsia" w:ascii="Times New Roman" w:hAnsi="Times New Roman" w:eastAsia="仿宋_GB2312"/>
          <w:sz w:val="32"/>
          <w:szCs w:val="32"/>
          <w:highlight w:val="none"/>
          <w:lang w:val="en-US" w:eastAsia="zh-CN"/>
        </w:rPr>
        <w:t>34.67</w:t>
      </w:r>
      <w:r>
        <w:rPr>
          <w:rFonts w:hint="eastAsia" w:ascii="Times New Roman" w:hAnsi="Times New Roman" w:eastAsia="仿宋_GB2312"/>
          <w:sz w:val="32"/>
          <w:szCs w:val="32"/>
          <w:highlight w:val="none"/>
        </w:rPr>
        <w:t>万元，其中：公务用车购置费</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当年没有购置公务用车</w:t>
      </w:r>
      <w:r>
        <w:rPr>
          <w:rFonts w:hint="eastAsia" w:ascii="Times New Roman" w:hAnsi="Times New Roman" w:eastAsia="仿宋_GB2312"/>
          <w:sz w:val="32"/>
          <w:szCs w:val="32"/>
          <w:highlight w:val="none"/>
        </w:rPr>
        <w:t>。公务用车运行维护费</w:t>
      </w:r>
      <w:r>
        <w:rPr>
          <w:rFonts w:hint="eastAsia" w:ascii="Times New Roman" w:hAnsi="Times New Roman" w:eastAsia="仿宋_GB2312"/>
          <w:sz w:val="32"/>
          <w:szCs w:val="32"/>
          <w:highlight w:val="none"/>
          <w:lang w:val="en-US" w:eastAsia="zh-CN"/>
        </w:rPr>
        <w:t>34.67</w:t>
      </w:r>
      <w:r>
        <w:rPr>
          <w:rFonts w:hint="eastAsia" w:ascii="Times New Roman" w:hAnsi="Times New Roman" w:eastAsia="仿宋_GB2312"/>
          <w:sz w:val="32"/>
          <w:szCs w:val="32"/>
          <w:highlight w:val="none"/>
        </w:rPr>
        <w:t>万元，主要是公务用车燃料费、维修维护费、过路过桥费等支出，截止202</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年12月31日，我单位开支财政拨款的公务用车保有量为1</w:t>
      </w: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rPr>
        <w:t>辆。</w:t>
      </w:r>
    </w:p>
    <w:p w14:paraId="4C40291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highlight w:val="none"/>
        </w:rPr>
      </w:pPr>
      <w:r>
        <w:rPr>
          <w:rFonts w:hint="eastAsia" w:ascii="Times New Roman" w:hAnsi="Times New Roman" w:eastAsia="仿宋_GB2312"/>
          <w:b/>
          <w:color w:val="auto"/>
          <w:sz w:val="32"/>
          <w:szCs w:val="32"/>
          <w:highlight w:val="none"/>
          <w:lang w:eastAsia="zh-CN"/>
        </w:rPr>
        <w:t>十</w:t>
      </w:r>
      <w:r>
        <w:rPr>
          <w:rFonts w:hint="eastAsia" w:ascii="Times New Roman" w:hAnsi="Times New Roman" w:eastAsia="仿宋_GB2312"/>
          <w:b/>
          <w:color w:val="auto"/>
          <w:sz w:val="32"/>
          <w:szCs w:val="32"/>
          <w:highlight w:val="none"/>
        </w:rPr>
        <w:t>、关于机关运行经费支出说明</w:t>
      </w:r>
    </w:p>
    <w:p w14:paraId="75BD7E68">
      <w:pPr>
        <w:pStyle w:val="14"/>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本部门202</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年度机关运行经费支出</w:t>
      </w:r>
      <w:r>
        <w:rPr>
          <w:rFonts w:hint="eastAsia" w:ascii="Times New Roman" w:hAnsi="Times New Roman" w:eastAsia="仿宋_GB2312"/>
          <w:sz w:val="32"/>
          <w:szCs w:val="32"/>
          <w:highlight w:val="none"/>
          <w:lang w:val="en-US" w:eastAsia="zh-CN"/>
        </w:rPr>
        <w:t>346.03</w:t>
      </w:r>
      <w:r>
        <w:rPr>
          <w:rFonts w:hint="eastAsia" w:ascii="Times New Roman" w:hAnsi="Times New Roman" w:eastAsia="仿宋_GB2312"/>
          <w:sz w:val="32"/>
          <w:szCs w:val="32"/>
          <w:highlight w:val="none"/>
        </w:rPr>
        <w:t>万元，比年初预算</w:t>
      </w:r>
      <w:r>
        <w:rPr>
          <w:rFonts w:hint="eastAsia" w:ascii="Times New Roman" w:hAnsi="Times New Roman" w:eastAsia="仿宋_GB2312"/>
          <w:sz w:val="32"/>
          <w:szCs w:val="32"/>
          <w:highlight w:val="none"/>
          <w:lang w:val="en-US" w:eastAsia="zh-CN"/>
        </w:rPr>
        <w:t>数384.01万元减少37.98万元，减幅9.89%</w:t>
      </w:r>
      <w:r>
        <w:rPr>
          <w:rFonts w:hint="eastAsia" w:ascii="Times New Roman" w:hAnsi="Times New Roman" w:eastAsia="仿宋_GB2312"/>
          <w:sz w:val="32"/>
          <w:szCs w:val="32"/>
          <w:highlight w:val="none"/>
        </w:rPr>
        <w:t>。主要原因是：</w:t>
      </w:r>
      <w:r>
        <w:rPr>
          <w:rFonts w:hint="eastAsia" w:ascii="Times New Roman" w:hAnsi="Times New Roman" w:eastAsia="仿宋_GB2312"/>
          <w:sz w:val="32"/>
          <w:szCs w:val="32"/>
          <w:highlight w:val="none"/>
          <w:lang w:val="en-US" w:eastAsia="zh-CN"/>
        </w:rPr>
        <w:t>一是</w:t>
      </w:r>
      <w:r>
        <w:rPr>
          <w:rFonts w:hint="eastAsia" w:ascii="Times New Roman" w:hAnsi="Times New Roman" w:eastAsia="仿宋_GB2312"/>
          <w:sz w:val="32"/>
          <w:szCs w:val="32"/>
          <w:highlight w:val="none"/>
        </w:rPr>
        <w:t>年初预算</w:t>
      </w:r>
      <w:r>
        <w:rPr>
          <w:rFonts w:hint="eastAsia" w:ascii="Times New Roman" w:hAnsi="Times New Roman" w:eastAsia="仿宋_GB2312"/>
          <w:sz w:val="32"/>
          <w:szCs w:val="32"/>
          <w:highlight w:val="none"/>
          <w:lang w:val="en-US" w:eastAsia="zh-CN"/>
        </w:rPr>
        <w:t>人员经费不足，后期调整公用经费用于人员经费支出</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二是年末一体化系统临时暂停支付，故部分费用无法支付，资金结转</w:t>
      </w:r>
      <w:r>
        <w:rPr>
          <w:rFonts w:hint="eastAsia" w:ascii="Times New Roman" w:hAnsi="Times New Roman" w:eastAsia="仿宋_GB2312"/>
          <w:sz w:val="32"/>
          <w:szCs w:val="32"/>
          <w:highlight w:val="none"/>
        </w:rPr>
        <w:t>。</w:t>
      </w:r>
    </w:p>
    <w:p w14:paraId="0E3E581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14:paraId="66CEB044">
      <w:pPr>
        <w:pStyle w:val="14"/>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2023年度，会议费年初预算299.7万元，支出决算为285.46万元，完成年初预算的95.25%。用于召开一类会议1次（市九届人大三次会议）、二类会议8次（市人大常委会会议）、三类会37次（市人大各专门委员会、常委会工作机构和办事机构等全年召开的各类工作会议）。其中市九届人大三次会议支出262万元，与会人数1119人，2022年12月召开，会期共6天，预算262万元，内容为决议重大事件，选举任免等。</w:t>
      </w:r>
    </w:p>
    <w:p w14:paraId="0237F898">
      <w:pPr>
        <w:pStyle w:val="14"/>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培训费年初预算36.9万元，支出决算为43.9万元，完成年初预算的118.97%。用于组织及参加培训共17次，其中人大环境保护与城市建设专题培训班支出12.12万元（含授课费、差旅费），人数40人，共6天，预算15.6万元（含授课费），内容为组织市九届人大环资委专委会委员及县市区人大干部学习习近平生态文明思想之“绿水青山就是金山银山”、城市更新理念、生态城市规划理念等；市九届人大代表履职能力提升培训班支出23.58万元（含授课费），人数69人，共6天，预算23.58万元（含授课费），内容为学习人民代表大会制度、掌握履行代表职务所需法律知识和其他专业知识等。</w:t>
      </w:r>
    </w:p>
    <w:p w14:paraId="49498595">
      <w:pPr>
        <w:pStyle w:val="14"/>
        <w:ind w:firstLine="640" w:firstLineChars="200"/>
        <w:rPr>
          <w:rFonts w:hint="eastAsia" w:ascii="仿宋_GB2312" w:hAnsi="仿宋_GB2312" w:eastAsia="仿宋_GB2312" w:cs="仿宋_GB2312"/>
          <w:b/>
          <w:bCs/>
          <w:i/>
          <w:color w:val="auto"/>
          <w:kern w:val="0"/>
          <w:sz w:val="32"/>
          <w:szCs w:val="32"/>
          <w:highlight w:val="green"/>
          <w:lang w:val="en-US" w:eastAsia="zh-CN" w:bidi="ar-SA"/>
        </w:rPr>
      </w:pPr>
      <w:r>
        <w:rPr>
          <w:rFonts w:hint="eastAsia" w:ascii="Times New Roman" w:hAnsi="Times New Roman" w:eastAsia="仿宋_GB2312"/>
          <w:sz w:val="32"/>
          <w:szCs w:val="32"/>
          <w:highlight w:val="none"/>
          <w:lang w:val="en-US" w:eastAsia="zh-CN"/>
        </w:rPr>
        <w:t>本单位无举办节庆、晚会、论坛、赛事等活动的预算和支出决算数。</w:t>
      </w:r>
    </w:p>
    <w:p w14:paraId="4F7B1C5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14:paraId="7252656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i/>
          <w:color w:val="FF0000"/>
          <w:sz w:val="32"/>
          <w:szCs w:val="32"/>
          <w:highlight w:val="none"/>
          <w:lang w:val="en-US" w:eastAsia="zh-CN"/>
        </w:rPr>
      </w:pPr>
      <w:r>
        <w:rPr>
          <w:rFonts w:hint="eastAsia" w:ascii="Times New Roman" w:hAnsi="Times New Roman" w:eastAsia="仿宋_GB2312"/>
          <w:sz w:val="32"/>
          <w:szCs w:val="32"/>
          <w:highlight w:val="none"/>
          <w:lang w:val="en-US" w:eastAsia="zh-CN"/>
        </w:rPr>
        <w:t>本部门2023年度政府采购支出总额1505.84万元，其中：政府采购货物支出453.12万元、政府采购工程支出185.15万元、政府采购服务支出867.57万元。授予中小企业合同金额1505.84万元，占政府采购支出总额的100%，其中：授予小微企业合同金额453.12万元，占授予中小企业合同金额的30.09%。货物采购授予中小企业合同金额占货物支出金额的100%，工程采购授予中小企业合同金额占工程支出金额的100%，服务采购授予中小企业合同金额占服务支出金额的100%。</w:t>
      </w:r>
    </w:p>
    <w:p w14:paraId="3471D82D">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14:paraId="06806F9D">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i w:val="0"/>
          <w:iCs/>
          <w:color w:val="FF0000"/>
          <w:sz w:val="32"/>
          <w:szCs w:val="32"/>
          <w:highlight w:val="none"/>
          <w:lang w:val="en-US" w:eastAsia="zh-CN"/>
        </w:rPr>
      </w:pPr>
      <w:bookmarkStart w:id="18" w:name="OLE_LINK8"/>
      <w:r>
        <w:rPr>
          <w:rFonts w:hint="eastAsia" w:ascii="Times New Roman" w:hAnsi="Times New Roman" w:eastAsia="仿宋_GB2312"/>
          <w:sz w:val="32"/>
          <w:szCs w:val="32"/>
          <w:highlight w:val="none"/>
          <w:lang w:val="en-US" w:eastAsia="zh-CN"/>
        </w:rPr>
        <w:t>截至2023年12月31日，本单位共有车辆15辆，其中，</w:t>
      </w:r>
      <w:r>
        <w:rPr>
          <w:rFonts w:hint="eastAsia" w:ascii="仿宋_GB2312" w:hAnsi="仿宋_GB2312" w:eastAsia="仿宋_GB2312" w:cs="仿宋_GB2312"/>
          <w:color w:val="auto"/>
          <w:sz w:val="32"/>
          <w:szCs w:val="32"/>
          <w:highlight w:val="none"/>
          <w:lang w:eastAsia="zh-CN"/>
        </w:rPr>
        <w:t>副部（省）级及以上领导用车</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主要</w:t>
      </w:r>
      <w:r>
        <w:rPr>
          <w:rFonts w:hint="eastAsia" w:ascii="仿宋_GB2312" w:hAnsi="仿宋_GB2312" w:eastAsia="仿宋_GB2312" w:cs="仿宋_GB2312"/>
          <w:color w:val="auto"/>
          <w:sz w:val="32"/>
          <w:szCs w:val="32"/>
          <w:highlight w:val="none"/>
          <w:lang w:eastAsia="zh-CN"/>
        </w:rPr>
        <w:t>负责人</w:t>
      </w:r>
      <w:r>
        <w:rPr>
          <w:rFonts w:hint="eastAsia" w:ascii="仿宋_GB2312" w:hAnsi="仿宋_GB2312" w:eastAsia="仿宋_GB2312" w:cs="仿宋_GB2312"/>
          <w:color w:val="auto"/>
          <w:sz w:val="32"/>
          <w:szCs w:val="32"/>
          <w:highlight w:val="none"/>
        </w:rPr>
        <w:t>用车</w:t>
      </w:r>
      <w:r>
        <w:rPr>
          <w:rFonts w:hint="eastAsia" w:ascii="Times New Roman" w:hAnsi="Times New Roman" w:eastAsia="仿宋_GB2312"/>
          <w:sz w:val="32"/>
          <w:szCs w:val="32"/>
          <w:highlight w:val="none"/>
          <w:lang w:val="en-US" w:eastAsia="zh-CN"/>
        </w:rPr>
        <w:t>0辆、机要通信用车1辆、应急保障用车7辆、执法执勤用车0辆、特种专业技术用车0辆、</w:t>
      </w:r>
      <w:r>
        <w:rPr>
          <w:rFonts w:hint="eastAsia" w:ascii="仿宋_GB2312" w:hAnsi="仿宋_GB2312" w:eastAsia="仿宋_GB2312" w:cs="仿宋_GB2312"/>
          <w:color w:val="auto"/>
          <w:sz w:val="32"/>
          <w:szCs w:val="32"/>
          <w:highlight w:val="none"/>
          <w:lang w:eastAsia="zh-CN"/>
        </w:rPr>
        <w:t>离退休干部服务用车</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辆</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sz w:val="32"/>
          <w:szCs w:val="32"/>
          <w:highlight w:val="none"/>
          <w:lang w:val="en-US" w:eastAsia="zh-CN"/>
        </w:rPr>
        <w:t>其他用车2辆，其他用车主要是实物保障用车1辆、接待调研用车1辆</w:t>
      </w:r>
      <w:bookmarkEnd w:id="18"/>
      <w:r>
        <w:rPr>
          <w:rFonts w:hint="eastAsia" w:ascii="Times New Roman" w:hAnsi="Times New Roman" w:eastAsia="仿宋_GB2312"/>
          <w:sz w:val="32"/>
          <w:szCs w:val="32"/>
          <w:highlight w:val="none"/>
          <w:lang w:val="en-US" w:eastAsia="zh-CN"/>
        </w:rPr>
        <w:t>；单位价值</w:t>
      </w:r>
      <w:r>
        <w:rPr>
          <w:rFonts w:hint="eastAsia" w:ascii="仿宋_GB2312" w:hAnsi="仿宋_GB2312" w:eastAsia="仿宋_GB2312" w:cs="仿宋_GB2312"/>
          <w:color w:val="auto"/>
          <w:sz w:val="32"/>
          <w:szCs w:val="32"/>
          <w:highlight w:val="none"/>
        </w:rPr>
        <w:t>100万元以上设备</w:t>
      </w:r>
      <w:r>
        <w:rPr>
          <w:rFonts w:hint="eastAsia" w:ascii="仿宋_GB2312" w:hAnsi="仿宋_GB2312" w:eastAsia="仿宋_GB2312" w:cs="仿宋_GB2312"/>
          <w:color w:val="auto"/>
          <w:sz w:val="32"/>
          <w:szCs w:val="32"/>
          <w:highlight w:val="none"/>
          <w:lang w:eastAsia="zh-CN"/>
        </w:rPr>
        <w:t>（不含车辆）</w:t>
      </w:r>
      <w:r>
        <w:rPr>
          <w:rFonts w:hint="eastAsia" w:ascii="Times New Roman" w:hAnsi="Times New Roman" w:eastAsia="仿宋_GB2312"/>
          <w:sz w:val="32"/>
          <w:szCs w:val="32"/>
          <w:highlight w:val="none"/>
          <w:lang w:val="en-US" w:eastAsia="zh-CN"/>
        </w:rPr>
        <w:t>1台（套）。</w:t>
      </w:r>
    </w:p>
    <w:p w14:paraId="77148761">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十</w:t>
      </w:r>
      <w:r>
        <w:rPr>
          <w:rFonts w:hint="eastAsia" w:hAnsi="黑体" w:cs="黑体"/>
          <w:b w:val="0"/>
          <w:bCs/>
          <w:color w:val="auto"/>
          <w:sz w:val="32"/>
          <w:szCs w:val="32"/>
          <w:highlight w:val="none"/>
          <w:lang w:eastAsia="zh-CN"/>
        </w:rPr>
        <w:t>四</w:t>
      </w:r>
      <w:r>
        <w:rPr>
          <w:rFonts w:hint="eastAsia" w:ascii="黑体" w:hAnsi="黑体" w:eastAsia="黑体" w:cs="黑体"/>
          <w:b w:val="0"/>
          <w:bCs/>
          <w:color w:val="auto"/>
          <w:sz w:val="32"/>
          <w:szCs w:val="32"/>
          <w:highlight w:val="none"/>
        </w:rPr>
        <w:t>、关于</w:t>
      </w:r>
      <w:r>
        <w:rPr>
          <w:rFonts w:hint="eastAsia" w:ascii="Times New Roman" w:hAnsi="Times New Roman" w:eastAsia="仿宋_GB2312"/>
          <w:color w:val="auto"/>
          <w:sz w:val="32"/>
          <w:szCs w:val="32"/>
          <w:highlight w:val="none"/>
        </w:rPr>
        <w:t>202</w:t>
      </w:r>
      <w:r>
        <w:rPr>
          <w:rFonts w:hint="eastAsia" w:ascii="Times New Roman" w:hAnsi="Times New Roman" w:eastAsia="仿宋_GB2312"/>
          <w:color w:val="auto"/>
          <w:sz w:val="32"/>
          <w:szCs w:val="32"/>
          <w:highlight w:val="none"/>
          <w:lang w:val="en-US" w:eastAsia="zh-CN"/>
        </w:rPr>
        <w:t>3</w:t>
      </w:r>
      <w:r>
        <w:rPr>
          <w:rFonts w:hint="eastAsia" w:ascii="黑体" w:hAnsi="黑体" w:eastAsia="黑体" w:cs="黑体"/>
          <w:b w:val="0"/>
          <w:bCs/>
          <w:color w:val="auto"/>
          <w:sz w:val="32"/>
          <w:szCs w:val="32"/>
          <w:highlight w:val="none"/>
        </w:rPr>
        <w:t>年度</w:t>
      </w:r>
      <w:r>
        <w:rPr>
          <w:rFonts w:hint="eastAsia" w:hAnsi="黑体" w:cs="黑体"/>
          <w:b w:val="0"/>
          <w:bCs/>
          <w:color w:val="auto"/>
          <w:sz w:val="32"/>
          <w:szCs w:val="32"/>
          <w:highlight w:val="none"/>
          <w:lang w:eastAsia="zh-CN"/>
        </w:rPr>
        <w:t>预算</w:t>
      </w:r>
      <w:r>
        <w:rPr>
          <w:rFonts w:hint="eastAsia" w:ascii="黑体" w:hAnsi="黑体" w:eastAsia="黑体" w:cs="黑体"/>
          <w:b w:val="0"/>
          <w:bCs/>
          <w:color w:val="auto"/>
          <w:sz w:val="32"/>
          <w:szCs w:val="32"/>
          <w:highlight w:val="none"/>
        </w:rPr>
        <w:t>绩效情况的说明</w:t>
      </w:r>
    </w:p>
    <w:p w14:paraId="2C593156">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eastAsia="zh-CN"/>
        </w:rPr>
        <w:t>（一）绩效管理工作开展情况</w:t>
      </w:r>
    </w:p>
    <w:p w14:paraId="65ED810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highlight w:val="none"/>
          <w:lang w:val="en-US" w:eastAsia="zh-CN" w:bidi="ar-SA"/>
        </w:rPr>
      </w:pPr>
      <w:r>
        <w:rPr>
          <w:rFonts w:hint="eastAsia" w:ascii="仿宋_GB2312" w:hAnsi="仿宋_GB2312" w:eastAsia="仿宋_GB2312" w:cs="仿宋_GB2312"/>
          <w:b w:val="0"/>
          <w:bCs w:val="0"/>
          <w:color w:val="000000"/>
          <w:kern w:val="0"/>
          <w:sz w:val="32"/>
          <w:szCs w:val="32"/>
          <w:highlight w:val="none"/>
          <w:lang w:val="en-US" w:eastAsia="zh-CN" w:bidi="ar-SA"/>
        </w:rPr>
        <w:t>根据预算绩效管理要求，我们组织对2023年度整体支出和项目资金实施了全覆盖性的绩效评价，撰写了绩效自评报告。</w:t>
      </w:r>
    </w:p>
    <w:p w14:paraId="75E1B61F">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highlight w:val="none"/>
          <w:lang w:val="en-US" w:eastAsia="zh-CN" w:bidi="ar-SA"/>
        </w:rPr>
      </w:pPr>
      <w:r>
        <w:rPr>
          <w:rFonts w:hint="eastAsia" w:ascii="仿宋_GB2312" w:hAnsi="仿宋_GB2312" w:eastAsia="仿宋_GB2312" w:cs="仿宋_GB2312"/>
          <w:b w:val="0"/>
          <w:bCs w:val="0"/>
          <w:sz w:val="32"/>
          <w:szCs w:val="32"/>
          <w:highlight w:val="none"/>
          <w:lang w:val="en-US" w:eastAsia="zh-CN"/>
        </w:rPr>
        <w:t>组织开展整体支出绩效评价，涉及</w:t>
      </w:r>
      <w:bookmarkStart w:id="19" w:name="OLE_LINK12"/>
      <w:bookmarkStart w:id="20" w:name="OLE_LINK18"/>
      <w:r>
        <w:rPr>
          <w:rFonts w:hint="eastAsia" w:ascii="仿宋_GB2312" w:hAnsi="仿宋_GB2312" w:eastAsia="仿宋_GB2312" w:cs="仿宋_GB2312"/>
          <w:b w:val="0"/>
          <w:bCs w:val="0"/>
          <w:sz w:val="32"/>
          <w:szCs w:val="32"/>
          <w:highlight w:val="none"/>
          <w:lang w:val="en-US" w:eastAsia="zh-CN"/>
        </w:rPr>
        <w:t>一般公共预算</w:t>
      </w:r>
      <w:bookmarkEnd w:id="19"/>
      <w:r>
        <w:rPr>
          <w:rFonts w:hint="eastAsia" w:ascii="仿宋_GB2312" w:hAnsi="仿宋_GB2312" w:eastAsia="仿宋_GB2312" w:cs="仿宋_GB2312"/>
          <w:b w:val="0"/>
          <w:bCs w:val="0"/>
          <w:sz w:val="32"/>
          <w:szCs w:val="32"/>
          <w:highlight w:val="none"/>
          <w:lang w:val="en-US" w:eastAsia="zh-CN"/>
        </w:rPr>
        <w:t>支出4079.75万元</w:t>
      </w:r>
      <w:bookmarkEnd w:id="20"/>
      <w:r>
        <w:rPr>
          <w:rFonts w:hint="eastAsia" w:ascii="仿宋_GB2312" w:hAnsi="仿宋_GB2312" w:eastAsia="仿宋_GB2312" w:cs="仿宋_GB2312"/>
          <w:b w:val="0"/>
          <w:bCs w:val="0"/>
          <w:sz w:val="32"/>
          <w:szCs w:val="32"/>
          <w:highlight w:val="none"/>
          <w:lang w:val="en-US" w:eastAsia="zh-CN"/>
        </w:rPr>
        <w:t>，政府性基金预算支出0万元，国有资本经营预算支出0万元。从评价情况来看，整体支出绩效评价中，2023年整体支出</w:t>
      </w:r>
      <w:bookmarkStart w:id="21" w:name="OLE_LINK11"/>
      <w:r>
        <w:rPr>
          <w:rFonts w:hint="eastAsia" w:ascii="仿宋_GB2312" w:hAnsi="仿宋_GB2312" w:eastAsia="仿宋_GB2312" w:cs="仿宋_GB2312"/>
          <w:b w:val="0"/>
          <w:bCs w:val="0"/>
          <w:sz w:val="32"/>
          <w:szCs w:val="32"/>
          <w:highlight w:val="none"/>
          <w:lang w:val="en-US" w:eastAsia="zh-CN"/>
        </w:rPr>
        <w:t>4289.05</w:t>
      </w:r>
      <w:bookmarkEnd w:id="21"/>
      <w:r>
        <w:rPr>
          <w:rFonts w:hint="eastAsia" w:ascii="仿宋_GB2312" w:hAnsi="仿宋_GB2312" w:eastAsia="仿宋_GB2312" w:cs="仿宋_GB2312"/>
          <w:b w:val="0"/>
          <w:bCs w:val="0"/>
          <w:sz w:val="32"/>
          <w:szCs w:val="32"/>
          <w:highlight w:val="none"/>
          <w:lang w:val="en-US" w:eastAsia="zh-CN"/>
        </w:rPr>
        <w:t>万元（一般公共预算支出4079.75万元），其中：</w:t>
      </w:r>
      <w:bookmarkStart w:id="22" w:name="OLE_LINK13"/>
      <w:r>
        <w:rPr>
          <w:rFonts w:hint="eastAsia" w:ascii="仿宋_GB2312" w:hAnsi="仿宋_GB2312" w:eastAsia="仿宋_GB2312" w:cs="仿宋_GB2312"/>
          <w:b w:val="0"/>
          <w:bCs w:val="0"/>
          <w:sz w:val="32"/>
          <w:szCs w:val="32"/>
          <w:highlight w:val="none"/>
          <w:lang w:val="en-US" w:eastAsia="zh-CN"/>
        </w:rPr>
        <w:t>基本支出</w:t>
      </w:r>
      <w:bookmarkEnd w:id="22"/>
      <w:bookmarkStart w:id="23" w:name="OLE_LINK14"/>
      <w:r>
        <w:rPr>
          <w:rFonts w:hint="eastAsia" w:ascii="仿宋_GB2312" w:hAnsi="仿宋_GB2312" w:eastAsia="仿宋_GB2312" w:cs="仿宋_GB2312"/>
          <w:b w:val="0"/>
          <w:bCs w:val="0"/>
          <w:sz w:val="32"/>
          <w:szCs w:val="32"/>
          <w:highlight w:val="none"/>
          <w:lang w:val="en-US" w:eastAsia="zh-CN"/>
        </w:rPr>
        <w:t>2788.61万元</w:t>
      </w:r>
      <w:bookmarkEnd w:id="23"/>
      <w:bookmarkStart w:id="24" w:name="OLE_LINK15"/>
      <w:r>
        <w:rPr>
          <w:rFonts w:hint="eastAsia" w:ascii="仿宋_GB2312" w:hAnsi="仿宋_GB2312" w:eastAsia="仿宋_GB2312" w:cs="仿宋_GB2312"/>
          <w:b w:val="0"/>
          <w:bCs w:val="0"/>
          <w:sz w:val="32"/>
          <w:szCs w:val="32"/>
          <w:highlight w:val="none"/>
          <w:lang w:val="en-US" w:eastAsia="zh-CN"/>
        </w:rPr>
        <w:t>（一般公共预算基本支出2579.3万元）</w:t>
      </w:r>
      <w:bookmarkEnd w:id="24"/>
      <w:r>
        <w:rPr>
          <w:rFonts w:hint="eastAsia" w:ascii="仿宋_GB2312" w:hAnsi="仿宋_GB2312" w:eastAsia="仿宋_GB2312" w:cs="仿宋_GB2312"/>
          <w:b w:val="0"/>
          <w:bCs w:val="0"/>
          <w:sz w:val="32"/>
          <w:szCs w:val="32"/>
          <w:highlight w:val="none"/>
          <w:lang w:val="en-US" w:eastAsia="zh-CN"/>
        </w:rPr>
        <w:t>，</w:t>
      </w:r>
      <w:bookmarkStart w:id="25" w:name="OLE_LINK16"/>
      <w:r>
        <w:rPr>
          <w:rFonts w:hint="eastAsia" w:ascii="仿宋_GB2312" w:hAnsi="仿宋_GB2312" w:eastAsia="仿宋_GB2312" w:cs="仿宋_GB2312"/>
          <w:b w:val="0"/>
          <w:bCs w:val="0"/>
          <w:sz w:val="32"/>
          <w:szCs w:val="32"/>
          <w:highlight w:val="none"/>
          <w:lang w:val="en-US" w:eastAsia="zh-CN"/>
        </w:rPr>
        <w:t>项目支出</w:t>
      </w:r>
      <w:bookmarkEnd w:id="25"/>
      <w:bookmarkStart w:id="26" w:name="OLE_LINK17"/>
      <w:r>
        <w:rPr>
          <w:rFonts w:hint="eastAsia" w:ascii="仿宋_GB2312" w:hAnsi="仿宋_GB2312" w:eastAsia="仿宋_GB2312" w:cs="仿宋_GB2312"/>
          <w:b w:val="0"/>
          <w:bCs w:val="0"/>
          <w:sz w:val="32"/>
          <w:szCs w:val="32"/>
          <w:highlight w:val="none"/>
          <w:lang w:val="en-US" w:eastAsia="zh-CN"/>
        </w:rPr>
        <w:t>1500.45</w:t>
      </w:r>
      <w:bookmarkEnd w:id="26"/>
      <w:r>
        <w:rPr>
          <w:rFonts w:hint="eastAsia" w:ascii="仿宋_GB2312" w:hAnsi="仿宋_GB2312" w:eastAsia="仿宋_GB2312" w:cs="仿宋_GB2312"/>
          <w:b w:val="0"/>
          <w:bCs w:val="0"/>
          <w:sz w:val="32"/>
          <w:szCs w:val="32"/>
          <w:highlight w:val="none"/>
          <w:lang w:val="en-US" w:eastAsia="zh-CN"/>
        </w:rPr>
        <w:t>万元（一般公共预算项目支出1500.45万元），本单位整体支出绩效自评综合评分100分，评价结果等次为</w:t>
      </w:r>
      <w:bookmarkStart w:id="27" w:name="OLE_LINK10"/>
      <w:r>
        <w:rPr>
          <w:rFonts w:hint="eastAsia" w:ascii="仿宋_GB2312" w:hAnsi="仿宋_GB2312" w:eastAsia="仿宋_GB2312" w:cs="仿宋_GB2312"/>
          <w:b w:val="0"/>
          <w:bCs w:val="0"/>
          <w:sz w:val="32"/>
          <w:szCs w:val="32"/>
          <w:highlight w:val="none"/>
          <w:lang w:val="en-US" w:eastAsia="zh-CN"/>
        </w:rPr>
        <w:t>优</w:t>
      </w:r>
      <w:bookmarkEnd w:id="27"/>
      <w:r>
        <w:rPr>
          <w:rFonts w:hint="eastAsia" w:ascii="仿宋_GB2312" w:hAnsi="仿宋_GB2312" w:eastAsia="仿宋_GB2312" w:cs="仿宋_GB2312"/>
          <w:b w:val="0"/>
          <w:bCs w:val="0"/>
          <w:sz w:val="32"/>
          <w:szCs w:val="32"/>
          <w:highlight w:val="none"/>
          <w:lang w:val="en-US" w:eastAsia="zh-CN"/>
        </w:rPr>
        <w:t>。</w:t>
      </w:r>
    </w:p>
    <w:p w14:paraId="7BE7D90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val="0"/>
          <w:bCs w:val="0"/>
          <w:color w:val="000000"/>
          <w:kern w:val="0"/>
          <w:sz w:val="32"/>
          <w:szCs w:val="32"/>
          <w:highlight w:val="none"/>
          <w:lang w:val="en-US" w:eastAsia="zh-CN" w:bidi="ar-SA"/>
        </w:rPr>
        <w:t>组织对一般公共预算项目支出全面开展绩效自评，项目8个，共涉及资金1206.8万元，占一般公共预算项目支出总额的80.43%。组织对政府性基金预算项目支出开展绩效自评，项目0个，共涉及资金0万元（由于政府性基金预算项目支出总额为0，故无法计算占政府性基金预算项目支出总额的比重）。组织对国有资本经营预算项目支出开展绩效自评，项目0个，共涉及资金0万元（由于国有资本经营预算项目支出总额为0，故无法计算占国有资本经营预算项目支出总额的比重）。从评价情况来看，项目绩效自评得分100分，评价结果等次为</w:t>
      </w:r>
      <w:r>
        <w:rPr>
          <w:rFonts w:hint="eastAsia" w:ascii="仿宋_GB2312" w:hAnsi="仿宋_GB2312" w:eastAsia="仿宋_GB2312" w:cs="仿宋_GB2312"/>
          <w:b w:val="0"/>
          <w:bCs w:val="0"/>
          <w:sz w:val="32"/>
          <w:szCs w:val="32"/>
          <w:highlight w:val="none"/>
          <w:lang w:val="en-US" w:eastAsia="zh-CN"/>
        </w:rPr>
        <w:t>优</w:t>
      </w:r>
      <w:r>
        <w:rPr>
          <w:rFonts w:hint="eastAsia" w:ascii="仿宋_GB2312" w:hAnsi="仿宋_GB2312" w:eastAsia="仿宋_GB2312" w:cs="仿宋_GB2312"/>
          <w:b w:val="0"/>
          <w:bCs w:val="0"/>
          <w:color w:val="000000"/>
          <w:kern w:val="0"/>
          <w:sz w:val="32"/>
          <w:szCs w:val="32"/>
          <w:highlight w:val="none"/>
          <w:lang w:val="en-US" w:eastAsia="zh-CN" w:bidi="ar-SA"/>
        </w:rPr>
        <w:t>。</w:t>
      </w:r>
    </w:p>
    <w:p w14:paraId="424A1E4E">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364BFED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根据年初设定的绩效目标，绩效自评得分为100分。全年预算数为3230.43万元，预算执行</w:t>
      </w:r>
      <w:r>
        <w:rPr>
          <w:rFonts w:hint="eastAsia" w:ascii="仿宋_GB2312" w:hAnsi="仿宋_GB2312" w:eastAsia="仿宋_GB2312" w:cs="仿宋_GB2312"/>
          <w:b w:val="0"/>
          <w:bCs w:val="0"/>
          <w:color w:val="000000"/>
          <w:kern w:val="0"/>
          <w:sz w:val="32"/>
          <w:szCs w:val="32"/>
          <w:highlight w:val="none"/>
          <w:lang w:val="en-US" w:eastAsia="zh-CN" w:bidi="ar-SA"/>
        </w:rPr>
        <w:t>数为</w:t>
      </w:r>
      <w:r>
        <w:rPr>
          <w:rFonts w:hint="eastAsia" w:ascii="Times New Roman" w:hAnsi="Times New Roman" w:eastAsia="仿宋_GB2312"/>
          <w:sz w:val="32"/>
          <w:szCs w:val="32"/>
          <w:highlight w:val="none"/>
        </w:rPr>
        <w:t>40</w:t>
      </w:r>
      <w:r>
        <w:rPr>
          <w:rFonts w:hint="eastAsia" w:ascii="Times New Roman" w:hAnsi="Times New Roman" w:eastAsia="仿宋_GB2312"/>
          <w:sz w:val="32"/>
          <w:szCs w:val="32"/>
          <w:highlight w:val="none"/>
          <w:lang w:val="en-US" w:eastAsia="zh-CN"/>
        </w:rPr>
        <w:t>79.75</w:t>
      </w:r>
      <w:r>
        <w:rPr>
          <w:rFonts w:hint="eastAsia" w:ascii="仿宋_GB2312" w:hAnsi="仿宋_GB2312" w:eastAsia="仿宋_GB2312" w:cs="仿宋_GB2312"/>
          <w:b w:val="0"/>
          <w:bCs w:val="0"/>
          <w:color w:val="000000"/>
          <w:kern w:val="0"/>
          <w:sz w:val="32"/>
          <w:szCs w:val="32"/>
          <w:highlight w:val="none"/>
          <w:lang w:val="en-US" w:eastAsia="zh-CN" w:bidi="ar-SA"/>
        </w:rPr>
        <w:t>万元，完成预算的126.29%。绩效目标完成情况：一是依法任免国家机关工作人员</w:t>
      </w:r>
      <w:r>
        <w:rPr>
          <w:rFonts w:hint="eastAsia" w:ascii="仿宋_GB2312" w:hAnsi="仿宋_GB2312" w:eastAsia="仿宋_GB2312" w:cs="仿宋_GB2312"/>
          <w:b w:val="0"/>
          <w:bCs w:val="0"/>
          <w:color w:val="000000"/>
          <w:kern w:val="0"/>
          <w:sz w:val="32"/>
          <w:szCs w:val="32"/>
          <w:lang w:val="en-US" w:eastAsia="zh-CN" w:bidi="ar-SA"/>
        </w:rPr>
        <w:t>77人次；二是成功召开了一次大会议；三是召开常委会会议8次、主任会议23次、常委会党组会18次，开展中心理论学习12次；四是颁行及制定地方性法规3部；五是听取和审议专项工作报告60项；六是组织开展集中视察2次、工作评议8项；七是推动9件重点督办建议得到有效落实，306件建议全部按时办结，邀请代表参加各类活动1200多次，让代表“热量”更足；八是受理群众来信来访136件312人次。</w:t>
      </w:r>
    </w:p>
    <w:p w14:paraId="7D53B287">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7304CA72">
      <w:pPr>
        <w:autoSpaceDE w:val="0"/>
        <w:autoSpaceDN w:val="0"/>
        <w:adjustRightInd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000000"/>
          <w:kern w:val="0"/>
          <w:sz w:val="32"/>
          <w:szCs w:val="32"/>
          <w:lang w:val="en-US" w:eastAsia="zh-CN" w:bidi="ar-SA"/>
        </w:rPr>
        <w:t>1、</w:t>
      </w:r>
      <w:bookmarkStart w:id="28" w:name="OLE_LINK19"/>
      <w:r>
        <w:rPr>
          <w:rFonts w:hint="eastAsia" w:ascii="仿宋_GB2312" w:hAnsi="仿宋_GB2312" w:eastAsia="仿宋_GB2312" w:cs="仿宋_GB2312"/>
          <w:b w:val="0"/>
          <w:bCs w:val="0"/>
          <w:color w:val="000000"/>
          <w:kern w:val="0"/>
          <w:sz w:val="32"/>
          <w:szCs w:val="32"/>
          <w:lang w:val="en-US" w:eastAsia="zh-CN" w:bidi="ar-SA"/>
        </w:rPr>
        <w:t>发现的主要问题及原因：</w:t>
      </w:r>
      <w:bookmarkEnd w:id="28"/>
      <w:r>
        <w:rPr>
          <w:rFonts w:hint="eastAsia" w:ascii="仿宋_GB2312" w:hAnsi="仿宋_GB2312" w:eastAsia="仿宋_GB2312" w:cs="仿宋_GB2312"/>
          <w:color w:val="auto"/>
          <w:sz w:val="32"/>
          <w:szCs w:val="32"/>
          <w:lang w:val="en-US" w:eastAsia="zh-CN"/>
        </w:rPr>
        <w:t>一是</w:t>
      </w:r>
      <w:r>
        <w:rPr>
          <w:rFonts w:hint="eastAsia" w:ascii="仿宋_GB2312" w:hAnsi="仿宋_GB2312" w:eastAsia="仿宋_GB2312" w:cs="仿宋_GB2312"/>
          <w:color w:val="auto"/>
          <w:sz w:val="32"/>
          <w:szCs w:val="32"/>
        </w:rPr>
        <w:t>组织保障尚待强化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人大机关党组十分重视绩效管理工作，按照财政局要求，根据年初绩效目标，定期跟踪测评单位整体绩效情况。但由于绩效工作专业性强等因素，缺少专业人员指导培训，虽能保障绩效工作的有序进行，但影响了绩效工作的时效性以及整体绩效评估的优质性。</w:t>
      </w:r>
      <w:r>
        <w:rPr>
          <w:rFonts w:hint="eastAsia" w:ascii="仿宋_GB2312" w:hAnsi="仿宋_GB2312" w:eastAsia="仿宋_GB2312" w:cs="仿宋_GB2312"/>
          <w:color w:val="auto"/>
          <w:sz w:val="32"/>
          <w:szCs w:val="32"/>
          <w:lang w:val="en-US" w:eastAsia="zh-CN"/>
        </w:rPr>
        <w:t>二是</w:t>
      </w:r>
      <w:r>
        <w:rPr>
          <w:rFonts w:hint="eastAsia" w:ascii="仿宋_GB2312" w:hAnsi="仿宋_GB2312" w:eastAsia="仿宋_GB2312" w:cs="仿宋_GB2312"/>
          <w:color w:val="auto"/>
          <w:sz w:val="32"/>
          <w:szCs w:val="32"/>
        </w:rPr>
        <w:t>制度体系尚待健全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市人大机关在绩效管理工作当中建立了一系列保障制度，但为了将绩效工作做精做细，还应更充分考虑各方因素，建立健全绩效管理机制体系。</w:t>
      </w:r>
      <w:r>
        <w:rPr>
          <w:rFonts w:hint="eastAsia" w:ascii="仿宋_GB2312" w:hAnsi="仿宋_GB2312" w:eastAsia="仿宋_GB2312" w:cs="仿宋_GB2312"/>
          <w:color w:val="auto"/>
          <w:sz w:val="32"/>
          <w:szCs w:val="32"/>
          <w:lang w:val="en-US" w:eastAsia="zh-CN"/>
        </w:rPr>
        <w:t>例：</w:t>
      </w:r>
      <w:r>
        <w:rPr>
          <w:rFonts w:hint="eastAsia" w:ascii="仿宋_GB2312" w:hAnsi="仿宋_GB2312" w:eastAsia="仿宋_GB2312" w:cs="仿宋_GB2312"/>
          <w:color w:val="auto"/>
          <w:sz w:val="32"/>
          <w:szCs w:val="32"/>
        </w:rPr>
        <w:t>需要逐步完善中介机构及专家参与绩效管理的相关措施。</w:t>
      </w:r>
      <w:r>
        <w:rPr>
          <w:rFonts w:hint="eastAsia" w:ascii="仿宋_GB2312" w:hAnsi="仿宋_GB2312" w:eastAsia="仿宋_GB2312" w:cs="仿宋_GB2312"/>
          <w:color w:val="auto"/>
          <w:sz w:val="32"/>
          <w:szCs w:val="32"/>
          <w:lang w:val="en-US" w:eastAsia="zh-CN"/>
        </w:rPr>
        <w:t>三是</w:t>
      </w:r>
      <w:r>
        <w:rPr>
          <w:rFonts w:hint="eastAsia" w:ascii="仿宋_GB2312" w:hAnsi="仿宋_GB2312" w:eastAsia="仿宋_GB2312" w:cs="仿宋_GB2312"/>
          <w:color w:val="auto"/>
          <w:sz w:val="32"/>
          <w:szCs w:val="32"/>
        </w:rPr>
        <w:t>预算管理尚待完善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尽管制定了一系列管理制度来保障预算工作的正常运行，但在实际工作当中仍避免不了出现一些资金拨付滞后等现象。</w:t>
      </w:r>
    </w:p>
    <w:p w14:paraId="3EA18C90">
      <w:pPr>
        <w:autoSpaceDE w:val="0"/>
        <w:autoSpaceDN w:val="0"/>
        <w:adjustRightInd w:val="0"/>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b w:val="0"/>
          <w:bCs w:val="0"/>
          <w:color w:val="000000"/>
          <w:kern w:val="0"/>
          <w:sz w:val="32"/>
          <w:szCs w:val="32"/>
          <w:lang w:val="en-US" w:eastAsia="zh-CN" w:bidi="ar-SA"/>
        </w:rPr>
        <w:t>下一步改进措施：</w:t>
      </w:r>
      <w:r>
        <w:rPr>
          <w:rFonts w:hint="eastAsia" w:ascii="仿宋_GB2312" w:hAnsi="仿宋_GB2312" w:eastAsia="仿宋_GB2312" w:cs="仿宋_GB2312"/>
          <w:color w:val="auto"/>
          <w:sz w:val="32"/>
          <w:szCs w:val="32"/>
          <w:lang w:val="en-US" w:eastAsia="zh-CN"/>
        </w:rPr>
        <w:t>一是强化财务管理，把住审核关口。严格执行财务管理制度，规范支出审核，严防经费超支，进一步促进财务管理法制化、科学化、合理化。二是强化专业技能，提升履职素养。加强业务培训，开展继续教育，及时了解和掌握最新财经法规，开阔视野，更新知识，提高工作能力和水平,确保绩效建设工作扎实深入开展。三是完善绩效管理，推进制度建设。不断巩固、完善和发展好绩效管理工作制度建设体系，坚持与时俱进，坚持开拓创新，抓好勤政制度与廉政制度的建设。从管理薄弱环节和制度漏洞入手，有针对性地建立健全规章制度，加强对制度执行情况的监督检查，严肃处理违反制度的行为，确保制度管人、管财、管物机制的运用。</w:t>
      </w:r>
    </w:p>
    <w:p w14:paraId="37E2A3A0">
      <w:pPr>
        <w:autoSpaceDE w:val="0"/>
        <w:autoSpaceDN w:val="0"/>
        <w:adjustRightInd w:val="0"/>
        <w:ind w:firstLine="640" w:firstLineChars="200"/>
        <w:jc w:val="left"/>
        <w:rPr>
          <w:sz w:val="72"/>
          <w:szCs w:val="72"/>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14:paraId="1F173B05">
      <w:pPr>
        <w:pStyle w:val="14"/>
        <w:jc w:val="center"/>
        <w:rPr>
          <w:rFonts w:hint="eastAsia" w:ascii="方正小标宋_GBK" w:hAnsi="方正小标宋_GBK" w:eastAsia="方正小标宋_GBK" w:cs="方正小标宋_GBK"/>
          <w:sz w:val="70"/>
          <w:szCs w:val="70"/>
          <w:lang w:eastAsia="zh-CN"/>
        </w:rPr>
      </w:pPr>
    </w:p>
    <w:p w14:paraId="1FF49F8D">
      <w:pPr>
        <w:pStyle w:val="14"/>
        <w:jc w:val="center"/>
        <w:rPr>
          <w:rFonts w:hint="eastAsia" w:ascii="方正小标宋_GBK" w:hAnsi="方正小标宋_GBK" w:eastAsia="方正小标宋_GBK" w:cs="方正小标宋_GBK"/>
          <w:sz w:val="70"/>
          <w:szCs w:val="70"/>
          <w:lang w:eastAsia="zh-CN"/>
        </w:rPr>
      </w:pPr>
    </w:p>
    <w:p w14:paraId="360F92F8">
      <w:pPr>
        <w:pStyle w:val="14"/>
        <w:jc w:val="center"/>
        <w:rPr>
          <w:rFonts w:hint="eastAsia" w:ascii="方正小标宋_GBK" w:hAnsi="方正小标宋_GBK" w:eastAsia="方正小标宋_GBK" w:cs="方正小标宋_GBK"/>
          <w:sz w:val="72"/>
          <w:szCs w:val="72"/>
        </w:rPr>
      </w:pPr>
    </w:p>
    <w:p w14:paraId="145201F2">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7A3EECF5">
      <w:pPr>
        <w:jc w:val="center"/>
        <w:rPr>
          <w:rFonts w:hint="eastAsia" w:ascii="方正小标宋_GBK" w:hAnsi="方正小标宋_GBK" w:eastAsia="方正小标宋_GBK" w:cs="方正小标宋_GBK"/>
          <w:color w:val="000000"/>
          <w:kern w:val="0"/>
          <w:sz w:val="70"/>
          <w:szCs w:val="70"/>
        </w:rPr>
      </w:pPr>
    </w:p>
    <w:p w14:paraId="356E8F42">
      <w:pPr>
        <w:pStyle w:val="14"/>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14:paraId="1D8F06D5">
      <w:pPr>
        <w:pStyle w:val="8"/>
      </w:pPr>
    </w:p>
    <w:p w14:paraId="4D06A740">
      <w:pPr>
        <w:pStyle w:val="4"/>
      </w:pPr>
    </w:p>
    <w:p w14:paraId="09996D38"/>
    <w:p w14:paraId="47AB4CBA">
      <w:pPr>
        <w:pStyle w:val="8"/>
      </w:pPr>
    </w:p>
    <w:p w14:paraId="21B18536">
      <w:pPr>
        <w:pStyle w:val="4"/>
      </w:pPr>
    </w:p>
    <w:p w14:paraId="7B58A054"/>
    <w:p w14:paraId="3E70202D">
      <w:pPr>
        <w:pStyle w:val="8"/>
      </w:pPr>
    </w:p>
    <w:p w14:paraId="2F245071">
      <w:pPr>
        <w:pStyle w:val="4"/>
      </w:pPr>
    </w:p>
    <w:p w14:paraId="1D80719C"/>
    <w:p w14:paraId="6BF89DCF">
      <w:pPr>
        <w:pStyle w:val="8"/>
      </w:pPr>
    </w:p>
    <w:p w14:paraId="0BC206E2">
      <w:pPr>
        <w:pStyle w:val="4"/>
      </w:pPr>
    </w:p>
    <w:p w14:paraId="7A8652FC"/>
    <w:p w14:paraId="7D2AA1A2">
      <w:pPr>
        <w:pStyle w:val="8"/>
      </w:pPr>
    </w:p>
    <w:p w14:paraId="21345594">
      <w:pPr>
        <w:pStyle w:val="4"/>
      </w:pPr>
    </w:p>
    <w:p w14:paraId="20F7B4C4"/>
    <w:p w14:paraId="5C432B18">
      <w:pPr>
        <w:pStyle w:val="8"/>
      </w:pPr>
    </w:p>
    <w:p w14:paraId="189823B7">
      <w:pPr>
        <w:pStyle w:val="4"/>
      </w:pPr>
    </w:p>
    <w:p w14:paraId="4BDD6815"/>
    <w:p w14:paraId="0DDB3CF1">
      <w:pPr>
        <w:pStyle w:val="8"/>
      </w:pPr>
    </w:p>
    <w:p w14:paraId="1DCD040B">
      <w:pPr>
        <w:pStyle w:val="4"/>
      </w:pPr>
    </w:p>
    <w:p w14:paraId="5048215F"/>
    <w:p w14:paraId="2F2D14B0">
      <w:pPr>
        <w:pStyle w:val="8"/>
      </w:pPr>
    </w:p>
    <w:p w14:paraId="5D8C18F5">
      <w:pPr>
        <w:pStyle w:val="4"/>
      </w:pPr>
    </w:p>
    <w:p w14:paraId="74919CE1">
      <w:pPr>
        <w:pStyle w:val="8"/>
      </w:pPr>
    </w:p>
    <w:p w14:paraId="03461822">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1258462D">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14:paraId="6DF08DF4">
      <w:pPr>
        <w:pStyle w:val="14"/>
        <w:ind w:firstLine="640" w:firstLineChars="200"/>
        <w:rPr>
          <w:rFonts w:hint="eastAsia" w:ascii="宋体" w:hAnsi="宋体" w:eastAsia="宋体" w:cs="黑体"/>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三、一般公共服务支出(类)人大事务(款)：指市人大行政单位用于保障机构正常运行，开展日常工作的基本支出；召开市人民代表大会等专门会议的支出；开展立法工作方面的支出；开展监督工作的支出；市人大代表开展各类视察等方面的支出等。</w:t>
      </w:r>
    </w:p>
    <w:p w14:paraId="5EF6B37B">
      <w:pPr>
        <w:ind w:firstLine="640" w:firstLineChars="200"/>
        <w:jc w:val="left"/>
        <w:rPr>
          <w:rFonts w:hint="eastAsia" w:ascii="仿宋_GB2312" w:hAnsi="仿宋_GB2312" w:eastAsia="仿宋_GB2312" w:cs="仿宋_GB2312"/>
          <w:color w:val="000000"/>
          <w:kern w:val="0"/>
          <w:sz w:val="32"/>
          <w:szCs w:val="32"/>
          <w:lang w:eastAsia="zh-CN"/>
        </w:rPr>
      </w:pPr>
    </w:p>
    <w:p w14:paraId="73A47FB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bCs/>
          <w:i/>
          <w:color w:val="FF0000"/>
          <w:kern w:val="0"/>
          <w:sz w:val="32"/>
          <w:szCs w:val="32"/>
          <w:lang w:val="en-US" w:eastAsia="zh-CN" w:bidi="ar-SA"/>
        </w:rPr>
      </w:pPr>
    </w:p>
    <w:p w14:paraId="4EE2DCC5">
      <w:pPr>
        <w:pStyle w:val="14"/>
        <w:jc w:val="center"/>
        <w:rPr>
          <w:rFonts w:hint="eastAsia" w:ascii="仿宋_GB2312" w:hAnsi="仿宋_GB2312" w:eastAsia="仿宋_GB2312" w:cs="仿宋_GB2312"/>
          <w:sz w:val="32"/>
          <w:szCs w:val="32"/>
        </w:rPr>
      </w:pPr>
    </w:p>
    <w:p w14:paraId="59B3D20F">
      <w:pPr>
        <w:pStyle w:val="4"/>
      </w:pPr>
    </w:p>
    <w:p w14:paraId="09D9F9C1"/>
    <w:p w14:paraId="226F46E1">
      <w:pPr>
        <w:pStyle w:val="8"/>
      </w:pPr>
    </w:p>
    <w:p w14:paraId="57CDFC6A">
      <w:pPr>
        <w:pStyle w:val="4"/>
      </w:pPr>
    </w:p>
    <w:p w14:paraId="1ECD689E"/>
    <w:p w14:paraId="539CCB49">
      <w:pPr>
        <w:pStyle w:val="8"/>
      </w:pPr>
    </w:p>
    <w:p w14:paraId="0422F284">
      <w:pPr>
        <w:pStyle w:val="4"/>
      </w:pPr>
    </w:p>
    <w:p w14:paraId="1914C1EA"/>
    <w:p w14:paraId="3B43E7F8">
      <w:pPr>
        <w:pStyle w:val="8"/>
      </w:pPr>
    </w:p>
    <w:p w14:paraId="25B0879F">
      <w:pPr>
        <w:pStyle w:val="4"/>
      </w:pPr>
    </w:p>
    <w:p w14:paraId="192331C2"/>
    <w:p w14:paraId="5334C34E">
      <w:pPr>
        <w:pStyle w:val="8"/>
      </w:pPr>
    </w:p>
    <w:p w14:paraId="0829315C">
      <w:pPr>
        <w:pStyle w:val="4"/>
      </w:pPr>
    </w:p>
    <w:p w14:paraId="70398168"/>
    <w:p w14:paraId="47222903">
      <w:pPr>
        <w:pStyle w:val="8"/>
      </w:pPr>
    </w:p>
    <w:p w14:paraId="151ADB4B">
      <w:pPr>
        <w:pStyle w:val="4"/>
      </w:pPr>
    </w:p>
    <w:p w14:paraId="6E57DA7B">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7F9B2E89">
      <w:pPr>
        <w:pStyle w:val="14"/>
        <w:jc w:val="both"/>
        <w:rPr>
          <w:rFonts w:hint="eastAsia" w:ascii="方正小标宋_GBK" w:hAnsi="方正小标宋_GBK" w:eastAsia="方正小标宋_GBK" w:cs="方正小标宋_GBK"/>
          <w:sz w:val="70"/>
          <w:szCs w:val="70"/>
          <w:lang w:eastAsia="zh-CN"/>
        </w:rPr>
      </w:pPr>
    </w:p>
    <w:p w14:paraId="6EAB22CF">
      <w:pPr>
        <w:pStyle w:val="14"/>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53AEE5F6">
      <w:pPr>
        <w:ind w:firstLine="640" w:firstLineChars="200"/>
        <w:jc w:val="left"/>
        <w:rPr>
          <w:rFonts w:hint="eastAsia" w:ascii="宋体" w:hAnsi="宋体" w:eastAsia="宋体" w:cs="黑体"/>
          <w:b/>
          <w:color w:val="000000"/>
          <w:kern w:val="0"/>
          <w:sz w:val="32"/>
          <w:szCs w:val="32"/>
          <w:lang w:val="en-US" w:eastAsia="zh-CN"/>
        </w:rPr>
      </w:pPr>
    </w:p>
    <w:p w14:paraId="1F086726">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14:paraId="3DBF6C99">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w:t>
      </w:r>
      <w:r>
        <w:rPr>
          <w:rFonts w:hint="eastAsia" w:ascii="宋体" w:hAnsi="宋体" w:eastAsia="宋体" w:cs="黑体"/>
          <w:b/>
          <w:color w:val="000000"/>
          <w:kern w:val="0"/>
          <w:sz w:val="32"/>
          <w:szCs w:val="32"/>
          <w:lang w:eastAsia="zh-CN"/>
        </w:rPr>
        <w:t>（</w:t>
      </w:r>
      <w:r>
        <w:rPr>
          <w:rFonts w:hint="eastAsia" w:ascii="宋体" w:hAnsi="宋体" w:eastAsia="宋体" w:cs="黑体"/>
          <w:b/>
          <w:color w:val="000000"/>
          <w:kern w:val="0"/>
          <w:sz w:val="32"/>
          <w:szCs w:val="32"/>
          <w:lang w:val="en-US" w:eastAsia="zh-CN"/>
        </w:rPr>
        <w:t>项目）</w:t>
      </w:r>
      <w:r>
        <w:rPr>
          <w:rFonts w:hint="eastAsia" w:ascii="宋体" w:hAnsi="宋体" w:eastAsia="宋体" w:cs="黑体"/>
          <w:b/>
          <w:color w:val="000000"/>
          <w:kern w:val="0"/>
          <w:sz w:val="32"/>
          <w:szCs w:val="32"/>
        </w:rPr>
        <w:t>支出绩效评价报告</w:t>
      </w:r>
    </w:p>
    <w:p w14:paraId="59343D11"/>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F70E4B"/>
    <w:multiLevelType w:val="singleLevel"/>
    <w:tmpl w:val="A4F70E4B"/>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NjQ2YjcxNTk4YzM0Y2U0Mjk0MzE1OTVjZTA4YWY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4001AC"/>
    <w:rsid w:val="050E015C"/>
    <w:rsid w:val="059958AD"/>
    <w:rsid w:val="0DC6716D"/>
    <w:rsid w:val="0DDC125D"/>
    <w:rsid w:val="0EF05C49"/>
    <w:rsid w:val="0F473153"/>
    <w:rsid w:val="120F0147"/>
    <w:rsid w:val="12583BA5"/>
    <w:rsid w:val="13BA5B9C"/>
    <w:rsid w:val="15934EB2"/>
    <w:rsid w:val="1C326ECF"/>
    <w:rsid w:val="1CF77E61"/>
    <w:rsid w:val="1D97DEFF"/>
    <w:rsid w:val="1DFF72E5"/>
    <w:rsid w:val="1E8C45D9"/>
    <w:rsid w:val="1EEB54F0"/>
    <w:rsid w:val="1EFC6F07"/>
    <w:rsid w:val="212A125B"/>
    <w:rsid w:val="22AC03C2"/>
    <w:rsid w:val="23592757"/>
    <w:rsid w:val="236463EB"/>
    <w:rsid w:val="25C244ED"/>
    <w:rsid w:val="263A6ABE"/>
    <w:rsid w:val="26A821CC"/>
    <w:rsid w:val="2B506592"/>
    <w:rsid w:val="2DD32F86"/>
    <w:rsid w:val="2F470BEB"/>
    <w:rsid w:val="2FDF85B8"/>
    <w:rsid w:val="2FFFEE04"/>
    <w:rsid w:val="31525521"/>
    <w:rsid w:val="31C95635"/>
    <w:rsid w:val="337B2082"/>
    <w:rsid w:val="338B45BF"/>
    <w:rsid w:val="346F60D7"/>
    <w:rsid w:val="34DF85B0"/>
    <w:rsid w:val="367E3F51"/>
    <w:rsid w:val="3B8F36BC"/>
    <w:rsid w:val="3C52137E"/>
    <w:rsid w:val="3CE60F00"/>
    <w:rsid w:val="4081789B"/>
    <w:rsid w:val="42815953"/>
    <w:rsid w:val="43D4331E"/>
    <w:rsid w:val="46EE37D3"/>
    <w:rsid w:val="491FF225"/>
    <w:rsid w:val="4A353E64"/>
    <w:rsid w:val="4C435841"/>
    <w:rsid w:val="4E0C2DCD"/>
    <w:rsid w:val="4FED6BF6"/>
    <w:rsid w:val="4FF82FCD"/>
    <w:rsid w:val="4FFD214C"/>
    <w:rsid w:val="50A849F3"/>
    <w:rsid w:val="525A1D1D"/>
    <w:rsid w:val="5352765A"/>
    <w:rsid w:val="54215765"/>
    <w:rsid w:val="5777D4F5"/>
    <w:rsid w:val="592561E5"/>
    <w:rsid w:val="59DD8326"/>
    <w:rsid w:val="5CA45D13"/>
    <w:rsid w:val="5DEF592A"/>
    <w:rsid w:val="5FC6BB1E"/>
    <w:rsid w:val="5FF720F1"/>
    <w:rsid w:val="6113238F"/>
    <w:rsid w:val="63CD05A1"/>
    <w:rsid w:val="65B8532E"/>
    <w:rsid w:val="677B609E"/>
    <w:rsid w:val="67FF5C0B"/>
    <w:rsid w:val="6BAA4A2F"/>
    <w:rsid w:val="6BEA1B48"/>
    <w:rsid w:val="6EA97E5C"/>
    <w:rsid w:val="6EC72888"/>
    <w:rsid w:val="6EFC0924"/>
    <w:rsid w:val="6FB74722"/>
    <w:rsid w:val="6FEF8B7E"/>
    <w:rsid w:val="70BE476A"/>
    <w:rsid w:val="70D5220F"/>
    <w:rsid w:val="71A6591B"/>
    <w:rsid w:val="73346738"/>
    <w:rsid w:val="737D59BA"/>
    <w:rsid w:val="737F32B1"/>
    <w:rsid w:val="74755D42"/>
    <w:rsid w:val="76676A98"/>
    <w:rsid w:val="77C37683"/>
    <w:rsid w:val="79F301DD"/>
    <w:rsid w:val="79FF515B"/>
    <w:rsid w:val="7E365FF5"/>
    <w:rsid w:val="7E9E1962"/>
    <w:rsid w:val="7E9F11B4"/>
    <w:rsid w:val="7F37EC1E"/>
    <w:rsid w:val="7F4514DB"/>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99"/>
    <w:pPr>
      <w:spacing w:before="120" w:after="200" w:line="276" w:lineRule="auto"/>
    </w:pPr>
    <w:rPr>
      <w:rFonts w:ascii="Arial" w:hAnsi="Arial"/>
      <w:sz w:val="24"/>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paragraph" w:styleId="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5"/>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 w:type="character" w:customStyle="1" w:styleId="20">
    <w:name w:val="apple-converted-spac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8421</Words>
  <Characters>9247</Characters>
  <Lines>63</Lines>
  <Paragraphs>18</Paragraphs>
  <TotalTime>30</TotalTime>
  <ScaleCrop>false</ScaleCrop>
  <LinksUpToDate>false</LinksUpToDate>
  <CharactersWithSpaces>9268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2024-09-19T07:58:17Z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98623D6660B449428EB8E073C6C952EA</vt:lpwstr>
  </property>
</Properties>
</file>