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rFonts w:hint="default" w:ascii="Times New Roman" w:hAnsi="Times New Roman" w:cs="Times New Roman"/>
          <w:sz w:val="56"/>
          <w:szCs w:val="56"/>
        </w:rPr>
      </w:pPr>
    </w:p>
    <w:p>
      <w:pPr>
        <w:pStyle w:val="13"/>
        <w:jc w:val="center"/>
        <w:rPr>
          <w:rFonts w:hint="default" w:ascii="Times New Roman" w:hAnsi="Times New Roman" w:cs="Times New Roman"/>
          <w:sz w:val="56"/>
          <w:szCs w:val="56"/>
        </w:rPr>
      </w:pPr>
    </w:p>
    <w:p>
      <w:pPr>
        <w:pStyle w:val="13"/>
        <w:jc w:val="center"/>
        <w:rPr>
          <w:rFonts w:hint="default" w:ascii="Times New Roman" w:hAnsi="Times New Roman" w:cs="Times New Roman"/>
          <w:sz w:val="84"/>
          <w:szCs w:val="84"/>
        </w:rPr>
      </w:pPr>
    </w:p>
    <w:p>
      <w:pPr>
        <w:pStyle w:val="13"/>
        <w:jc w:val="center"/>
        <w:rPr>
          <w:rFonts w:hint="default" w:ascii="Times New Roman" w:hAnsi="Times New Roman" w:cs="Times New Roman"/>
          <w:sz w:val="84"/>
          <w:szCs w:val="84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84"/>
          <w:szCs w:val="84"/>
        </w:rPr>
      </w:pPr>
      <w:r>
        <w:rPr>
          <w:rFonts w:hint="default" w:ascii="Times New Roman" w:hAnsi="Times New Roman" w:eastAsia="方正小标宋_GBK" w:cs="Times New Roman"/>
          <w:sz w:val="84"/>
          <w:szCs w:val="84"/>
        </w:rPr>
        <w:t>202</w:t>
      </w:r>
      <w:r>
        <w:rPr>
          <w:rFonts w:hint="default" w:ascii="Times New Roman" w:hAnsi="Times New Roman" w:eastAsia="方正小标宋_GBK" w:cs="Times New Roman"/>
          <w:sz w:val="84"/>
          <w:szCs w:val="8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84"/>
          <w:szCs w:val="84"/>
        </w:rPr>
        <w:t>年度</w:t>
      </w: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84"/>
          <w:szCs w:val="84"/>
        </w:rPr>
      </w:pPr>
      <w:r>
        <w:rPr>
          <w:rFonts w:hint="default" w:ascii="Times New Roman" w:hAnsi="Times New Roman" w:eastAsia="方正小标宋_GBK" w:cs="Times New Roman"/>
          <w:sz w:val="84"/>
          <w:szCs w:val="84"/>
          <w:lang w:eastAsia="zh-CN"/>
        </w:rPr>
        <w:t>岳阳市政协</w:t>
      </w:r>
      <w:r>
        <w:rPr>
          <w:rFonts w:hint="default" w:ascii="Times New Roman" w:hAnsi="Times New Roman" w:eastAsia="方正小标宋_GBK" w:cs="Times New Roman"/>
          <w:sz w:val="84"/>
          <w:szCs w:val="84"/>
        </w:rPr>
        <w:t>部门决算</w:t>
      </w: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56"/>
          <w:szCs w:val="56"/>
        </w:rPr>
      </w:pPr>
    </w:p>
    <w:p>
      <w:pPr>
        <w:pStyle w:val="13"/>
        <w:jc w:val="center"/>
        <w:rPr>
          <w:rFonts w:hint="default" w:ascii="Times New Roman" w:hAnsi="Times New Roman" w:cs="Times New Roman"/>
          <w:sz w:val="56"/>
          <w:szCs w:val="56"/>
        </w:rPr>
      </w:pPr>
    </w:p>
    <w:p>
      <w:pPr>
        <w:pStyle w:val="13"/>
        <w:jc w:val="center"/>
        <w:rPr>
          <w:rFonts w:hint="default" w:ascii="Times New Roman" w:hAnsi="Times New Roman" w:cs="Times New Roman"/>
          <w:sz w:val="56"/>
          <w:szCs w:val="56"/>
        </w:rPr>
      </w:pPr>
    </w:p>
    <w:p>
      <w:pPr>
        <w:pStyle w:val="13"/>
        <w:jc w:val="center"/>
        <w:rPr>
          <w:rFonts w:hint="default" w:ascii="Times New Roman" w:hAnsi="Times New Roman" w:cs="Times New Roman"/>
          <w:sz w:val="56"/>
          <w:szCs w:val="56"/>
        </w:rPr>
      </w:pPr>
    </w:p>
    <w:p>
      <w:pPr>
        <w:pStyle w:val="13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13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13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13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13"/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13"/>
        <w:spacing w:line="540" w:lineRule="exact"/>
        <w:jc w:val="center"/>
        <w:rPr>
          <w:rFonts w:hint="default" w:ascii="Times New Roman" w:hAnsi="Times New Roman" w:cs="Times New Roman"/>
          <w:sz w:val="56"/>
          <w:szCs w:val="56"/>
        </w:rPr>
      </w:pPr>
    </w:p>
    <w:p>
      <w:pPr>
        <w:pStyle w:val="13"/>
        <w:spacing w:line="500" w:lineRule="exact"/>
        <w:jc w:val="both"/>
        <w:rPr>
          <w:rFonts w:hint="default" w:ascii="Times New Roman" w:hAnsi="Times New Roman" w:cs="Times New Roman"/>
          <w:b/>
          <w:sz w:val="36"/>
          <w:szCs w:val="28"/>
        </w:rPr>
      </w:pPr>
    </w:p>
    <w:p>
      <w:pPr>
        <w:pStyle w:val="13"/>
        <w:spacing w:line="500" w:lineRule="exact"/>
        <w:jc w:val="center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36"/>
          <w:szCs w:val="28"/>
        </w:rPr>
        <w:t>目录</w:t>
      </w:r>
    </w:p>
    <w:p>
      <w:pPr>
        <w:pStyle w:val="13"/>
        <w:spacing w:line="500" w:lineRule="exact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第一部分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XX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部门（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单位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概况</w:t>
      </w:r>
    </w:p>
    <w:p>
      <w:pPr>
        <w:pStyle w:val="13"/>
        <w:spacing w:line="500" w:lineRule="exact"/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一、部门职责</w:t>
      </w:r>
    </w:p>
    <w:p>
      <w:pPr>
        <w:pStyle w:val="13"/>
        <w:spacing w:line="500" w:lineRule="exact"/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二、机构设置</w:t>
      </w:r>
    </w:p>
    <w:p>
      <w:pPr>
        <w:pStyle w:val="13"/>
        <w:spacing w:line="500" w:lineRule="exact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第二部分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部门决算表</w:t>
      </w:r>
    </w:p>
    <w:p>
      <w:pPr>
        <w:pStyle w:val="13"/>
        <w:spacing w:line="500" w:lineRule="exact"/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一、收入支出决算总表</w:t>
      </w:r>
    </w:p>
    <w:p>
      <w:pPr>
        <w:pStyle w:val="13"/>
        <w:spacing w:line="500" w:lineRule="exact"/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二、收入决算表</w:t>
      </w:r>
    </w:p>
    <w:p>
      <w:pPr>
        <w:pStyle w:val="13"/>
        <w:spacing w:line="500" w:lineRule="exact"/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三、支出决算表</w:t>
      </w:r>
    </w:p>
    <w:p>
      <w:pPr>
        <w:pStyle w:val="13"/>
        <w:spacing w:line="500" w:lineRule="exact"/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四、财政拨款收入支出决算总表</w:t>
      </w:r>
    </w:p>
    <w:p>
      <w:pPr>
        <w:pStyle w:val="13"/>
        <w:spacing w:line="500" w:lineRule="exact"/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五、一般公共预算财政拨款支出决算表</w:t>
      </w:r>
    </w:p>
    <w:p>
      <w:pPr>
        <w:pStyle w:val="13"/>
        <w:spacing w:line="500" w:lineRule="exact"/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六、一般公共预算财政拨款基本支出决算明细表</w:t>
      </w:r>
    </w:p>
    <w:p>
      <w:pPr>
        <w:pStyle w:val="13"/>
        <w:spacing w:line="500" w:lineRule="exact"/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七、政府性基金预算财政拨款收入支出决算表</w:t>
      </w:r>
    </w:p>
    <w:p>
      <w:pPr>
        <w:pStyle w:val="13"/>
        <w:spacing w:line="500" w:lineRule="exact"/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八、国有资本经营预算财政拨款支出决算表</w:t>
      </w:r>
    </w:p>
    <w:p>
      <w:pPr>
        <w:pStyle w:val="13"/>
        <w:spacing w:line="500" w:lineRule="exact"/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九、财政拨款“三公”经费支出决算表</w:t>
      </w:r>
    </w:p>
    <w:p>
      <w:pPr>
        <w:pStyle w:val="13"/>
        <w:spacing w:line="500" w:lineRule="exact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第三部分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部门决算情况说明</w:t>
      </w:r>
    </w:p>
    <w:p>
      <w:pPr>
        <w:pStyle w:val="13"/>
        <w:spacing w:line="500" w:lineRule="exact"/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七、政府性基金预算收入支出决算情况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八、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国有资本经营预算财政拨款支出决算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九、财政拨款三公经费支出决算情况说明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十、关于机关运行经费支出说明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十一、一般性支出情况说明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十二、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关于政府采购支出说明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firstLine="700" w:firstLineChars="25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十三、关于国有资产占用情况说明</w:t>
      </w:r>
    </w:p>
    <w:p>
      <w:pPr>
        <w:pStyle w:val="13"/>
        <w:spacing w:line="500" w:lineRule="exact"/>
        <w:ind w:firstLine="700" w:firstLineChars="25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十四、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关于202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年度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绩效情况的说明</w:t>
      </w:r>
    </w:p>
    <w:p>
      <w:pPr>
        <w:pStyle w:val="13"/>
        <w:spacing w:line="500" w:lineRule="exact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第四部分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名词解释</w:t>
      </w:r>
    </w:p>
    <w:p>
      <w:pPr>
        <w:pStyle w:val="13"/>
        <w:spacing w:line="500" w:lineRule="exac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第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  <w:t>部分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eastAsia="zh-CN"/>
        </w:rPr>
        <w:t>附件</w:t>
      </w: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84"/>
          <w:szCs w:val="84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84"/>
          <w:szCs w:val="84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84"/>
          <w:szCs w:val="84"/>
        </w:rPr>
      </w:pPr>
      <w:r>
        <w:rPr>
          <w:rFonts w:hint="default" w:ascii="Times New Roman" w:hAnsi="Times New Roman" w:eastAsia="方正小标宋_GBK" w:cs="Times New Roman"/>
          <w:sz w:val="84"/>
          <w:szCs w:val="84"/>
        </w:rPr>
        <w:t xml:space="preserve">第一部分 </w:t>
      </w: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84"/>
          <w:szCs w:val="8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84"/>
          <w:szCs w:val="84"/>
        </w:rPr>
      </w:pPr>
      <w:r>
        <w:rPr>
          <w:rFonts w:hint="default" w:ascii="Times New Roman" w:hAnsi="Times New Roman" w:eastAsia="方正小标宋_GBK" w:cs="Times New Roman"/>
          <w:sz w:val="84"/>
          <w:szCs w:val="84"/>
          <w:lang w:eastAsia="zh-CN"/>
        </w:rPr>
        <w:t>岳阳市政协机关</w:t>
      </w:r>
      <w:r>
        <w:rPr>
          <w:rFonts w:hint="default" w:ascii="Times New Roman" w:hAnsi="Times New Roman" w:eastAsia="方正小标宋_GBK" w:cs="Times New Roman"/>
          <w:sz w:val="84"/>
          <w:szCs w:val="84"/>
        </w:rPr>
        <w:t>概况</w:t>
      </w:r>
    </w:p>
    <w:p>
      <w:pPr>
        <w:pStyle w:val="7"/>
        <w:rPr>
          <w:rFonts w:hint="default" w:ascii="Times New Roman" w:hAnsi="Times New Roman" w:eastAsia="方正小标宋_GBK" w:cs="Times New Roman"/>
          <w:sz w:val="84"/>
          <w:szCs w:val="84"/>
        </w:rPr>
      </w:pPr>
    </w:p>
    <w:p>
      <w:pPr>
        <w:pStyle w:val="4"/>
        <w:rPr>
          <w:rFonts w:hint="default" w:ascii="Times New Roman" w:hAnsi="Times New Roman" w:eastAsia="方正小标宋_GBK" w:cs="Times New Roman"/>
          <w:sz w:val="84"/>
          <w:szCs w:val="84"/>
        </w:rPr>
      </w:pPr>
    </w:p>
    <w:p>
      <w:pPr>
        <w:rPr>
          <w:rFonts w:hint="default" w:ascii="Times New Roman" w:hAnsi="Times New Roman" w:eastAsia="方正小标宋_GBK" w:cs="Times New Roman"/>
          <w:sz w:val="84"/>
          <w:szCs w:val="84"/>
        </w:rPr>
      </w:pPr>
    </w:p>
    <w:p>
      <w:pPr>
        <w:pStyle w:val="7"/>
        <w:rPr>
          <w:rFonts w:hint="default" w:ascii="Times New Roman" w:hAnsi="Times New Roman" w:eastAsia="方正小标宋_GBK" w:cs="Times New Roman"/>
          <w:sz w:val="84"/>
          <w:szCs w:val="84"/>
        </w:rPr>
      </w:pPr>
    </w:p>
    <w:p>
      <w:pPr>
        <w:pStyle w:val="4"/>
        <w:rPr>
          <w:rFonts w:hint="default" w:ascii="Times New Roman" w:hAnsi="Times New Roman" w:eastAsia="方正小标宋_GBK" w:cs="Times New Roman"/>
          <w:sz w:val="84"/>
          <w:szCs w:val="84"/>
        </w:rPr>
      </w:pPr>
    </w:p>
    <w:p>
      <w:pPr>
        <w:pStyle w:val="14"/>
        <w:numPr>
          <w:ilvl w:val="0"/>
          <w:numId w:val="0"/>
        </w:numPr>
        <w:ind w:leftChars="0"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部门职责</w:t>
      </w:r>
    </w:p>
    <w:p>
      <w:pPr>
        <w:pStyle w:val="8"/>
        <w:widowControl/>
        <w:spacing w:before="0" w:beforeLines="0" w:after="0" w:afterLines="0" w:line="645" w:lineRule="atLeast"/>
        <w:ind w:firstLine="645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（一）负责组织实施政协章程规定的任务和全国政协、湖南省政协所作的决议，履行政治协商、民主监督和参政议政的职能。</w:t>
      </w:r>
    </w:p>
    <w:p>
      <w:pPr>
        <w:pStyle w:val="8"/>
        <w:widowControl/>
        <w:spacing w:before="0" w:beforeLines="0" w:after="0" w:afterLines="0" w:line="645" w:lineRule="atLeast"/>
        <w:ind w:firstLine="645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（二）负责市政协全体委员会议、常务委员会议、主席会议、专题议政性常委会议的会务工作。组织实施市政协全体委员会议、常务委员会议、主席会议的决议、决定。</w:t>
      </w:r>
    </w:p>
    <w:p>
      <w:pPr>
        <w:pStyle w:val="8"/>
        <w:widowControl/>
        <w:spacing w:before="0" w:beforeLines="0" w:after="0" w:afterLines="0" w:line="645" w:lineRule="atLeast"/>
        <w:ind w:firstLine="645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（三）负责会同市委办、市政府办制订年度调研协商监督计划。</w:t>
      </w:r>
    </w:p>
    <w:p>
      <w:pPr>
        <w:pStyle w:val="8"/>
        <w:widowControl/>
        <w:spacing w:before="0" w:beforeLines="0" w:after="0" w:afterLines="0" w:line="645" w:lineRule="atLeast"/>
        <w:ind w:firstLine="645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（四）整理、报送政协组织和委员履行职能形成的调研报告、视察报告、大会发言、建议案；收集反映社情民意，处理政协委员和人民群众的来信来访。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      （五）研究统一战线和人民政协的理论、政策，提出人民政协履行职能的工作建议，总结地方政协的工作经验；协调和组织市政协的对内对外宣传工作。</w:t>
      </w:r>
    </w:p>
    <w:p>
      <w:pPr>
        <w:pStyle w:val="8"/>
        <w:widowControl/>
        <w:spacing w:before="0" w:beforeLines="0" w:after="0" w:afterLines="0" w:line="645" w:lineRule="atLeast"/>
        <w:ind w:firstLine="480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（六）负责委员视察、调查、评议、参观、学习、座谈、研讨等活动的具体组织和服务工作。</w:t>
      </w:r>
    </w:p>
    <w:p>
      <w:pPr>
        <w:pStyle w:val="8"/>
        <w:widowControl/>
        <w:spacing w:before="0" w:beforeLines="0" w:after="0" w:afterLines="0" w:line="645" w:lineRule="atLeast"/>
        <w:ind w:firstLine="480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 （七）密切与市委、市政府有关部门和县(市、区)政协的工作联系；负责联络各民主党派市委、市工商联、市知联会。</w:t>
      </w:r>
    </w:p>
    <w:p>
      <w:pPr>
        <w:pStyle w:val="8"/>
        <w:widowControl/>
        <w:spacing w:before="0" w:beforeLines="0" w:after="0" w:afterLines="0" w:line="645" w:lineRule="atLeast"/>
        <w:ind w:firstLine="480"/>
        <w:jc w:val="both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（八）负责市政协机关的机构编制、人事管理和机关事务管理工作。</w:t>
      </w:r>
    </w:p>
    <w:p>
      <w:pPr>
        <w:pStyle w:val="8"/>
        <w:widowControl/>
        <w:spacing w:before="0" w:beforeLines="0" w:after="0" w:afterLines="0" w:line="645" w:lineRule="atLeast"/>
        <w:ind w:firstLine="48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（九）承办市政协全体委员会议、常务委员会议、主席会议交办的其它事项。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二、机构设置及决算单位构成</w:t>
      </w:r>
    </w:p>
    <w:p>
      <w:pPr>
        <w:widowControl/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（一）内设机构设置。岳阳市政协机关内设机构包括：办公室、研究室、委员学习联络委员会、提案委员会、经济科技和外事委员会、农业和农村委员会、人口资源环境委员会、文化教育卫生体育和文史委员会、社会法制和民族宗教委员会等9个正处级单位。办公室内设6个职能科室，分别为办公室秘书科、财务科、政工科、法制信访科、课题预研科、宣传信息科。研究室内设综合科，提案委员会下设综合科、提案督办科，其他6个专门工作委员会各分别内设综合科。机关党委、机关纪委、机关工会、离退休人员管理服务科按有关章程和规定设置。机关下设办公室新闻宣传中心和政协委员服务中心。</w:t>
      </w:r>
    </w:p>
    <w:p>
      <w:pPr>
        <w:widowControl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28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（二）决算单位构成。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本单位无独立核算的下属单位，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单位202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年部门决算汇总公开单位构成包括：岳阳市政协机关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本级。</w:t>
      </w: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13"/>
        <w:jc w:val="both"/>
        <w:rPr>
          <w:rFonts w:hint="default" w:ascii="Times New Roman" w:hAnsi="Times New Roman" w:eastAsia="方正小标宋_GBK" w:cs="Times New Roman"/>
          <w:sz w:val="84"/>
          <w:szCs w:val="84"/>
        </w:rPr>
      </w:pPr>
    </w:p>
    <w:p>
      <w:pPr>
        <w:pStyle w:val="13"/>
        <w:jc w:val="both"/>
        <w:rPr>
          <w:rFonts w:hint="default" w:ascii="Times New Roman" w:hAnsi="Times New Roman" w:eastAsia="方正小标宋_GBK" w:cs="Times New Roman"/>
          <w:sz w:val="84"/>
          <w:szCs w:val="84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84"/>
          <w:szCs w:val="84"/>
        </w:rPr>
      </w:pPr>
      <w:r>
        <w:rPr>
          <w:rFonts w:hint="default" w:ascii="Times New Roman" w:hAnsi="Times New Roman" w:eastAsia="方正小标宋_GBK" w:cs="Times New Roman"/>
          <w:sz w:val="84"/>
          <w:szCs w:val="84"/>
        </w:rPr>
        <w:t>第二部分</w:t>
      </w: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84"/>
          <w:szCs w:val="84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84"/>
          <w:szCs w:val="84"/>
        </w:rPr>
      </w:pPr>
      <w:r>
        <w:rPr>
          <w:rFonts w:hint="default" w:ascii="Times New Roman" w:hAnsi="Times New Roman" w:eastAsia="方正小标宋_GBK" w:cs="Times New Roman"/>
          <w:sz w:val="84"/>
          <w:szCs w:val="84"/>
        </w:rPr>
        <w:t>部门决算表</w:t>
      </w:r>
    </w:p>
    <w:p>
      <w:pPr>
        <w:pStyle w:val="13"/>
        <w:jc w:val="center"/>
        <w:rPr>
          <w:rFonts w:hint="default" w:ascii="Times New Roman" w:hAnsi="Times New Roman" w:eastAsia="仿宋_GB2312" w:cs="Times New Roman"/>
          <w:b w:val="0"/>
          <w:bCs w:val="0"/>
          <w:sz w:val="72"/>
          <w:szCs w:val="7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72"/>
          <w:szCs w:val="72"/>
          <w:lang w:eastAsia="zh-CN"/>
        </w:rPr>
        <w:t>（见附件）</w:t>
      </w:r>
    </w:p>
    <w:p>
      <w:pPr>
        <w:pStyle w:val="13"/>
        <w:jc w:val="center"/>
        <w:rPr>
          <w:rFonts w:hint="default" w:ascii="Times New Roman" w:hAnsi="Times New Roman" w:eastAsia="仿宋_GB2312" w:cs="Times New Roman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default" w:ascii="Times New Roman" w:hAnsi="Times New Roman" w:eastAsia="仿宋_GB2312" w:cs="Times New Roman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default" w:ascii="Times New Roman" w:hAnsi="Times New Roman" w:eastAsia="仿宋_GB2312" w:cs="Times New Roman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default" w:ascii="Times New Roman" w:hAnsi="Times New Roman" w:eastAsia="仿宋_GB2312" w:cs="Times New Roman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default" w:ascii="Times New Roman" w:hAnsi="Times New Roman" w:eastAsia="仿宋_GB2312" w:cs="Times New Roman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default" w:ascii="Times New Roman" w:hAnsi="Times New Roman" w:eastAsia="仿宋_GB2312" w:cs="Times New Roman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default" w:ascii="Times New Roman" w:hAnsi="Times New Roman" w:eastAsia="仿宋_GB2312" w:cs="Times New Roman"/>
          <w:b w:val="0"/>
          <w:bCs w:val="0"/>
          <w:sz w:val="72"/>
          <w:szCs w:val="72"/>
          <w:lang w:eastAsia="zh-CN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2"/>
          <w:szCs w:val="72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2"/>
          <w:szCs w:val="72"/>
        </w:rPr>
      </w:pPr>
    </w:p>
    <w:p>
      <w:pPr>
        <w:pStyle w:val="13"/>
        <w:jc w:val="both"/>
        <w:rPr>
          <w:rFonts w:hint="default" w:ascii="Times New Roman" w:hAnsi="Times New Roman" w:eastAsia="方正小标宋_GBK" w:cs="Times New Roman"/>
          <w:sz w:val="72"/>
          <w:szCs w:val="72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2"/>
          <w:szCs w:val="72"/>
        </w:rPr>
      </w:pPr>
      <w:r>
        <w:rPr>
          <w:rFonts w:hint="default" w:ascii="Times New Roman" w:hAnsi="Times New Roman" w:eastAsia="方正小标宋_GBK" w:cs="Times New Roman"/>
          <w:sz w:val="72"/>
          <w:szCs w:val="72"/>
        </w:rPr>
        <w:t>第三部分</w:t>
      </w: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0"/>
          <w:szCs w:val="70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0"/>
          <w:szCs w:val="70"/>
        </w:rPr>
      </w:pPr>
      <w:r>
        <w:rPr>
          <w:rFonts w:hint="default" w:ascii="Times New Roman" w:hAnsi="Times New Roman" w:eastAsia="方正小标宋_GBK" w:cs="Times New Roman"/>
          <w:sz w:val="70"/>
          <w:szCs w:val="70"/>
        </w:rPr>
        <w:t>202</w:t>
      </w:r>
      <w:r>
        <w:rPr>
          <w:rFonts w:hint="default" w:ascii="Times New Roman" w:hAnsi="Times New Roman" w:eastAsia="方正小标宋_GBK" w:cs="Times New Roman"/>
          <w:sz w:val="70"/>
          <w:szCs w:val="70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70"/>
          <w:szCs w:val="70"/>
        </w:rPr>
        <w:t>年度部门决算情况说明</w:t>
      </w: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0"/>
          <w:szCs w:val="70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0"/>
          <w:szCs w:val="70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0"/>
          <w:szCs w:val="70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0"/>
          <w:szCs w:val="70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0"/>
          <w:szCs w:val="70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0"/>
          <w:szCs w:val="70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0"/>
          <w:szCs w:val="70"/>
        </w:rPr>
      </w:pPr>
    </w:p>
    <w:p>
      <w:pPr>
        <w:pStyle w:val="13"/>
        <w:jc w:val="both"/>
        <w:rPr>
          <w:rFonts w:hint="default" w:ascii="Times New Roman" w:hAnsi="Times New Roman" w:eastAsia="方正小标宋_GBK" w:cs="Times New Roman"/>
          <w:sz w:val="70"/>
          <w:szCs w:val="70"/>
        </w:rPr>
      </w:pPr>
    </w:p>
    <w:p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说明：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决算编制时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至“金额单位：元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”，而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本套部门决算文字说明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和公开表格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转换为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金额单位：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万元”，可能导致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以下文字说明中的各项数据取数以及公开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中的各项数据取数之间存在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0.01的尾数差异。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2、以下文字说明中，部分科目由于预算数为0，无法计算完成年初预算的百分比，故未描述“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完成年初预算的XX%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一、收入支出决算总体情况说明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年度收、支总计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2960.66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万元。与上年相比，减少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312.79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9.56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%，主要是因为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2023年抚恤金比2022年抚恤金少50万元，二是2023年医保铺底在2024年初支付，三是2022年支付智慧政协项目尾款。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二、收入决算情况说明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年度收入合计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2957.91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万元，其中：财政拨款收入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2955.84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99.93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%；上级补助收入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%；事业收入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%；经营收入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%；附属单位上缴收入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%；其他收入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2.07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0.07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三、支出决算情况说明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年度支出合计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2960.66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万元，其中：基本支出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2164.26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73.1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%；项目支出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796.4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26.9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%；上缴上级支出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%；经营支出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%；对附属单位补助支出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四、财政拨款收入支出决算总体情况说明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年度财政拨款收、支总计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2955.84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万元，与上年相比，减少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131.91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万元,减少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%，主要是因为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2023年抚恤金比2022年抚恤金少50万元，二是2023年医保铺底在2024年初支付。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五、一般公共预算财政拨款支出决算情况说明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（一）一般公共预算财政拨款支出决算总体情况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年度财政拨款支出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2955.84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万元，占本年支出合计的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99.84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%，与上年相比，财政拨款支出减少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131.91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万元，减少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%，主要是因为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2023年抚恤金比2022年抚恤金少50万元，二是2023年医保铺底在2024年初支付。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（二）一般公共预算财政拨款支出决算结构情况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年度财政拨款支出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2955.84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万元，主要用于以下方面：一般公共服务（类）支出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2580.21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87.29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%；文化旅游体育与传媒支出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91.05万元，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3.08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%；社会保障和就业支出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140.98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4.77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%;卫生健康支出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51.47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1.74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%；住房保障支出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92.13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（三）一般公共预算财政拨款支出决算具体情况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年度财政拨款支出年初预算数为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2236.07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万元，支出决算数为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2955.84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万元，完成年初预算的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132.19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1.一般公共服务（类）政协事务（款）行政运行（项）。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年初预算为1297.74万元，支出决算为1712.44万元，完成年初预算的131.96%。决算数大于预算数的主要原因：财政追加拨付了人员经费等。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2.一般公共服务（类）政协事务（款）一般行政管理事务（项）。年初预算为92万元，支出决算为162万元，完成年初预算的176.09%。决算数大于预算数的主要原因：年中追加专项经费等。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3.一般公共服务（类）政协事务（款）机关服务（项）。年初预算为168万元，支出决算为168万元，完成年初预算的100%。预算数等于决算数的主要原因是预算拨付数全额支付且无追加。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4.一般公共服务（类）政协事务（款）政协会议（项）。年初预算为219万元，支出决算为219万元，完成年初预算的100%。预算数等于决算数的主要原因是预算拨付数全额支付且无追加。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5.一般公共服务（类）政协事务（款）委员视察（项）。年初预算为147.8万元，支出决算为156.35万元，完成年初预算的105.78%。年中追加省政协委员调研经费。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6.一般公共服务（类）政协事务（款）其他政协事务支出（项）。年初预算为0万元，支出决算为162.42万元。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由于预算数为0，无法计算百分比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。决算数大于预算数的主要原因：追加了运行经费等。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社会保障和就业（类）行政事业单位养老（款）机关事业单位基本养老保险缴费支出（项）。年初预算为97.85万元，支出决算为97.85万元，完成年初预算的100%。预算数等于决算数的主要原因是预算拨付数全额支付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8.社会保障和就业（类）抚恤（款）其他优抚支出（项）。年初预算为0万元，支出决算为40.72万元，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由于预算数为0，无法计算百分比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。决算数大于预算数的主要原因：年中通过追加增加了财政拨款。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9.社会保障和就业（类）其他社会保障和就业（款）其他社会保障和就业（项）。年初预算为0万元，支出决算为2.4万元。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由于预算数为0，无法计算百分比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。决算数大于预算数的主要原因：年中通过追加增加了财政拨款。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卫生健康支出（类）行政事业单位医疗（款）行政单位医疗（项）。年初预算为99.77万元，支出决算为51.47万元，完成年初预算的5.59%。决算数小于预算数的主要原因是医疗补助在2024年支付。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11.文化旅游体育与传媒支出（类）文化和旅游（款）其他文化和旅游支出（项）。年初预算为0万元，支出决算为91.05万元，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由于预算数为0，无法计算百分比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。决算数大于预算数的主要原因：年中通过追加增加了财政拨款预算。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12.卫生健康（类）行政事业单位医疗（款）公务员医疗补助（项）。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年初预算为21.78万元，支出决算为0万元，完成年初预算的0%，决算数小于年初预算数的主要原因是：公务员医疗补助由财政代缴。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13.住房保障（类）住房改革支出（款）住房公积金（项）。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年初预算为92.13万元，支出决算为92.13万元，完成年初预算的100%，决算数小于年初预算数的主要原因是：预算数等于决算数的主要原因是预算拨付数全额支付。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六、一般公共预算财政拨款基本支出决算情况说明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年度财政拨款基本支出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2159.44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人员经费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1758.87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万元，占基本支出的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81.45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%,主要包括基本工资、津贴补贴、奖金、绩效工资、机关事业单位基本养老保障缴费、职业年金缴费、职工基本医疗保险缴费、公务员医疗保险缴费、其他社会保障缴费、住房公 积金、离休费、退休费、抚恤金、生活补助、医疗费补助、奖励金、其他对个人和家庭的补助等。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公用经费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400.57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万元，占基本支出的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18.55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主要包括办公费、印刷费、水费、电费、邮电费、物业管理费、差旅费、维修（护）费、会议费、公务接待费、劳务费、工会经费、福利费、公务用车运行维护费、其他交通费用、其他商品和服务支出、办公设备购置、公务用车购置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七、政府性基金预算收入支出决算情况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年度政府性基金预算财政拨款收入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万元；年初结转和结余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万元，其中基本支出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万元，项目支出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万元；年末结转和结余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kern w:val="0"/>
          <w:sz w:val="32"/>
          <w:szCs w:val="32"/>
          <w:lang w:val="en-US" w:eastAsia="zh-CN" w:bidi="ar-SA"/>
        </w:rPr>
        <w:t>八、国有资本经营预算财政拨款支出决算情况</w:t>
      </w:r>
    </w:p>
    <w:p>
      <w:pPr>
        <w:widowControl w:val="0"/>
        <w:autoSpaceDE w:val="0"/>
        <w:autoSpaceDN w:val="0"/>
        <w:adjustRightInd w:val="0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2023年度国有资本经营预算财政拨款收入0万元；年初结转和结余0万；支出0万元；年末结转和结余0万元。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九、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财政拨款三公经费支出决算情况说明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</w:rPr>
        <w:t>（一）“三公”经费财政拨款支出决算总体情况说明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三公”经费财政拨款支出预算为95万元，支出决算为44.59万元，完成预算的46.94%，决算数小于预算数的主要原因是严格执行相关规定，贯彻落实过“紧日子”的要求，与上年相比减少32.13万元，减少41.88%,减少的主要原因是2022年购置了公务用车。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因公出国（境）费支出预算为10万元，支出决算为0万元，完成预算的0%，决算数小于预算数的主要原因是未安排因公出国（境）活动，与上年相比持平，主要原因是未安排因公出国（境）活动。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务接待费支出预算为20万元，支出决算为5.55万元，完成预算的27.75%，决算数小于预算数的主要原因严格执行相关规定，贯彻落实过“紧日子”的要求，从严控制公务接待管理，与上年相比增加0.7万元，增长14.43%,增长的主要原因是去年受新冠疫情影响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公务用车购置费支出预算为0万元，支出决算为0万元，决算数等于预算数，主要原因是我单位严格按预算执行决算；与上年相比减少19.57万元，减少的主要原因是去年购置了一台公务用车。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公务用车运行维护费支出预算为65万元，支出决算为39.04万元，完成预算的60.06%，决算数小于预算数的主要原因是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1"/>
          <w:szCs w:val="31"/>
        </w:rPr>
        <w:t>严格控制三公经费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，与上年相比减少13.26万元，减少25.35%,减少的主要原因一是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厉行节约，严格控制三公经费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2023年最后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一个月的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公务用车运行维护费支出在2024年才支付。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</w:rPr>
        <w:t>（二）“三公”经费财政拨款支出决算具体情况说明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2023年度“三公”经费财政拨款支出决算中，公务接待费支出决算5.55万元，占12.45%,因公出国（境）费支出决算0万元，占0%,公务用车购置费及运行维护费支出决算39.04万元，占87.55%。其中：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800" w:firstLineChars="250"/>
        <w:textAlignment w:val="auto"/>
        <w:rPr>
          <w:rFonts w:hint="default" w:ascii="Times New Roman" w:hAnsi="Times New Roman" w:eastAsia="仿宋_GB2312" w:cs="Times New Roman"/>
          <w:b/>
          <w:bCs/>
          <w:i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1、因公出国（境）费支出决算为0万元，全年安排因公出国（境）团组0个，累计0人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我单位2023年度无因公出国（境）费支出。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i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2、公务接待费支出决算为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5.55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万元，全年共接待来访团组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个、来宾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人次，主要是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1"/>
          <w:szCs w:val="31"/>
        </w:rPr>
        <w:t>接待外省市政协、县市区政协、及有关单位来访交流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发生的接待支出。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3、公务用车购置费及运行维护费支出决算为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39.04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万元，其中：公务用车购置费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当年没有购置公务用车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。公务用车运行维护费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39.04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万元，主要是公务用车燃料费、维修维护费、过路过桥费等支出，截止202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年12月31日，我单位开支财政拨款的公务用车保有量为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、关于机关运行经费支出说明</w:t>
      </w:r>
    </w:p>
    <w:p>
      <w:pPr>
        <w:pStyle w:val="13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本部门202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年度机关运行经费支出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400.57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万元，比年初预算数增加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92.54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万元，增长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30.04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%。主要原因是：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年初预算安排不足。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十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、一般性支出情况说明</w:t>
      </w:r>
    </w:p>
    <w:p>
      <w:pPr>
        <w:pStyle w:val="13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年度，会议费年初预算219万元，支出决算为278.12万元，完成年初预算的127%。用于召开1次政协全体会议，人数850余人，1次洞庭湖生态经济区（四市一区）政协主席联席会议，人数200余人，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次政协常务委员会议人数770余人，界别协商会、政协工作会议等。</w:t>
      </w:r>
    </w:p>
    <w:p>
      <w:pPr>
        <w:widowControl w:val="0"/>
        <w:autoSpaceDE w:val="0"/>
        <w:autoSpaceDN w:val="0"/>
        <w:adjustRightInd w:val="0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培训费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年初预算3万元，支出决算为46.03万元，完成年初预算的153.43%。用于开展全市政协系统领导干部综合能力提升培训班培训，人数58人，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干部党校培训等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本单位无举办节庆、晚会、论坛、赛事等活动的预算和支出决算数。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十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、关于政府采购支出说明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本部门202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年度政府采购支出总额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603.82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万元，其中：政府采购货物支出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84.98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万元、政府采购工程支出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32.12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万元、政府采购服务支出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486.72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万元。授予中小企业合同金额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603.82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万元，占政府采购支出总额的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%，其中：授予小微企业合同金额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187.18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授予中小企业合同金额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%。货物采购授予中小企业合同金额占货物支出金额的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%，工程采购授予中小企业合同金额占工程支出金额的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%，服务采购授予中小企业合同金额占服务支出金额的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十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、关于国有资产占用情况说明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截至202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年12月31日，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共有车辆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辆，其中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实物保障用车1辆，机要通信用车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辆、应急保障用车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辆、执法执勤用车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辆、特种专业技术用车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辆、其他用车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辆；单位价值50万元以上通用设备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台（套）；单位价值100万元以上专用设备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台（套）。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十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、关于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年度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绩效情况的说明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（一）绩效管理工作开展情况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根据预算绩效管理要求，我们组织对2023年度整体支出和项目资金实施了全覆盖性的绩效评价，撰写了绩效自评报告。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组织开展整体支出绩效评价，涉及一般公共预算支出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2955.84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万元，政府性基金预算支出0万元，国有资本经营预算支出0万元。从评价情况来看，整体支出绩效评价中，2023年整体支出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2960.66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万元，其中：基本支出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2164.26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万元，项目支出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796.4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万元，本单位整体支出绩效自评综合评分99分，评价结果等次为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组织对一般公共预算项目支出全面开展绩效自评，项目4个，共涉及资金626.8万元，占一般公共预算项目支出总额的78.7%。组织对政府性基金预算项目支出开展绩效自评，项目0个，共涉及资金0 万元，占政府性基金预算项目支出总额的0%。组织对国有资本经营预算项目支出开展绩效自评，项目0个，共涉及资金0万元，占国有资本经营预算项目支出总额的0%。从评价情况来看，项目绩效自评得分99分，评价结果等次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优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部门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（单位）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根据年初设定的绩效目标，绩效自评得分为99 分。全年预算数为2236.07 万元，执行数为2960.66 万元，完成预算的132.4%。绩效目标完成情况：一是始终把党的领导作为最根本的保证，在加强学习教育中夯实思想基础。坚持把思想政治建设摆在首位，加强党的领导，强化政治学习，确保政协事业朝着正确的方向笃定前行。二是始终把助推发展作为最首要的任务，在推进协商民主中展现履职风采。坚持围绕中心服务大局，把握“党政所需、群众所盼、政协所能”，不深度调研不建言不提案，高质量完成协商课题21个，形成调研报告和建议案近30万字，协商中提出的29条意见建议被市委全会决议和市政府工作报告予以采用，省委常委、市委书记谢卫江在市政协机关走访调研时给予充分肯定。三是始终把团结奋斗作为最鲜明的底色，在加强协商协作中凝聚发展共识。认真落实“三个重要”⑦要求，充分发挥好专门协商机构作用，努力协调各方关系、化解各类矛盾，为岳阳高质量发展最广泛凝聚人心、汇聚力量。四是始终把自身建设作为最永恒的课题，在从严从实管理中激发内生活力。自身建设永远在路上。坚持持续转作风、提能力、强队伍，为政协事业高质量发展打下坚实基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存在的问题及原因分析。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预算编制的精确性有待进一步提高，存在追加经费现象。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下一步改进措施：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-SA"/>
        </w:rPr>
        <w:t>加强预算编制的基础工作，遵循预算管理办法，根据现在过紧日子的实际情况并结合以前年度支出情况，综合考虑相关因素，申报年初预算，提高单位预算编制精确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5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  <w:lang w:val="en-US" w:eastAsia="zh-CN"/>
        </w:rPr>
      </w:pPr>
    </w:p>
    <w:p>
      <w:pPr>
        <w:pStyle w:val="13"/>
        <w:jc w:val="both"/>
        <w:rPr>
          <w:rFonts w:hint="default" w:ascii="Times New Roman" w:hAnsi="Times New Roman" w:eastAsia="方正小标宋_GBK" w:cs="Times New Roman"/>
          <w:sz w:val="70"/>
          <w:szCs w:val="70"/>
          <w:lang w:eastAsia="zh-CN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0"/>
          <w:szCs w:val="70"/>
          <w:lang w:eastAsia="zh-CN"/>
        </w:rPr>
      </w:pPr>
    </w:p>
    <w:p>
      <w:pPr>
        <w:pStyle w:val="13"/>
        <w:jc w:val="both"/>
        <w:rPr>
          <w:rFonts w:hint="default" w:ascii="Times New Roman" w:hAnsi="Times New Roman" w:eastAsia="方正小标宋_GBK" w:cs="Times New Roman"/>
          <w:sz w:val="72"/>
          <w:szCs w:val="72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2"/>
          <w:szCs w:val="72"/>
        </w:rPr>
      </w:pPr>
      <w:r>
        <w:rPr>
          <w:rFonts w:hint="default" w:ascii="Times New Roman" w:hAnsi="Times New Roman" w:eastAsia="方正小标宋_GBK" w:cs="Times New Roman"/>
          <w:sz w:val="72"/>
          <w:szCs w:val="72"/>
        </w:rPr>
        <w:t>第四部分</w:t>
      </w:r>
    </w:p>
    <w:p>
      <w:pPr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70"/>
          <w:szCs w:val="70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0"/>
          <w:szCs w:val="70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70"/>
          <w:szCs w:val="70"/>
        </w:rPr>
        <w:t>名词解释</w:t>
      </w: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一、“三公”经费：指用财政拨款安排的因公出国（境）费、公务用车购置及运行费和公务接待费。其中，因公出国（境）费反映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二、机关运行经费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，指为保障行政单位（包括参照公务员法管理的事业单位）运行用于购买货物和服务的各项资金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，包括办公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费、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印刷费、邮电费、差旅费、会议费、日常维修费、专用材料及一般设备购置费、办公用房水电费、办公用房取暖费、办公用房物业管理费、公务用车运行维护费以及其他费用。</w:t>
      </w:r>
    </w:p>
    <w:p>
      <w:pPr>
        <w:pStyle w:val="13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0"/>
          <w:szCs w:val="70"/>
        </w:rPr>
      </w:pPr>
      <w:r>
        <w:rPr>
          <w:rFonts w:hint="default" w:ascii="Times New Roman" w:hAnsi="Times New Roman" w:eastAsia="方正小标宋_GBK" w:cs="Times New Roman"/>
          <w:sz w:val="72"/>
          <w:szCs w:val="72"/>
        </w:rPr>
        <w:t>第</w:t>
      </w:r>
      <w:r>
        <w:rPr>
          <w:rFonts w:hint="default" w:ascii="Times New Roman" w:hAnsi="Times New Roman" w:eastAsia="方正小标宋_GBK" w:cs="Times New Roman"/>
          <w:sz w:val="72"/>
          <w:szCs w:val="72"/>
          <w:lang w:eastAsia="zh-CN"/>
        </w:rPr>
        <w:t>五</w:t>
      </w:r>
      <w:r>
        <w:rPr>
          <w:rFonts w:hint="default" w:ascii="Times New Roman" w:hAnsi="Times New Roman" w:eastAsia="方正小标宋_GBK" w:cs="Times New Roman"/>
          <w:sz w:val="72"/>
          <w:szCs w:val="72"/>
        </w:rPr>
        <w:t>部分</w:t>
      </w:r>
    </w:p>
    <w:p>
      <w:pPr>
        <w:pStyle w:val="13"/>
        <w:jc w:val="both"/>
        <w:rPr>
          <w:rFonts w:hint="default" w:ascii="Times New Roman" w:hAnsi="Times New Roman" w:eastAsia="方正小标宋_GBK" w:cs="Times New Roman"/>
          <w:sz w:val="70"/>
          <w:szCs w:val="70"/>
          <w:lang w:eastAsia="zh-CN"/>
        </w:rPr>
      </w:pPr>
    </w:p>
    <w:p>
      <w:pPr>
        <w:pStyle w:val="13"/>
        <w:jc w:val="center"/>
        <w:rPr>
          <w:rFonts w:hint="default" w:ascii="Times New Roman" w:hAnsi="Times New Roman" w:eastAsia="方正小标宋_GBK" w:cs="Times New Roman"/>
          <w:sz w:val="70"/>
          <w:szCs w:val="70"/>
          <w:lang w:eastAsia="zh-CN"/>
        </w:rPr>
      </w:pPr>
      <w:r>
        <w:rPr>
          <w:rFonts w:hint="default" w:ascii="Times New Roman" w:hAnsi="Times New Roman" w:eastAsia="方正小标宋_GBK" w:cs="Times New Roman"/>
          <w:sz w:val="70"/>
          <w:szCs w:val="70"/>
          <w:lang w:eastAsia="zh-CN"/>
        </w:rPr>
        <w:t>附</w:t>
      </w:r>
      <w:r>
        <w:rPr>
          <w:rFonts w:hint="default" w:ascii="Times New Roman" w:hAnsi="Times New Roman" w:eastAsia="方正小标宋_GBK" w:cs="Times New Roman"/>
          <w:sz w:val="70"/>
          <w:szCs w:val="70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sz w:val="70"/>
          <w:szCs w:val="70"/>
          <w:lang w:eastAsia="zh-CN"/>
        </w:rPr>
        <w:t>件</w:t>
      </w:r>
    </w:p>
    <w:p>
      <w:pPr>
        <w:ind w:firstLine="640" w:firstLineChars="20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val="en-US" w:eastAsia="zh-CN"/>
        </w:rPr>
        <w:t>1、2023年部门决算公开表格</w:t>
      </w:r>
    </w:p>
    <w:p>
      <w:pPr>
        <w:ind w:firstLine="64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</w:rPr>
        <w:t>年度部门整体支出绩效评价报告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A7D2"/>
    <w:multiLevelType w:val="singleLevel"/>
    <w:tmpl w:val="1DE1A7D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0CBC"/>
    <w:rsid w:val="000415B7"/>
    <w:rsid w:val="00041E3F"/>
    <w:rsid w:val="00055DAA"/>
    <w:rsid w:val="00061F7B"/>
    <w:rsid w:val="000658A3"/>
    <w:rsid w:val="00074155"/>
    <w:rsid w:val="000A3F69"/>
    <w:rsid w:val="00103957"/>
    <w:rsid w:val="00152C6D"/>
    <w:rsid w:val="00162D39"/>
    <w:rsid w:val="001678BD"/>
    <w:rsid w:val="00182373"/>
    <w:rsid w:val="001A67DB"/>
    <w:rsid w:val="001C3C29"/>
    <w:rsid w:val="001D51E5"/>
    <w:rsid w:val="001E080D"/>
    <w:rsid w:val="001E53D0"/>
    <w:rsid w:val="001F0C3B"/>
    <w:rsid w:val="00202C82"/>
    <w:rsid w:val="00214427"/>
    <w:rsid w:val="00226CB7"/>
    <w:rsid w:val="00264552"/>
    <w:rsid w:val="00264EF9"/>
    <w:rsid w:val="00265724"/>
    <w:rsid w:val="0027426B"/>
    <w:rsid w:val="002E0A30"/>
    <w:rsid w:val="003130C4"/>
    <w:rsid w:val="00316C4B"/>
    <w:rsid w:val="0032192B"/>
    <w:rsid w:val="003479BD"/>
    <w:rsid w:val="0037197D"/>
    <w:rsid w:val="003768D5"/>
    <w:rsid w:val="003926B9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4B0CEE"/>
    <w:rsid w:val="00500E5F"/>
    <w:rsid w:val="005122EF"/>
    <w:rsid w:val="0051441A"/>
    <w:rsid w:val="00517C33"/>
    <w:rsid w:val="00517D5F"/>
    <w:rsid w:val="00523644"/>
    <w:rsid w:val="0054069E"/>
    <w:rsid w:val="00544866"/>
    <w:rsid w:val="005767CC"/>
    <w:rsid w:val="00590D9F"/>
    <w:rsid w:val="00595D26"/>
    <w:rsid w:val="005A74E6"/>
    <w:rsid w:val="005B404E"/>
    <w:rsid w:val="005D4D55"/>
    <w:rsid w:val="005E2CFB"/>
    <w:rsid w:val="005F2103"/>
    <w:rsid w:val="005F3D1C"/>
    <w:rsid w:val="0062378F"/>
    <w:rsid w:val="00641842"/>
    <w:rsid w:val="00651EEC"/>
    <w:rsid w:val="00686673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0FE7"/>
    <w:rsid w:val="00717621"/>
    <w:rsid w:val="00720FF1"/>
    <w:rsid w:val="00727A53"/>
    <w:rsid w:val="00787B42"/>
    <w:rsid w:val="007C4539"/>
    <w:rsid w:val="007F3657"/>
    <w:rsid w:val="00812ED5"/>
    <w:rsid w:val="008277D9"/>
    <w:rsid w:val="0084478C"/>
    <w:rsid w:val="0086638C"/>
    <w:rsid w:val="008A3E8D"/>
    <w:rsid w:val="008D23DE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AB18F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148C6"/>
    <w:rsid w:val="00D17A8A"/>
    <w:rsid w:val="00D415BA"/>
    <w:rsid w:val="00D63780"/>
    <w:rsid w:val="00D644EE"/>
    <w:rsid w:val="00DD06FF"/>
    <w:rsid w:val="00DD5FE9"/>
    <w:rsid w:val="00E00C7A"/>
    <w:rsid w:val="00E37D6C"/>
    <w:rsid w:val="00E55B68"/>
    <w:rsid w:val="00E561AE"/>
    <w:rsid w:val="00E67BE6"/>
    <w:rsid w:val="00E700F5"/>
    <w:rsid w:val="00E8683C"/>
    <w:rsid w:val="00EA2B72"/>
    <w:rsid w:val="00F74360"/>
    <w:rsid w:val="00FB462F"/>
    <w:rsid w:val="00FE16FA"/>
    <w:rsid w:val="00FE328A"/>
    <w:rsid w:val="00FE6269"/>
    <w:rsid w:val="00FF5CD6"/>
    <w:rsid w:val="0100516B"/>
    <w:rsid w:val="012970F5"/>
    <w:rsid w:val="01474A6D"/>
    <w:rsid w:val="01481919"/>
    <w:rsid w:val="014B419B"/>
    <w:rsid w:val="01845707"/>
    <w:rsid w:val="01D6539A"/>
    <w:rsid w:val="0235510D"/>
    <w:rsid w:val="023A584B"/>
    <w:rsid w:val="024506C6"/>
    <w:rsid w:val="028C5716"/>
    <w:rsid w:val="02B15A65"/>
    <w:rsid w:val="02CD5986"/>
    <w:rsid w:val="02DF6F84"/>
    <w:rsid w:val="02F173F3"/>
    <w:rsid w:val="032B4E3D"/>
    <w:rsid w:val="039220AA"/>
    <w:rsid w:val="03AE2B74"/>
    <w:rsid w:val="03B475C5"/>
    <w:rsid w:val="03B729A6"/>
    <w:rsid w:val="03BE5EC4"/>
    <w:rsid w:val="04196C07"/>
    <w:rsid w:val="047E410D"/>
    <w:rsid w:val="04A45D3F"/>
    <w:rsid w:val="04A87610"/>
    <w:rsid w:val="04C7686E"/>
    <w:rsid w:val="04FF7CF3"/>
    <w:rsid w:val="05386631"/>
    <w:rsid w:val="059958AD"/>
    <w:rsid w:val="05F070A8"/>
    <w:rsid w:val="068D3F39"/>
    <w:rsid w:val="06D17BB0"/>
    <w:rsid w:val="06E9438A"/>
    <w:rsid w:val="074C4858"/>
    <w:rsid w:val="080E3122"/>
    <w:rsid w:val="08644F06"/>
    <w:rsid w:val="0876074D"/>
    <w:rsid w:val="088A2371"/>
    <w:rsid w:val="08F701D3"/>
    <w:rsid w:val="09B43D42"/>
    <w:rsid w:val="09C177CB"/>
    <w:rsid w:val="09DA2B12"/>
    <w:rsid w:val="09E676B1"/>
    <w:rsid w:val="0A707450"/>
    <w:rsid w:val="0AA41BCC"/>
    <w:rsid w:val="0AA94305"/>
    <w:rsid w:val="0B0E5A69"/>
    <w:rsid w:val="0B30399B"/>
    <w:rsid w:val="0B6C661C"/>
    <w:rsid w:val="0B760E10"/>
    <w:rsid w:val="0B8B162C"/>
    <w:rsid w:val="0BD966C0"/>
    <w:rsid w:val="0C2B5116"/>
    <w:rsid w:val="0C6B478E"/>
    <w:rsid w:val="0C7D2F6F"/>
    <w:rsid w:val="0C8D5225"/>
    <w:rsid w:val="0CB01F00"/>
    <w:rsid w:val="0D270186"/>
    <w:rsid w:val="0D7801EA"/>
    <w:rsid w:val="0D8631FE"/>
    <w:rsid w:val="0E054FA0"/>
    <w:rsid w:val="0E0736B8"/>
    <w:rsid w:val="0E156BA3"/>
    <w:rsid w:val="0E366473"/>
    <w:rsid w:val="0E444BBA"/>
    <w:rsid w:val="0E4B0B90"/>
    <w:rsid w:val="0E696EB6"/>
    <w:rsid w:val="0E75483B"/>
    <w:rsid w:val="0EE03804"/>
    <w:rsid w:val="0F0138F9"/>
    <w:rsid w:val="0F1E5285"/>
    <w:rsid w:val="0F63787B"/>
    <w:rsid w:val="0F640B04"/>
    <w:rsid w:val="0F76742B"/>
    <w:rsid w:val="0F9318A1"/>
    <w:rsid w:val="0FEC79FC"/>
    <w:rsid w:val="0FED1C8F"/>
    <w:rsid w:val="0FFE1D5D"/>
    <w:rsid w:val="0FFF2E82"/>
    <w:rsid w:val="101F3C10"/>
    <w:rsid w:val="10E51EDD"/>
    <w:rsid w:val="112443C8"/>
    <w:rsid w:val="11432C04"/>
    <w:rsid w:val="11895179"/>
    <w:rsid w:val="120F5D5C"/>
    <w:rsid w:val="12520616"/>
    <w:rsid w:val="12583BA5"/>
    <w:rsid w:val="12F012F0"/>
    <w:rsid w:val="13443D94"/>
    <w:rsid w:val="13461BCC"/>
    <w:rsid w:val="13BA5B9C"/>
    <w:rsid w:val="13BA680A"/>
    <w:rsid w:val="14563ED9"/>
    <w:rsid w:val="14745387"/>
    <w:rsid w:val="14CA2F0F"/>
    <w:rsid w:val="154C106D"/>
    <w:rsid w:val="155D2504"/>
    <w:rsid w:val="156B353D"/>
    <w:rsid w:val="15E65579"/>
    <w:rsid w:val="1602370D"/>
    <w:rsid w:val="161070E8"/>
    <w:rsid w:val="161D35AD"/>
    <w:rsid w:val="161E1F5F"/>
    <w:rsid w:val="16FE18FD"/>
    <w:rsid w:val="17391F4F"/>
    <w:rsid w:val="17B679C2"/>
    <w:rsid w:val="17CE6250"/>
    <w:rsid w:val="17D75A41"/>
    <w:rsid w:val="183E6DFA"/>
    <w:rsid w:val="184725DA"/>
    <w:rsid w:val="185C1AC3"/>
    <w:rsid w:val="195B2557"/>
    <w:rsid w:val="19766FB3"/>
    <w:rsid w:val="19F80DDF"/>
    <w:rsid w:val="19FD6F75"/>
    <w:rsid w:val="1A59468D"/>
    <w:rsid w:val="1AB6459E"/>
    <w:rsid w:val="1AB9438A"/>
    <w:rsid w:val="1ACA4F4F"/>
    <w:rsid w:val="1B036326"/>
    <w:rsid w:val="1B3A582C"/>
    <w:rsid w:val="1C21133F"/>
    <w:rsid w:val="1C232420"/>
    <w:rsid w:val="1C37485D"/>
    <w:rsid w:val="1C744C83"/>
    <w:rsid w:val="1C9B2898"/>
    <w:rsid w:val="1C9F1815"/>
    <w:rsid w:val="1CC4127A"/>
    <w:rsid w:val="1CED0BB7"/>
    <w:rsid w:val="1D031ECB"/>
    <w:rsid w:val="1D4C537A"/>
    <w:rsid w:val="1D533C61"/>
    <w:rsid w:val="1D97DEFF"/>
    <w:rsid w:val="1DFF72E5"/>
    <w:rsid w:val="1E3A4E02"/>
    <w:rsid w:val="1E610235"/>
    <w:rsid w:val="1E6B7835"/>
    <w:rsid w:val="1E743137"/>
    <w:rsid w:val="1E94085C"/>
    <w:rsid w:val="1EAE4594"/>
    <w:rsid w:val="1EC6437A"/>
    <w:rsid w:val="1ECE79C2"/>
    <w:rsid w:val="1EEB59F3"/>
    <w:rsid w:val="1EFC6F07"/>
    <w:rsid w:val="1F4A0FAB"/>
    <w:rsid w:val="1F544CF6"/>
    <w:rsid w:val="1F6C6DC4"/>
    <w:rsid w:val="1FCF4545"/>
    <w:rsid w:val="1FD92687"/>
    <w:rsid w:val="2006312E"/>
    <w:rsid w:val="203D774C"/>
    <w:rsid w:val="20555BF7"/>
    <w:rsid w:val="20742018"/>
    <w:rsid w:val="20B55365"/>
    <w:rsid w:val="20CD2BF6"/>
    <w:rsid w:val="21D93E83"/>
    <w:rsid w:val="22796684"/>
    <w:rsid w:val="22A93724"/>
    <w:rsid w:val="22AC03C2"/>
    <w:rsid w:val="22FB5B36"/>
    <w:rsid w:val="22FE269C"/>
    <w:rsid w:val="233F3442"/>
    <w:rsid w:val="236720A5"/>
    <w:rsid w:val="23745873"/>
    <w:rsid w:val="24194434"/>
    <w:rsid w:val="242C62C5"/>
    <w:rsid w:val="246C52C1"/>
    <w:rsid w:val="247C38EB"/>
    <w:rsid w:val="2490389D"/>
    <w:rsid w:val="24AE525E"/>
    <w:rsid w:val="24B27213"/>
    <w:rsid w:val="24DB5F6D"/>
    <w:rsid w:val="24EC0A05"/>
    <w:rsid w:val="24F809DE"/>
    <w:rsid w:val="25051E7A"/>
    <w:rsid w:val="251F3444"/>
    <w:rsid w:val="25410255"/>
    <w:rsid w:val="25BA6A70"/>
    <w:rsid w:val="25F53D04"/>
    <w:rsid w:val="25F843BA"/>
    <w:rsid w:val="262307DB"/>
    <w:rsid w:val="262A517E"/>
    <w:rsid w:val="262D7ED5"/>
    <w:rsid w:val="264E5A77"/>
    <w:rsid w:val="26AE70FA"/>
    <w:rsid w:val="26B61C27"/>
    <w:rsid w:val="26DE698B"/>
    <w:rsid w:val="27A80286"/>
    <w:rsid w:val="27DD1814"/>
    <w:rsid w:val="27F9714B"/>
    <w:rsid w:val="281A577F"/>
    <w:rsid w:val="28207CDC"/>
    <w:rsid w:val="28554E6F"/>
    <w:rsid w:val="28A4690B"/>
    <w:rsid w:val="28B02B25"/>
    <w:rsid w:val="293134EC"/>
    <w:rsid w:val="294B46B0"/>
    <w:rsid w:val="294E262F"/>
    <w:rsid w:val="295842BA"/>
    <w:rsid w:val="297A2F73"/>
    <w:rsid w:val="29AD5198"/>
    <w:rsid w:val="2A7A5159"/>
    <w:rsid w:val="2A9B4C02"/>
    <w:rsid w:val="2B423746"/>
    <w:rsid w:val="2B494125"/>
    <w:rsid w:val="2B5B3F80"/>
    <w:rsid w:val="2B8231C8"/>
    <w:rsid w:val="2B9A7B44"/>
    <w:rsid w:val="2BB85A46"/>
    <w:rsid w:val="2BE11DCA"/>
    <w:rsid w:val="2BE40D46"/>
    <w:rsid w:val="2BEF6832"/>
    <w:rsid w:val="2C0270C7"/>
    <w:rsid w:val="2C0B3FC3"/>
    <w:rsid w:val="2C701A1D"/>
    <w:rsid w:val="2C8912D4"/>
    <w:rsid w:val="2CB13958"/>
    <w:rsid w:val="2CB94B23"/>
    <w:rsid w:val="2CD24D62"/>
    <w:rsid w:val="2CE508B0"/>
    <w:rsid w:val="2CEA4295"/>
    <w:rsid w:val="2D402EA2"/>
    <w:rsid w:val="2D6B64F1"/>
    <w:rsid w:val="2E130845"/>
    <w:rsid w:val="2E4234D7"/>
    <w:rsid w:val="2E8B2C6A"/>
    <w:rsid w:val="2EB30D6F"/>
    <w:rsid w:val="2EF22F73"/>
    <w:rsid w:val="2FAE02B3"/>
    <w:rsid w:val="2FDF85B8"/>
    <w:rsid w:val="2FFB7E03"/>
    <w:rsid w:val="2FFFEE04"/>
    <w:rsid w:val="300E055B"/>
    <w:rsid w:val="30252AFE"/>
    <w:rsid w:val="30253454"/>
    <w:rsid w:val="30854BA9"/>
    <w:rsid w:val="312B4010"/>
    <w:rsid w:val="314E51A4"/>
    <w:rsid w:val="3158270F"/>
    <w:rsid w:val="31A76DFB"/>
    <w:rsid w:val="31C23F14"/>
    <w:rsid w:val="31C95635"/>
    <w:rsid w:val="31F14E9D"/>
    <w:rsid w:val="324C719C"/>
    <w:rsid w:val="326E0EDE"/>
    <w:rsid w:val="32872A6F"/>
    <w:rsid w:val="329C0825"/>
    <w:rsid w:val="32A047C2"/>
    <w:rsid w:val="32A42E93"/>
    <w:rsid w:val="32D2777D"/>
    <w:rsid w:val="32F627E3"/>
    <w:rsid w:val="3335686D"/>
    <w:rsid w:val="336135D7"/>
    <w:rsid w:val="33E25D4B"/>
    <w:rsid w:val="343835F4"/>
    <w:rsid w:val="3441312C"/>
    <w:rsid w:val="34C44B08"/>
    <w:rsid w:val="34C451A7"/>
    <w:rsid w:val="34D57258"/>
    <w:rsid w:val="34DF85B0"/>
    <w:rsid w:val="35097A66"/>
    <w:rsid w:val="356D4DD1"/>
    <w:rsid w:val="358A7687"/>
    <w:rsid w:val="35AB5DAA"/>
    <w:rsid w:val="35C52155"/>
    <w:rsid w:val="35E77E08"/>
    <w:rsid w:val="35F740A4"/>
    <w:rsid w:val="360D1657"/>
    <w:rsid w:val="36251340"/>
    <w:rsid w:val="36341B55"/>
    <w:rsid w:val="363920D1"/>
    <w:rsid w:val="363B6B7A"/>
    <w:rsid w:val="364645D9"/>
    <w:rsid w:val="366C15C8"/>
    <w:rsid w:val="37856BB0"/>
    <w:rsid w:val="3826627D"/>
    <w:rsid w:val="384A1970"/>
    <w:rsid w:val="38823ED8"/>
    <w:rsid w:val="3882782D"/>
    <w:rsid w:val="3889659B"/>
    <w:rsid w:val="38D033E3"/>
    <w:rsid w:val="38F169A3"/>
    <w:rsid w:val="39034FF1"/>
    <w:rsid w:val="390361AB"/>
    <w:rsid w:val="391929B8"/>
    <w:rsid w:val="391E5937"/>
    <w:rsid w:val="396F4781"/>
    <w:rsid w:val="398754B5"/>
    <w:rsid w:val="399260A8"/>
    <w:rsid w:val="39A1410B"/>
    <w:rsid w:val="3A252AED"/>
    <w:rsid w:val="3A5D49A8"/>
    <w:rsid w:val="3A6F1607"/>
    <w:rsid w:val="3AA46C25"/>
    <w:rsid w:val="3ADB4F84"/>
    <w:rsid w:val="3AF674E1"/>
    <w:rsid w:val="3B0D60B9"/>
    <w:rsid w:val="3B1C5B52"/>
    <w:rsid w:val="3B210FD4"/>
    <w:rsid w:val="3B6028AD"/>
    <w:rsid w:val="3B8F36BC"/>
    <w:rsid w:val="3B95765D"/>
    <w:rsid w:val="3BC74EB5"/>
    <w:rsid w:val="3BFB4949"/>
    <w:rsid w:val="3CF37C95"/>
    <w:rsid w:val="3CF51A71"/>
    <w:rsid w:val="3D42078D"/>
    <w:rsid w:val="3D682886"/>
    <w:rsid w:val="3DE14C59"/>
    <w:rsid w:val="3DEC7E86"/>
    <w:rsid w:val="3E01386B"/>
    <w:rsid w:val="3E311682"/>
    <w:rsid w:val="3E426F25"/>
    <w:rsid w:val="3E570AD6"/>
    <w:rsid w:val="3E72078C"/>
    <w:rsid w:val="3E870BDD"/>
    <w:rsid w:val="3F3644A8"/>
    <w:rsid w:val="3F40641B"/>
    <w:rsid w:val="3F641465"/>
    <w:rsid w:val="3F8458C8"/>
    <w:rsid w:val="3FAC2494"/>
    <w:rsid w:val="3FC9392E"/>
    <w:rsid w:val="3FC96603"/>
    <w:rsid w:val="3FD067FE"/>
    <w:rsid w:val="400A3A9F"/>
    <w:rsid w:val="401218F1"/>
    <w:rsid w:val="405A5E91"/>
    <w:rsid w:val="409657D4"/>
    <w:rsid w:val="40C707D6"/>
    <w:rsid w:val="40D43811"/>
    <w:rsid w:val="40ED38B6"/>
    <w:rsid w:val="40ED59CD"/>
    <w:rsid w:val="415D305B"/>
    <w:rsid w:val="41AE0D01"/>
    <w:rsid w:val="41C84E9E"/>
    <w:rsid w:val="41CD1A70"/>
    <w:rsid w:val="41DE5EB7"/>
    <w:rsid w:val="421D6483"/>
    <w:rsid w:val="42391D82"/>
    <w:rsid w:val="429E5EF4"/>
    <w:rsid w:val="42A438D5"/>
    <w:rsid w:val="42AC774A"/>
    <w:rsid w:val="42B45ED6"/>
    <w:rsid w:val="42CF7D5C"/>
    <w:rsid w:val="43314765"/>
    <w:rsid w:val="43D818A3"/>
    <w:rsid w:val="441D4F2C"/>
    <w:rsid w:val="44763239"/>
    <w:rsid w:val="44926FB3"/>
    <w:rsid w:val="449E0C64"/>
    <w:rsid w:val="44C62F9B"/>
    <w:rsid w:val="452D6026"/>
    <w:rsid w:val="45560928"/>
    <w:rsid w:val="4586636A"/>
    <w:rsid w:val="45E35131"/>
    <w:rsid w:val="45F14979"/>
    <w:rsid w:val="4639765D"/>
    <w:rsid w:val="465D6A7A"/>
    <w:rsid w:val="466C60C9"/>
    <w:rsid w:val="46C27828"/>
    <w:rsid w:val="46D658E2"/>
    <w:rsid w:val="47253D9E"/>
    <w:rsid w:val="472F541E"/>
    <w:rsid w:val="47A2560E"/>
    <w:rsid w:val="47A9617F"/>
    <w:rsid w:val="47BF1961"/>
    <w:rsid w:val="48CA5516"/>
    <w:rsid w:val="491FF225"/>
    <w:rsid w:val="4A100110"/>
    <w:rsid w:val="4A245111"/>
    <w:rsid w:val="4A2E67F9"/>
    <w:rsid w:val="4ACA3E03"/>
    <w:rsid w:val="4B414A91"/>
    <w:rsid w:val="4B775B8E"/>
    <w:rsid w:val="4BEC6D8D"/>
    <w:rsid w:val="4C4536BA"/>
    <w:rsid w:val="4C7D6793"/>
    <w:rsid w:val="4C8271CE"/>
    <w:rsid w:val="4CA6128B"/>
    <w:rsid w:val="4CC84341"/>
    <w:rsid w:val="4CD96826"/>
    <w:rsid w:val="4CF85709"/>
    <w:rsid w:val="4D2A2406"/>
    <w:rsid w:val="4DBC7AD0"/>
    <w:rsid w:val="4DC82B0F"/>
    <w:rsid w:val="4DDA5818"/>
    <w:rsid w:val="4DF2439A"/>
    <w:rsid w:val="4DFD26D6"/>
    <w:rsid w:val="4E1A0921"/>
    <w:rsid w:val="4E433DF4"/>
    <w:rsid w:val="4E960B68"/>
    <w:rsid w:val="4EB657F5"/>
    <w:rsid w:val="4EF4379C"/>
    <w:rsid w:val="4EFA2E39"/>
    <w:rsid w:val="4EFE0221"/>
    <w:rsid w:val="4F25785B"/>
    <w:rsid w:val="4F2B4296"/>
    <w:rsid w:val="4F2E382E"/>
    <w:rsid w:val="4F7B19B9"/>
    <w:rsid w:val="4F8D1F64"/>
    <w:rsid w:val="4F9B344E"/>
    <w:rsid w:val="4FFD214C"/>
    <w:rsid w:val="500A1145"/>
    <w:rsid w:val="502D31AE"/>
    <w:rsid w:val="504E472B"/>
    <w:rsid w:val="505E4EEC"/>
    <w:rsid w:val="50DC54F2"/>
    <w:rsid w:val="50EB0883"/>
    <w:rsid w:val="5119654A"/>
    <w:rsid w:val="51616D7D"/>
    <w:rsid w:val="51686662"/>
    <w:rsid w:val="51811EF3"/>
    <w:rsid w:val="52586883"/>
    <w:rsid w:val="528A0FCD"/>
    <w:rsid w:val="52901F8D"/>
    <w:rsid w:val="52933A51"/>
    <w:rsid w:val="52CD16E0"/>
    <w:rsid w:val="52EC7A9C"/>
    <w:rsid w:val="531822DD"/>
    <w:rsid w:val="53355FD4"/>
    <w:rsid w:val="5352765A"/>
    <w:rsid w:val="538D016E"/>
    <w:rsid w:val="53B20354"/>
    <w:rsid w:val="53F25AA2"/>
    <w:rsid w:val="541B6E32"/>
    <w:rsid w:val="5422259D"/>
    <w:rsid w:val="54B36939"/>
    <w:rsid w:val="54C151E2"/>
    <w:rsid w:val="55217230"/>
    <w:rsid w:val="555A0994"/>
    <w:rsid w:val="55FA6754"/>
    <w:rsid w:val="561528CA"/>
    <w:rsid w:val="56227E7D"/>
    <w:rsid w:val="56697440"/>
    <w:rsid w:val="56936812"/>
    <w:rsid w:val="56BF4949"/>
    <w:rsid w:val="56CE5DE3"/>
    <w:rsid w:val="56D5096D"/>
    <w:rsid w:val="57611D27"/>
    <w:rsid w:val="576A5475"/>
    <w:rsid w:val="5777D4F5"/>
    <w:rsid w:val="57AB151B"/>
    <w:rsid w:val="57E80024"/>
    <w:rsid w:val="57F3556E"/>
    <w:rsid w:val="584B1314"/>
    <w:rsid w:val="58881E55"/>
    <w:rsid w:val="58B14BDB"/>
    <w:rsid w:val="5919275F"/>
    <w:rsid w:val="593377FF"/>
    <w:rsid w:val="5946474F"/>
    <w:rsid w:val="598F2728"/>
    <w:rsid w:val="59BA628F"/>
    <w:rsid w:val="59DD8326"/>
    <w:rsid w:val="5A6F73CB"/>
    <w:rsid w:val="5AB858A8"/>
    <w:rsid w:val="5B141D15"/>
    <w:rsid w:val="5B2A5C17"/>
    <w:rsid w:val="5B6C4DB5"/>
    <w:rsid w:val="5B8E604B"/>
    <w:rsid w:val="5B974F28"/>
    <w:rsid w:val="5BBC028C"/>
    <w:rsid w:val="5BD80B32"/>
    <w:rsid w:val="5C176A01"/>
    <w:rsid w:val="5C1A0FF1"/>
    <w:rsid w:val="5C5B6CE3"/>
    <w:rsid w:val="5C5F4344"/>
    <w:rsid w:val="5C693FCF"/>
    <w:rsid w:val="5C8B7870"/>
    <w:rsid w:val="5CAC67B1"/>
    <w:rsid w:val="5CC14029"/>
    <w:rsid w:val="5CD425A4"/>
    <w:rsid w:val="5D134069"/>
    <w:rsid w:val="5D1468B1"/>
    <w:rsid w:val="5D186D22"/>
    <w:rsid w:val="5D301E6D"/>
    <w:rsid w:val="5D4A2472"/>
    <w:rsid w:val="5D63343D"/>
    <w:rsid w:val="5DCF74BB"/>
    <w:rsid w:val="5DDA58BC"/>
    <w:rsid w:val="5DEF592A"/>
    <w:rsid w:val="5E174519"/>
    <w:rsid w:val="5E4403DE"/>
    <w:rsid w:val="5E621753"/>
    <w:rsid w:val="5E6D1DCD"/>
    <w:rsid w:val="5E7528DA"/>
    <w:rsid w:val="5E914E87"/>
    <w:rsid w:val="5EC47206"/>
    <w:rsid w:val="5ECE3A8D"/>
    <w:rsid w:val="5F1441B9"/>
    <w:rsid w:val="5F4D11E8"/>
    <w:rsid w:val="5FC6BB1E"/>
    <w:rsid w:val="5FF162FE"/>
    <w:rsid w:val="5FF720F1"/>
    <w:rsid w:val="60071F12"/>
    <w:rsid w:val="6073059A"/>
    <w:rsid w:val="607B5843"/>
    <w:rsid w:val="6083296A"/>
    <w:rsid w:val="60D96A8A"/>
    <w:rsid w:val="61302264"/>
    <w:rsid w:val="61530346"/>
    <w:rsid w:val="617076B5"/>
    <w:rsid w:val="619E3C47"/>
    <w:rsid w:val="61BA63E5"/>
    <w:rsid w:val="61DF0A55"/>
    <w:rsid w:val="62337AB8"/>
    <w:rsid w:val="628E20ED"/>
    <w:rsid w:val="63551DEB"/>
    <w:rsid w:val="637241BB"/>
    <w:rsid w:val="637C0579"/>
    <w:rsid w:val="63C31189"/>
    <w:rsid w:val="63FB2DF2"/>
    <w:rsid w:val="64295E76"/>
    <w:rsid w:val="64AF13F1"/>
    <w:rsid w:val="64B179C6"/>
    <w:rsid w:val="64D42628"/>
    <w:rsid w:val="653E1644"/>
    <w:rsid w:val="656B6A04"/>
    <w:rsid w:val="65FD1377"/>
    <w:rsid w:val="661D1424"/>
    <w:rsid w:val="662442C3"/>
    <w:rsid w:val="66433F58"/>
    <w:rsid w:val="664715CA"/>
    <w:rsid w:val="66B104FF"/>
    <w:rsid w:val="66C04221"/>
    <w:rsid w:val="66C64A3F"/>
    <w:rsid w:val="66DF248C"/>
    <w:rsid w:val="66E45A8C"/>
    <w:rsid w:val="67067996"/>
    <w:rsid w:val="672453C4"/>
    <w:rsid w:val="676A21A8"/>
    <w:rsid w:val="676D3BBE"/>
    <w:rsid w:val="6775448C"/>
    <w:rsid w:val="67895AF9"/>
    <w:rsid w:val="67A32ED5"/>
    <w:rsid w:val="67BB3A30"/>
    <w:rsid w:val="67DE55C1"/>
    <w:rsid w:val="67FF5C0B"/>
    <w:rsid w:val="683640ED"/>
    <w:rsid w:val="684E53AE"/>
    <w:rsid w:val="68517FC8"/>
    <w:rsid w:val="687D66EB"/>
    <w:rsid w:val="6890211D"/>
    <w:rsid w:val="68A25F6A"/>
    <w:rsid w:val="68AA6292"/>
    <w:rsid w:val="68B01813"/>
    <w:rsid w:val="68F723DD"/>
    <w:rsid w:val="6904618A"/>
    <w:rsid w:val="69433018"/>
    <w:rsid w:val="696F4423"/>
    <w:rsid w:val="698F1C59"/>
    <w:rsid w:val="69B27D65"/>
    <w:rsid w:val="69E63DE8"/>
    <w:rsid w:val="69F138EF"/>
    <w:rsid w:val="6A172C68"/>
    <w:rsid w:val="6A955E23"/>
    <w:rsid w:val="6AA7652F"/>
    <w:rsid w:val="6B045C0B"/>
    <w:rsid w:val="6B9F3B8A"/>
    <w:rsid w:val="6BAA4A2F"/>
    <w:rsid w:val="6BAE149F"/>
    <w:rsid w:val="6BB377CD"/>
    <w:rsid w:val="6BC262AB"/>
    <w:rsid w:val="6C050F2F"/>
    <w:rsid w:val="6C173A76"/>
    <w:rsid w:val="6C386B3D"/>
    <w:rsid w:val="6C3E61EC"/>
    <w:rsid w:val="6C56510A"/>
    <w:rsid w:val="6CB468A4"/>
    <w:rsid w:val="6CBB4EB3"/>
    <w:rsid w:val="6CD5429B"/>
    <w:rsid w:val="6CF62BDA"/>
    <w:rsid w:val="6D303C37"/>
    <w:rsid w:val="6D3078B4"/>
    <w:rsid w:val="6D464C3B"/>
    <w:rsid w:val="6DB80F1C"/>
    <w:rsid w:val="6DC67F6E"/>
    <w:rsid w:val="6DCB60E6"/>
    <w:rsid w:val="6E13538F"/>
    <w:rsid w:val="6E212806"/>
    <w:rsid w:val="6E311D26"/>
    <w:rsid w:val="6E3C1BFA"/>
    <w:rsid w:val="6E9A6FCA"/>
    <w:rsid w:val="6EFA65C1"/>
    <w:rsid w:val="6EFC0924"/>
    <w:rsid w:val="6F113252"/>
    <w:rsid w:val="6F194119"/>
    <w:rsid w:val="6F434E63"/>
    <w:rsid w:val="6F8774CF"/>
    <w:rsid w:val="6FA71CA6"/>
    <w:rsid w:val="6FB74722"/>
    <w:rsid w:val="6FC73334"/>
    <w:rsid w:val="6FCB1920"/>
    <w:rsid w:val="6FDA3FD5"/>
    <w:rsid w:val="6FEF8B7E"/>
    <w:rsid w:val="70022DEF"/>
    <w:rsid w:val="701C478A"/>
    <w:rsid w:val="701E6590"/>
    <w:rsid w:val="705A6CCB"/>
    <w:rsid w:val="70601656"/>
    <w:rsid w:val="70924405"/>
    <w:rsid w:val="70CF5277"/>
    <w:rsid w:val="712354DE"/>
    <w:rsid w:val="7151662D"/>
    <w:rsid w:val="71A6591B"/>
    <w:rsid w:val="71D439C3"/>
    <w:rsid w:val="71ED0A20"/>
    <w:rsid w:val="721C2134"/>
    <w:rsid w:val="72444184"/>
    <w:rsid w:val="72AF6E32"/>
    <w:rsid w:val="72B521AE"/>
    <w:rsid w:val="72DE3C6E"/>
    <w:rsid w:val="73097193"/>
    <w:rsid w:val="7315035A"/>
    <w:rsid w:val="731C3DFE"/>
    <w:rsid w:val="73301198"/>
    <w:rsid w:val="737D59BA"/>
    <w:rsid w:val="737F32B1"/>
    <w:rsid w:val="73807CFC"/>
    <w:rsid w:val="73C87FFE"/>
    <w:rsid w:val="73D66A13"/>
    <w:rsid w:val="73FC7F9D"/>
    <w:rsid w:val="740827E5"/>
    <w:rsid w:val="748A0B83"/>
    <w:rsid w:val="74DB1E6F"/>
    <w:rsid w:val="751B3A4F"/>
    <w:rsid w:val="76501A65"/>
    <w:rsid w:val="765F096E"/>
    <w:rsid w:val="76652483"/>
    <w:rsid w:val="76735ED8"/>
    <w:rsid w:val="768F65B7"/>
    <w:rsid w:val="76B9216E"/>
    <w:rsid w:val="76D4684E"/>
    <w:rsid w:val="77005FE6"/>
    <w:rsid w:val="772E359C"/>
    <w:rsid w:val="776335E4"/>
    <w:rsid w:val="77A752D7"/>
    <w:rsid w:val="77A964BE"/>
    <w:rsid w:val="77C37683"/>
    <w:rsid w:val="77D600A4"/>
    <w:rsid w:val="78004265"/>
    <w:rsid w:val="780E4DBB"/>
    <w:rsid w:val="783A5F84"/>
    <w:rsid w:val="784D7084"/>
    <w:rsid w:val="78813105"/>
    <w:rsid w:val="789E0EA3"/>
    <w:rsid w:val="78B72732"/>
    <w:rsid w:val="791F6302"/>
    <w:rsid w:val="792C3333"/>
    <w:rsid w:val="797935CD"/>
    <w:rsid w:val="79AD7B5A"/>
    <w:rsid w:val="79D978D8"/>
    <w:rsid w:val="79FF515B"/>
    <w:rsid w:val="7A0A4D34"/>
    <w:rsid w:val="7A2F2AD2"/>
    <w:rsid w:val="7A450E50"/>
    <w:rsid w:val="7A527BEA"/>
    <w:rsid w:val="7AED670D"/>
    <w:rsid w:val="7B0D6E31"/>
    <w:rsid w:val="7B1B08F2"/>
    <w:rsid w:val="7B2C6C87"/>
    <w:rsid w:val="7B305676"/>
    <w:rsid w:val="7B43368F"/>
    <w:rsid w:val="7B4B1B45"/>
    <w:rsid w:val="7B71779E"/>
    <w:rsid w:val="7BB67D3E"/>
    <w:rsid w:val="7BBC635C"/>
    <w:rsid w:val="7BC75EDC"/>
    <w:rsid w:val="7C0F26EF"/>
    <w:rsid w:val="7C173082"/>
    <w:rsid w:val="7C2F3363"/>
    <w:rsid w:val="7C530664"/>
    <w:rsid w:val="7C5603C9"/>
    <w:rsid w:val="7C71364E"/>
    <w:rsid w:val="7CE008D2"/>
    <w:rsid w:val="7CFB5247"/>
    <w:rsid w:val="7D1C31A1"/>
    <w:rsid w:val="7D9C6CCE"/>
    <w:rsid w:val="7DB92B9C"/>
    <w:rsid w:val="7DBE4164"/>
    <w:rsid w:val="7DC75621"/>
    <w:rsid w:val="7E137B71"/>
    <w:rsid w:val="7E2D2E98"/>
    <w:rsid w:val="7E9E1962"/>
    <w:rsid w:val="7E9F11B4"/>
    <w:rsid w:val="7F2771B7"/>
    <w:rsid w:val="7F2B291D"/>
    <w:rsid w:val="7F37EC1E"/>
    <w:rsid w:val="7F6A24F4"/>
    <w:rsid w:val="7F7DCD9D"/>
    <w:rsid w:val="7F822C59"/>
    <w:rsid w:val="7F8B0652"/>
    <w:rsid w:val="7F970A6F"/>
    <w:rsid w:val="7FC1FFF3"/>
    <w:rsid w:val="7FC69637"/>
    <w:rsid w:val="7FCF6195"/>
    <w:rsid w:val="7FDF8620"/>
    <w:rsid w:val="7FFB242F"/>
    <w:rsid w:val="7FFDB408"/>
    <w:rsid w:val="7FFE4EEB"/>
    <w:rsid w:val="95FB2B98"/>
    <w:rsid w:val="9A639BC2"/>
    <w:rsid w:val="9FF7D786"/>
    <w:rsid w:val="ABBFB23D"/>
    <w:rsid w:val="C3B4DA5A"/>
    <w:rsid w:val="CBFF70E0"/>
    <w:rsid w:val="CFF50B82"/>
    <w:rsid w:val="CFFFAD89"/>
    <w:rsid w:val="DFFE359E"/>
    <w:rsid w:val="DFFE4FFD"/>
    <w:rsid w:val="EEABED75"/>
    <w:rsid w:val="F56FDF51"/>
    <w:rsid w:val="F6B69F17"/>
    <w:rsid w:val="F77F1D61"/>
    <w:rsid w:val="F7FED3A9"/>
    <w:rsid w:val="F8C9DB26"/>
    <w:rsid w:val="F97E8EAE"/>
    <w:rsid w:val="FB36E1A6"/>
    <w:rsid w:val="FB3BE134"/>
    <w:rsid w:val="FCFF4275"/>
    <w:rsid w:val="FD7FEEEA"/>
    <w:rsid w:val="FDFFB577"/>
    <w:rsid w:val="FEEA50FE"/>
    <w:rsid w:val="FF7D47A9"/>
    <w:rsid w:val="FFCF21CB"/>
    <w:rsid w:val="FF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next w:val="4"/>
    <w:unhideWhenUsed/>
    <w:qFormat/>
    <w:uiPriority w:val="99"/>
    <w:pPr>
      <w:widowControl/>
      <w:spacing w:after="120"/>
      <w:ind w:left="420" w:leftChars="200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next w:val="4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autoSpaceDE/>
      <w:autoSpaceDN/>
      <w:adjustRightInd/>
      <w:spacing w:before="100" w:beforeLines="0" w:beforeAutospacing="1" w:after="100" w:afterLines="0" w:afterAutospacing="1"/>
    </w:pPr>
    <w:rPr>
      <w:rFonts w:hint="eastAsia" w:ascii="Times New Roman" w:hAnsi="Times New Roman"/>
      <w:sz w:val="24"/>
    </w:r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2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24</Pages>
  <Words>1347</Words>
  <Characters>7679</Characters>
  <Lines>63</Lines>
  <Paragraphs>18</Paragraphs>
  <TotalTime>271</TotalTime>
  <ScaleCrop>false</ScaleCrop>
  <LinksUpToDate>false</LinksUpToDate>
  <CharactersWithSpaces>9008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2020-07-08T02:32:00Z</dcterms:created>
  <dc:creator>李航 null</dc:creator>
  <cp:lastModifiedBy>笑魂魂</cp:lastModifiedBy>
  <cp:lastPrinted>2024-08-08T10:20:00Z</cp:lastPrinted>
  <dcterms:modified xsi:type="dcterms:W3CDTF">2024-09-27T08:17:34Z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98623D6660B449428EB8E073C6C952EA</vt:lpwstr>
  </property>
</Properties>
</file>