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sz w:val="56"/>
          <w:szCs w:val="56"/>
        </w:rPr>
      </w:pPr>
    </w:p>
    <w:p>
      <w:pPr>
        <w:pStyle w:val="16"/>
        <w:jc w:val="center"/>
        <w:rPr>
          <w:sz w:val="56"/>
          <w:szCs w:val="56"/>
        </w:rPr>
      </w:pPr>
    </w:p>
    <w:p>
      <w:pPr>
        <w:pStyle w:val="16"/>
        <w:jc w:val="center"/>
        <w:rPr>
          <w:sz w:val="84"/>
          <w:szCs w:val="84"/>
        </w:rPr>
      </w:pPr>
    </w:p>
    <w:p>
      <w:pPr>
        <w:pStyle w:val="16"/>
        <w:jc w:val="center"/>
        <w:rPr>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决算</w:t>
      </w:r>
    </w:p>
    <w:p>
      <w:pPr>
        <w:pStyle w:val="16"/>
        <w:jc w:val="center"/>
        <w:rPr>
          <w:rFonts w:hint="eastAsia" w:ascii="方正小标宋_GBK" w:hAnsi="方正小标宋_GBK" w:eastAsia="方正小标宋_GBK" w:cs="方正小标宋_GBK"/>
          <w:sz w:val="56"/>
          <w:szCs w:val="56"/>
        </w:rPr>
      </w:pPr>
    </w:p>
    <w:p>
      <w:pPr>
        <w:pStyle w:val="16"/>
        <w:jc w:val="center"/>
        <w:rPr>
          <w:sz w:val="56"/>
          <w:szCs w:val="56"/>
        </w:rPr>
      </w:pPr>
    </w:p>
    <w:p>
      <w:pPr>
        <w:pStyle w:val="16"/>
        <w:jc w:val="center"/>
        <w:rPr>
          <w:sz w:val="56"/>
          <w:szCs w:val="56"/>
        </w:rPr>
      </w:pPr>
    </w:p>
    <w:p>
      <w:pPr>
        <w:pStyle w:val="16"/>
        <w:jc w:val="center"/>
        <w:rPr>
          <w:sz w:val="56"/>
          <w:szCs w:val="56"/>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jc w:val="center"/>
        <w:rPr>
          <w:sz w:val="32"/>
          <w:szCs w:val="32"/>
        </w:rPr>
      </w:pPr>
    </w:p>
    <w:p>
      <w:pPr>
        <w:pStyle w:val="16"/>
        <w:spacing w:line="540" w:lineRule="exact"/>
        <w:jc w:val="center"/>
        <w:rPr>
          <w:sz w:val="56"/>
          <w:szCs w:val="56"/>
        </w:rPr>
      </w:pPr>
    </w:p>
    <w:p>
      <w:pPr>
        <w:pStyle w:val="16"/>
        <w:spacing w:line="500" w:lineRule="exact"/>
        <w:jc w:val="both"/>
        <w:rPr>
          <w:b/>
          <w:sz w:val="36"/>
          <w:szCs w:val="28"/>
        </w:rPr>
      </w:pPr>
    </w:p>
    <w:p>
      <w:pPr>
        <w:pStyle w:val="16"/>
        <w:spacing w:line="500" w:lineRule="exact"/>
        <w:jc w:val="center"/>
        <w:rPr>
          <w:b/>
          <w:sz w:val="36"/>
          <w:szCs w:val="28"/>
        </w:rPr>
      </w:pPr>
      <w:r>
        <w:rPr>
          <w:rFonts w:hint="eastAsia"/>
          <w:b/>
          <w:sz w:val="36"/>
          <w:szCs w:val="28"/>
        </w:rPr>
        <w:t>目录</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岳阳市红十字会</w:t>
      </w:r>
      <w:r>
        <w:rPr>
          <w:rFonts w:hint="eastAsia" w:ascii="黑体" w:hAnsi="黑体" w:eastAsia="黑体" w:cs="黑体"/>
          <w:b w:val="0"/>
          <w:bCs/>
          <w:sz w:val="28"/>
          <w:szCs w:val="28"/>
        </w:rPr>
        <w:t>概况</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6"/>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bookmarkStart w:id="0" w:name="_GoBack"/>
      <w:bookmarkEnd w:id="0"/>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6"/>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6"/>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6"/>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6"/>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岳阳市红十字会</w:t>
      </w:r>
      <w:r>
        <w:rPr>
          <w:rFonts w:hint="eastAsia" w:ascii="方正小标宋_GBK" w:hAnsi="方正小标宋_GBK" w:eastAsia="方正小标宋_GBK" w:cs="方正小标宋_GBK"/>
          <w:sz w:val="84"/>
          <w:szCs w:val="84"/>
        </w:rPr>
        <w:t>概况</w:t>
      </w: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9"/>
        <w:rPr>
          <w:rFonts w:hint="eastAsia" w:ascii="方正小标宋_GBK" w:hAnsi="方正小标宋_GBK" w:eastAsia="方正小标宋_GBK" w:cs="方正小标宋_GBK"/>
          <w:sz w:val="84"/>
          <w:szCs w:val="84"/>
        </w:rPr>
      </w:pPr>
    </w:p>
    <w:p>
      <w:pPr>
        <w:pStyle w:val="5"/>
        <w:rPr>
          <w:rFonts w:hint="eastAsia" w:ascii="方正小标宋_GBK" w:hAnsi="方正小标宋_GBK" w:eastAsia="方正小标宋_GBK" w:cs="方正小标宋_GBK"/>
          <w:sz w:val="84"/>
          <w:szCs w:val="84"/>
        </w:rPr>
      </w:pPr>
    </w:p>
    <w:p>
      <w:pPr>
        <w:pStyle w:val="17"/>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800" w:firstLineChars="25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开展备灾救灾工作，建立红十字应急救援体系。在自然灾害、公共卫生事件等突发事件中，对伤病人员和其他受害者提供紧急救援和人道救助。争取国内外红十字组织的援助，募集资金和物资，协助组织抗灾救灾。</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val="en-US" w:eastAsia="zh-CN"/>
        </w:rPr>
        <w:t>、开展应急救护和防病知识的宣传、普及、培训；组织群众参加意外伤害和自然灾害的现场救护；提高应急条件下的应急救助能力和水平。</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三</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、参与、推动无偿献血、遗体和人体器官捐献工作，参与开展造血干细胞捐献的相关工作。</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四</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、开展红十字志愿服务、红十字青少年工作。</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五</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、开展国内外红十字组织交流工作及参加国际人道主义救援工作。</w:t>
      </w:r>
    </w:p>
    <w:p>
      <w:pPr>
        <w:ind w:firstLine="800" w:firstLineChars="250"/>
        <w:jc w:val="left"/>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六</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、完成市委、市政府交办的其他事项。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960" w:firstLineChars="3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根据市编委核定，市红十字会设下列内设机构3个，内设处室分别是办公室（组织宣传部）；赈济救护部（捐献服务部）；筹资与财务部。</w:t>
      </w:r>
    </w:p>
    <w:p>
      <w:pPr>
        <w:widowControl/>
        <w:spacing w:line="600" w:lineRule="exact"/>
        <w:ind w:firstLine="960" w:firstLineChars="3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2023年度部门决算汇总公开单位仅包括岳阳市红十字会本级</w:t>
      </w:r>
      <w:r>
        <w:rPr>
          <w:rFonts w:hint="eastAsia" w:ascii="Times New Roman" w:hAnsi="Times New Roman" w:eastAsia="仿宋_GB2312" w:cs="仿宋_GB2312"/>
          <w:bCs/>
          <w:kern w:val="0"/>
          <w:sz w:val="32"/>
          <w:szCs w:val="32"/>
        </w:rPr>
        <w:t>。</w:t>
      </w: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16"/>
        <w:ind w:firstLine="3360" w:firstLineChars="400"/>
        <w:jc w:val="both"/>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6"/>
        <w:jc w:val="center"/>
        <w:rPr>
          <w:rFonts w:hint="eastAsia" w:ascii="方正小标宋_GBK" w:hAnsi="方正小标宋_GBK" w:eastAsia="方正小标宋_GBK" w:cs="方正小标宋_GBK"/>
          <w:sz w:val="84"/>
          <w:szCs w:val="84"/>
        </w:rPr>
      </w:pPr>
    </w:p>
    <w:p>
      <w:pPr>
        <w:pStyle w:val="16"/>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6"/>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仿宋_GB2312" w:hAnsi="仿宋_GB2312" w:eastAsia="仿宋_GB2312" w:cs="仿宋_GB2312"/>
          <w:b w:val="0"/>
          <w:bCs w:val="0"/>
          <w:sz w:val="72"/>
          <w:szCs w:val="72"/>
          <w:lang w:eastAsia="zh-CN"/>
        </w:rPr>
      </w:pPr>
    </w:p>
    <w:p>
      <w:pPr>
        <w:pStyle w:val="16"/>
        <w:jc w:val="center"/>
        <w:rPr>
          <w:rFonts w:hint="eastAsia" w:ascii="方正小标宋_GBK" w:hAnsi="方正小标宋_GBK" w:eastAsia="方正小标宋_GBK" w:cs="方正小标宋_GBK"/>
          <w:sz w:val="72"/>
          <w:szCs w:val="72"/>
        </w:rPr>
      </w:pPr>
    </w:p>
    <w:p>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pStyle w:val="16"/>
        <w:jc w:val="center"/>
        <w:rPr>
          <w:rFonts w:hint="eastAsia" w:ascii="方正小标宋_GBK" w:hAnsi="方正小标宋_GBK" w:eastAsia="方正小标宋_GBK" w:cs="方正小标宋_GBK"/>
          <w:sz w:val="70"/>
          <w:szCs w:val="70"/>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p>
    <w:p>
      <w:pPr>
        <w:widowControl/>
        <w:ind w:firstLine="320" w:firstLineChars="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285.32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4.96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000000" w:themeColor="text1"/>
          <w:sz w:val="32"/>
          <w:szCs w:val="32"/>
          <w14:textFill>
            <w14:solidFill>
              <w14:schemeClr w14:val="tx1"/>
            </w14:solidFill>
          </w14:textFill>
        </w:rPr>
        <w:t>是因为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2023年其他收入比2022年其他收入减少。</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242.69</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40.52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285.31</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113.41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171.9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6"/>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202.17</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99.34</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96.6</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2023年新增加在编人员3人，增加新的项目1个。</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（二）一般公共预算财政拨款支出决算结构情况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万元，主要用于以下方面：一般公共服务（类）支出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8.57</w:t>
      </w:r>
      <w:r>
        <w:rPr>
          <w:rFonts w:hint="eastAsia" w:ascii="仿宋_GB2312" w:hAnsi="仿宋_GB2312" w:eastAsia="仿宋_GB2312" w:cs="仿宋_GB2312"/>
          <w:color w:val="auto"/>
          <w:sz w:val="32"/>
          <w:szCs w:val="32"/>
        </w:rPr>
        <w:t>%；社会保障和就业支出（类）支出</w:t>
      </w:r>
      <w:r>
        <w:rPr>
          <w:rFonts w:hint="eastAsia" w:ascii="仿宋_GB2312" w:hAnsi="仿宋_GB2312" w:eastAsia="仿宋_GB2312" w:cs="仿宋_GB2312"/>
          <w:color w:val="auto"/>
          <w:sz w:val="32"/>
          <w:szCs w:val="32"/>
          <w:lang w:val="en-US" w:eastAsia="zh-CN"/>
        </w:rPr>
        <w:t>172.63</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85.39</w:t>
      </w:r>
      <w:r>
        <w:rPr>
          <w:rFonts w:hint="eastAsia" w:ascii="仿宋_GB2312" w:hAnsi="仿宋_GB2312" w:eastAsia="仿宋_GB2312" w:cs="仿宋_GB2312"/>
          <w:color w:val="auto"/>
          <w:sz w:val="32"/>
          <w:szCs w:val="32"/>
        </w:rPr>
        <w:t>%;卫生健康支出</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val="en-US" w:eastAsia="zh-CN"/>
        </w:rPr>
        <w:t>3.22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；住房保障支出</w:t>
      </w:r>
      <w:r>
        <w:rPr>
          <w:rFonts w:hint="eastAsia" w:ascii="仿宋_GB2312" w:hAnsi="仿宋_GB2312" w:eastAsia="仿宋_GB2312" w:cs="仿宋_GB2312"/>
          <w:color w:val="auto"/>
          <w:sz w:val="32"/>
          <w:szCs w:val="32"/>
          <w:lang w:val="en-US" w:eastAsia="zh-CN"/>
        </w:rPr>
        <w:t>5.71，占2.82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（三）一般公共预算财政拨款支出决算具体情况</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105.79</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202.17</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191</w:t>
      </w:r>
      <w:r>
        <w:rPr>
          <w:rFonts w:hint="eastAsia" w:ascii="仿宋_GB2312" w:hAnsi="仿宋_GB2312" w:eastAsia="仿宋_GB2312" w:cs="仿宋_GB2312"/>
          <w:color w:val="auto"/>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1、一般公共服务（类）群众团体事务（款） 其他群众团体事务支出（项）。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17.32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101</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2023年新增3名在编工作人员。</w:t>
      </w:r>
    </w:p>
    <w:p>
      <w:pPr>
        <w:pStyle w:val="16"/>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机关事业单位基本养老保险缴费</w:t>
      </w:r>
      <w:r>
        <w:rPr>
          <w:rFonts w:hint="eastAsia" w:ascii="仿宋_GB2312" w:hAnsi="仿宋_GB2312" w:eastAsia="仿宋_GB2312" w:cs="仿宋_GB2312"/>
          <w:color w:val="auto"/>
          <w:sz w:val="32"/>
          <w:szCs w:val="32"/>
        </w:rPr>
        <w:t>（项）。</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5.85</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%，决算数</w:t>
      </w:r>
      <w:r>
        <w:rPr>
          <w:rFonts w:hint="eastAsia" w:ascii="仿宋_GB2312" w:hAnsi="仿宋_GB2312" w:eastAsia="仿宋_GB2312" w:cs="仿宋_GB2312"/>
          <w:color w:val="auto"/>
          <w:sz w:val="32"/>
          <w:szCs w:val="32"/>
          <w:lang w:eastAsia="zh-CN"/>
        </w:rPr>
        <w:t>等于</w:t>
      </w:r>
      <w:r>
        <w:rPr>
          <w:rFonts w:hint="eastAsia" w:ascii="仿宋_GB2312" w:hAnsi="仿宋_GB2312" w:eastAsia="仿宋_GB2312" w:cs="仿宋_GB2312"/>
          <w:color w:val="auto"/>
          <w:sz w:val="32"/>
          <w:szCs w:val="32"/>
        </w:rPr>
        <w:t>年初预算数的主要原因是：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单位养老保险缴费支出。</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社会保障和就业支出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红十字事业支出</w:t>
      </w:r>
      <w:r>
        <w:rPr>
          <w:rFonts w:hint="eastAsia" w:ascii="仿宋_GB2312" w:hAnsi="仿宋_GB2312" w:eastAsia="仿宋_GB2312" w:cs="仿宋_GB2312"/>
          <w:color w:val="auto"/>
          <w:sz w:val="32"/>
          <w:szCs w:val="32"/>
        </w:rPr>
        <w:t>（款）。</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71.17</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166.78</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234</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1、2023年新增3名在编工作人员；2、项目经费追加</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卫生健康支出</w:t>
      </w:r>
      <w:r>
        <w:rPr>
          <w:rFonts w:hint="eastAsia" w:ascii="仿宋_GB2312" w:hAnsi="仿宋_GB2312" w:eastAsia="仿宋_GB2312" w:cs="仿宋_GB2312"/>
          <w:color w:val="auto"/>
          <w:sz w:val="32"/>
          <w:szCs w:val="32"/>
        </w:rPr>
        <w:t>（类）</w:t>
      </w:r>
      <w:r>
        <w:rPr>
          <w:rFonts w:hint="eastAsia" w:ascii="仿宋_GB2312" w:hAnsi="仿宋_GB2312" w:eastAsia="仿宋_GB2312" w:cs="仿宋_GB2312"/>
          <w:color w:val="auto"/>
          <w:sz w:val="32"/>
          <w:szCs w:val="32"/>
          <w:lang w:eastAsia="zh-CN"/>
        </w:rPr>
        <w:t>行政事业单位医疗</w:t>
      </w:r>
      <w:r>
        <w:rPr>
          <w:rFonts w:hint="eastAsia" w:ascii="仿宋_GB2312" w:hAnsi="仿宋_GB2312" w:eastAsia="仿宋_GB2312" w:cs="仿宋_GB2312"/>
          <w:color w:val="auto"/>
          <w:sz w:val="32"/>
          <w:szCs w:val="32"/>
        </w:rPr>
        <w:t>（款）。</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6.06</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6.51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107</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2023年新增3名在编工作人员。</w:t>
      </w:r>
    </w:p>
    <w:p>
      <w:pPr>
        <w:widowControl w:val="0"/>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5、住房保障支出（类）住房改革支出（款）。</w:t>
      </w:r>
    </w:p>
    <w:p>
      <w:pPr>
        <w:widowControl w:val="0"/>
        <w:autoSpaceDE w:val="0"/>
        <w:autoSpaceDN w:val="0"/>
        <w:adjustRightInd w:val="0"/>
        <w:ind w:firstLine="800" w:firstLineChars="25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年初预算为5.71万元，支出决算为5.71万元，完成年初预算的100%，决算数等于年初预算数的主要原因是：住房公积金支出。</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111.62</w:t>
      </w:r>
      <w:r>
        <w:rPr>
          <w:rFonts w:hint="eastAsia" w:ascii="仿宋_GB2312" w:hAnsi="仿宋_GB2312" w:eastAsia="仿宋_GB2312" w:cs="仿宋_GB2312"/>
          <w:sz w:val="32"/>
          <w:szCs w:val="32"/>
        </w:rPr>
        <w:t>万元，其中：</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96.73</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基本工资、津贴补贴、</w:t>
      </w:r>
      <w:r>
        <w:rPr>
          <w:rFonts w:hint="eastAsia" w:ascii="仿宋_GB2312" w:hAnsi="仿宋_GB2312" w:eastAsia="仿宋_GB2312" w:cs="仿宋_GB2312"/>
          <w:sz w:val="32"/>
          <w:szCs w:val="32"/>
          <w:lang w:val="zh-CN"/>
        </w:rPr>
        <w:t>奖金、伙食补助费、绩效工资、机关事业单位基本养老保险缴费、职业年金缴费、职工基本医疗保险缴费、公务员医疗补助缴费、其他社会保障缴费、住房公积金、医疗费</w:t>
      </w:r>
      <w:r>
        <w:rPr>
          <w:rFonts w:hint="eastAsia" w:ascii="仿宋_GB2312" w:hAnsi="仿宋_GB2312" w:eastAsia="仿宋_GB2312" w:cs="仿宋_GB2312"/>
          <w:sz w:val="32"/>
          <w:szCs w:val="32"/>
          <w:lang w:eastAsia="zh-CN"/>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rPr>
        <w:t>办公费、水费、电费、维修（护）费、会议费、工会经费、福利费、其他交通费用、其他商品和服务支出、办公设备购置。</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widowControl w:val="0"/>
        <w:autoSpaceDE w:val="0"/>
        <w:autoSpaceDN w:val="0"/>
        <w:adjustRightInd w:val="0"/>
        <w:ind w:firstLine="960" w:firstLineChars="3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2023年度国有资本经营预算财政拨款收入0万元；年初结转和结余0万；支出0万元；其中：基本支出0万元，项目支出0万元；年末结转和结余0万元。年末结转和结余0万元。</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2023年12月市财政提前关账，导致公车维修费用和加油费用没有及时报销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0.27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val="en-US" w:eastAsia="zh-CN"/>
        </w:rPr>
        <w:t>2023年其他省市红十字会</w:t>
      </w:r>
      <w:r>
        <w:rPr>
          <w:rFonts w:hint="eastAsia" w:ascii="仿宋_GB2312" w:hAnsi="仿宋_GB2312" w:eastAsia="仿宋_GB2312" w:cs="仿宋_GB2312"/>
          <w:color w:val="auto"/>
          <w:sz w:val="32"/>
          <w:szCs w:val="32"/>
          <w:lang w:eastAsia="zh-CN"/>
        </w:rPr>
        <w:t>来岳调研</w:t>
      </w:r>
      <w:r>
        <w:rPr>
          <w:rFonts w:hint="eastAsia" w:ascii="仿宋_GB2312" w:hAnsi="仿宋_GB2312" w:eastAsia="仿宋_GB2312" w:cs="仿宋_GB2312"/>
          <w:color w:val="auto"/>
          <w:sz w:val="32"/>
          <w:szCs w:val="32"/>
          <w:lang w:val="en-US" w:eastAsia="zh-CN"/>
        </w:rPr>
        <w:t>频次增加</w:t>
      </w:r>
      <w:r>
        <w:rPr>
          <w:rFonts w:hint="eastAsia" w:ascii="仿宋_GB2312" w:hAnsi="仿宋_GB2312" w:eastAsia="仿宋_GB2312" w:cs="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因公出国（境）费支出预算为0万元，支出决算为0万元，决算数等于预算数，主要原因是我单位严格按预算执行决算；与上年一致，无增减变动，主要原因是未安排因公出国（境）活动。</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 xml:space="preserve">决算数等于预算数，主要原因是严格执行中央八项规定；与上年一致，无增减变动，主要原因是按有关政策厉行节约，严控公务接待支出。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公务用车购置费支出预算为0万元，支出决算为0万元，决算数等于预算数，主要原因是我单位严格按预算执行决算；与上年一致，无增减变动，主要原因是两年均未购置公务用车。  </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val="en-US" w:eastAsia="zh-CN"/>
        </w:rPr>
        <w:t>2023年12月市财政提前关账，导致公车维修费用和加油费用没有报销</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%,增长的主要原因</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2023年公务用车使用频次比2022年增加</w:t>
      </w:r>
      <w:r>
        <w:rPr>
          <w:rFonts w:hint="eastAsia" w:ascii="仿宋_GB2312" w:hAnsi="仿宋_GB2312" w:eastAsia="仿宋_GB2312" w:cs="仿宋_GB2312"/>
          <w:sz w:val="32"/>
          <w:szCs w:val="32"/>
        </w:rPr>
        <w:t>。</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%。其中：</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color w:val="auto"/>
          <w:sz w:val="32"/>
          <w:szCs w:val="32"/>
          <w:lang w:eastAsia="zh-CN"/>
        </w:rPr>
        <w:t>我单位202</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lang w:eastAsia="zh-CN"/>
        </w:rPr>
        <w:t>年度无因公出国（境）费支出。</w:t>
      </w:r>
    </w:p>
    <w:p>
      <w:pPr>
        <w:pStyle w:val="16"/>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调研、考察、督查、工作学习交流</w:t>
      </w:r>
      <w:r>
        <w:rPr>
          <w:rFonts w:hint="eastAsia" w:ascii="仿宋_GB2312" w:hAnsi="仿宋_GB2312" w:eastAsia="仿宋_GB2312" w:cs="仿宋_GB2312"/>
          <w:sz w:val="32"/>
          <w:szCs w:val="32"/>
        </w:rPr>
        <w:t>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val="en-US" w:eastAsia="zh-CN"/>
        </w:rPr>
        <w:t>公务用车购置费0万元，当年没有购置公务用车。</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车辆配件和维修费、加油费、保险费、驾驶员交通安全奖、过路费等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6"/>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14.92</w:t>
      </w:r>
      <w:r>
        <w:rPr>
          <w:rFonts w:hint="eastAsia" w:ascii="仿宋_GB2312" w:hAnsi="仿宋_GB2312" w:eastAsia="仿宋_GB2312" w:cs="仿宋_GB2312"/>
          <w:sz w:val="32"/>
          <w:szCs w:val="32"/>
        </w:rPr>
        <w:t>万元，比年初预算数（或者上年决算数）减少</w:t>
      </w: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%。主要原因是：</w:t>
      </w:r>
      <w:r>
        <w:rPr>
          <w:rFonts w:hint="eastAsia" w:ascii="仿宋_GB2312" w:hAnsi="仿宋_GB2312" w:eastAsia="仿宋_GB2312" w:cs="仿宋_GB2312"/>
          <w:color w:val="auto"/>
          <w:sz w:val="32"/>
          <w:szCs w:val="32"/>
          <w:lang w:eastAsia="zh-CN"/>
        </w:rPr>
        <w:t>第四届理事会第二次会议没有召开。</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一</w:t>
      </w:r>
      <w:r>
        <w:rPr>
          <w:rFonts w:hint="eastAsia" w:ascii="黑体" w:hAnsi="黑体" w:eastAsia="黑体" w:cs="黑体"/>
          <w:b w:val="0"/>
          <w:bCs/>
          <w:color w:val="auto"/>
          <w:sz w:val="32"/>
          <w:szCs w:val="32"/>
        </w:rPr>
        <w:t>、一般性支出情况说明</w:t>
      </w:r>
    </w:p>
    <w:p>
      <w:pPr>
        <w:pStyle w:val="16"/>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年度，会议费年初预算1万元，支出决算为0万元，完成年初预算的0%。</w:t>
      </w:r>
      <w:r>
        <w:rPr>
          <w:rFonts w:hint="eastAsia" w:ascii="仿宋_GB2312" w:hAnsi="仿宋_GB2312" w:eastAsia="仿宋_GB2312" w:cs="仿宋_GB2312"/>
          <w:color w:val="auto"/>
          <w:sz w:val="32"/>
          <w:szCs w:val="32"/>
          <w:lang w:eastAsia="zh-CN"/>
        </w:rPr>
        <w:t>第四届理事会第二次会议没有召开。</w:t>
      </w:r>
    </w:p>
    <w:p>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培训费年初预算1万元，支出决算为0.9万元，完成年初预算的90%。用于开展红十字会系统干部能力提升培训，人数84人，</w:t>
      </w:r>
      <w:r>
        <w:rPr>
          <w:rFonts w:hint="eastAsia" w:ascii="仿宋_GB2312" w:hAnsi="仿宋_GB2312" w:eastAsia="仿宋_GB2312" w:cs="仿宋_GB2312"/>
          <w:color w:val="000000"/>
          <w:kern w:val="0"/>
          <w:sz w:val="32"/>
          <w:szCs w:val="32"/>
          <w:lang w:val="en-US" w:eastAsia="zh-CN" w:bidi="ar-SA"/>
        </w:rPr>
        <w:t>内容为提升红十字会系统干部能力。</w:t>
      </w:r>
    </w:p>
    <w:p>
      <w:pPr>
        <w:widowControl w:val="0"/>
        <w:autoSpaceDE w:val="0"/>
        <w:autoSpaceDN w:val="0"/>
        <w:adjustRightInd w:val="0"/>
        <w:ind w:firstLine="640" w:firstLineChars="200"/>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本部门202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年度政府采购支出总额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万元，其中：政府采购货物支出</w:t>
      </w:r>
      <w:r>
        <w:rPr>
          <w:rFonts w:hint="eastAsia" w:ascii="仿宋_GB2312" w:hAnsi="仿宋_GB2312" w:eastAsia="仿宋_GB2312" w:cs="仿宋_GB2312"/>
          <w:color w:val="auto"/>
          <w:sz w:val="32"/>
          <w:szCs w:val="32"/>
          <w:lang w:val="en-US" w:eastAsia="zh-CN"/>
        </w:rPr>
        <w:t>23.33</w:t>
      </w:r>
      <w:r>
        <w:rPr>
          <w:rFonts w:hint="eastAsia" w:ascii="仿宋_GB2312" w:hAnsi="仿宋_GB2312" w:eastAsia="仿宋_GB2312" w:cs="仿宋_GB2312"/>
          <w:color w:val="auto"/>
          <w:sz w:val="32"/>
          <w:szCs w:val="32"/>
        </w:rPr>
        <w:t xml:space="preserve"> 万元、政府采购工程支出</w:t>
      </w:r>
      <w:r>
        <w:rPr>
          <w:rFonts w:hint="eastAsia" w:ascii="仿宋_GB2312" w:hAnsi="仿宋_GB2312" w:eastAsia="仿宋_GB2312" w:cs="仿宋_GB2312"/>
          <w:color w:val="auto"/>
          <w:sz w:val="32"/>
          <w:szCs w:val="32"/>
          <w:lang w:val="en-US" w:eastAsia="zh-CN"/>
        </w:rPr>
        <w:t>14.82</w:t>
      </w:r>
      <w:r>
        <w:rPr>
          <w:rFonts w:hint="eastAsia" w:ascii="仿宋_GB2312" w:hAnsi="仿宋_GB2312" w:eastAsia="仿宋_GB2312" w:cs="仿宋_GB2312"/>
          <w:color w:val="auto"/>
          <w:sz w:val="32"/>
          <w:szCs w:val="32"/>
        </w:rPr>
        <w:t>万元、政府采购服务支出</w:t>
      </w:r>
      <w:r>
        <w:rPr>
          <w:rFonts w:hint="eastAsia" w:ascii="仿宋_GB2312" w:hAnsi="仿宋_GB2312" w:eastAsia="仿宋_GB2312" w:cs="仿宋_GB2312"/>
          <w:color w:val="auto"/>
          <w:sz w:val="32"/>
          <w:szCs w:val="32"/>
          <w:lang w:val="en-US" w:eastAsia="zh-CN"/>
        </w:rPr>
        <w:t>85.81</w:t>
      </w:r>
      <w:r>
        <w:rPr>
          <w:rFonts w:hint="eastAsia" w:ascii="仿宋_GB2312" w:hAnsi="仿宋_GB2312" w:eastAsia="仿宋_GB2312" w:cs="仿宋_GB2312"/>
          <w:color w:val="auto"/>
          <w:sz w:val="32"/>
          <w:szCs w:val="32"/>
        </w:rPr>
        <w:t>万元。授予中小企业合同金额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万元，占政府采购支出总额的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%，其中：授予小微企业合同金额</w:t>
      </w:r>
      <w:r>
        <w:rPr>
          <w:rFonts w:hint="eastAsia" w:ascii="仿宋_GB2312" w:hAnsi="仿宋_GB2312" w:eastAsia="仿宋_GB2312" w:cs="仿宋_GB2312"/>
          <w:color w:val="auto"/>
          <w:sz w:val="32"/>
          <w:szCs w:val="32"/>
          <w:lang w:val="en-US" w:eastAsia="zh-CN"/>
        </w:rPr>
        <w:t>123.96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辆，其他用车主要是</w:t>
      </w:r>
      <w:r>
        <w:rPr>
          <w:rFonts w:hint="eastAsia" w:ascii="仿宋_GB2312" w:hAnsi="仿宋_GB2312" w:eastAsia="仿宋_GB2312" w:cs="仿宋_GB2312"/>
          <w:color w:val="auto"/>
          <w:sz w:val="32"/>
          <w:szCs w:val="32"/>
          <w:lang w:eastAsia="zh-CN"/>
        </w:rPr>
        <w:t>业务部门（造血干细胞，器官捐献，应急救护等）用车</w:t>
      </w:r>
      <w:r>
        <w:rPr>
          <w:rFonts w:hint="eastAsia" w:ascii="仿宋_GB2312" w:hAnsi="仿宋_GB2312" w:eastAsia="仿宋_GB2312" w:cs="仿宋_GB2312"/>
          <w:color w:val="auto"/>
          <w:sz w:val="32"/>
          <w:szCs w:val="32"/>
        </w:rPr>
        <w:t>；单位价值100万元以上设备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202.17万元，政府性基金预算支出0万元，国有资本经营预算支出0万元。从评价情况来看，整体支出绩效评价中，2023年整体支出285.31万元，其中：基本支出113.41万元，项目支出171.9万元，本单位整体支出绩效自评综合评分100分，评价结果等次为优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90.52万元，占一般公共预算项目支出总额的100%。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从评价情况来看，项目绩效自评得分100分，评价结果等次为优秀。</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根据年初设定的绩效目标，绩效自评得分为100分。全年预算数为285.31万元，执行数为285.31万元，完成预算的100%。</w:t>
      </w:r>
      <w:r>
        <w:rPr>
          <w:rFonts w:hint="eastAsia" w:ascii="仿宋_GB2312" w:hAnsi="仿宋_GB2312" w:eastAsia="仿宋_GB2312" w:cs="仿宋_GB2312"/>
          <w:b w:val="0"/>
          <w:bCs w:val="0"/>
          <w:color w:val="auto"/>
          <w:kern w:val="0"/>
          <w:sz w:val="32"/>
          <w:szCs w:val="32"/>
          <w:lang w:val="en-US" w:eastAsia="zh-CN" w:bidi="ar-SA"/>
        </w:rPr>
        <w:t>绩效目标完成情况：一是执行了预算政策要求，我会工作经费安排严格按照年初预算来执行，有效防止了超预算；二是积极降低运行成本，严格按照厉行节约的要求，精打细算，规范机关事务管理工作，提高服务质量，降低运行成本，合理配置，提高保障能力。</w:t>
      </w:r>
    </w:p>
    <w:p>
      <w:pPr>
        <w:pStyle w:val="16"/>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因部分工作不可预见性，有些支出无法纳入预算，导致预算执行存在偏差。下一步改进措施：一是加强预算编制的前瞻性，按政策规定及本部门的发展规划，结合上一年度预算执行情况和本年度预算收支变化因素，科学、合理地编制本年预算草案，避免项目支出与基本支出划分不准或预算支出与实际执行出现偏差的情况，执行中确需调剂预算的，按规定程序报经批准。二是在全会上下积极营造勤俭节约的良好氛围，努力建设节约型机关单位，确保每一分钱都用在红十字事业的高质量发展上。</w:t>
      </w:r>
    </w:p>
    <w:p>
      <w:pPr>
        <w:autoSpaceDE w:val="0"/>
        <w:autoSpaceDN w:val="0"/>
        <w:adjustRightInd w:val="0"/>
        <w:ind w:firstLine="640" w:firstLineChars="200"/>
        <w:jc w:val="left"/>
        <w:rPr>
          <w:rFonts w:hint="eastAsia" w:ascii="仿宋_GB2312" w:hAnsi="仿宋_GB2312" w:eastAsia="仿宋_GB2312" w:cs="仿宋_GB2312"/>
          <w:b w:val="0"/>
          <w:bCs w:val="0"/>
          <w:color w:val="0070C0"/>
          <w:sz w:val="32"/>
          <w:szCs w:val="32"/>
          <w:lang w:val="en-US" w:eastAsia="zh-CN"/>
        </w:rPr>
      </w:pPr>
    </w:p>
    <w:p>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pPr>
        <w:pStyle w:val="16"/>
        <w:jc w:val="center"/>
        <w:rPr>
          <w:sz w:val="72"/>
          <w:szCs w:val="72"/>
        </w:rPr>
      </w:pPr>
    </w:p>
    <w:p>
      <w:pPr>
        <w:pStyle w:val="16"/>
        <w:jc w:val="center"/>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center"/>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jc w:val="both"/>
        <w:rPr>
          <w:rFonts w:hint="eastAsia" w:ascii="方正小标宋_GBK" w:hAnsi="方正小标宋_GBK" w:eastAsia="方正小标宋_GBK" w:cs="方正小标宋_GBK"/>
          <w:sz w:val="72"/>
          <w:szCs w:val="72"/>
        </w:rPr>
      </w:pPr>
    </w:p>
    <w:p>
      <w:pPr>
        <w:pStyle w:val="16"/>
        <w:ind w:firstLine="3600" w:firstLineChars="5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pStyle w:val="16"/>
        <w:ind w:firstLine="3500" w:firstLineChars="500"/>
        <w:jc w:val="both"/>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
      <w:pPr>
        <w:pStyle w:val="9"/>
      </w:pPr>
    </w:p>
    <w:p>
      <w:pPr>
        <w:pStyle w:val="5"/>
      </w:pPr>
    </w:p>
    <w:p>
      <w:pPr>
        <w:pStyle w:val="16"/>
        <w:jc w:val="center"/>
        <w:rPr>
          <w:rFonts w:hint="eastAsia" w:ascii="方正小标宋_GBK" w:hAnsi="方正小标宋_GBK" w:eastAsia="方正小标宋_GBK" w:cs="方正小标宋_GBK"/>
          <w:sz w:val="72"/>
          <w:szCs w:val="72"/>
        </w:rPr>
      </w:pPr>
    </w:p>
    <w:p>
      <w:pPr>
        <w:pStyle w:val="16"/>
        <w:ind w:firstLine="3600" w:firstLineChars="500"/>
        <w:jc w:val="both"/>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6"/>
        <w:jc w:val="both"/>
        <w:rPr>
          <w:rFonts w:hint="eastAsia" w:ascii="方正小标宋_GBK" w:hAnsi="方正小标宋_GBK" w:eastAsia="方正小标宋_GBK" w:cs="方正小标宋_GBK"/>
          <w:sz w:val="70"/>
          <w:szCs w:val="70"/>
          <w:lang w:eastAsia="zh-CN"/>
        </w:rPr>
      </w:pPr>
    </w:p>
    <w:p>
      <w:pPr>
        <w:pStyle w:val="16"/>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ZGQyNGI0Zjc3ODAzMDUyNDVhYTRjNWI0ODc1ZWQ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1CE9"/>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B97F5E"/>
    <w:rsid w:val="059958AD"/>
    <w:rsid w:val="09BF626E"/>
    <w:rsid w:val="12583BA5"/>
    <w:rsid w:val="133E4A16"/>
    <w:rsid w:val="13BA5B9C"/>
    <w:rsid w:val="13FD017F"/>
    <w:rsid w:val="15745C5F"/>
    <w:rsid w:val="1D97DEFF"/>
    <w:rsid w:val="1DFF72E5"/>
    <w:rsid w:val="1EFC6F07"/>
    <w:rsid w:val="22AC03C2"/>
    <w:rsid w:val="25640080"/>
    <w:rsid w:val="28BF505E"/>
    <w:rsid w:val="2FDF85B8"/>
    <w:rsid w:val="2FFFEE04"/>
    <w:rsid w:val="31C95635"/>
    <w:rsid w:val="34DF85B0"/>
    <w:rsid w:val="38D26565"/>
    <w:rsid w:val="3B8F36BC"/>
    <w:rsid w:val="3D4E1420"/>
    <w:rsid w:val="41A44E97"/>
    <w:rsid w:val="491FF225"/>
    <w:rsid w:val="4BE06870"/>
    <w:rsid w:val="4F695217"/>
    <w:rsid w:val="4FFD214C"/>
    <w:rsid w:val="522925FF"/>
    <w:rsid w:val="5352765A"/>
    <w:rsid w:val="5777D4F5"/>
    <w:rsid w:val="59DD8326"/>
    <w:rsid w:val="5DEF592A"/>
    <w:rsid w:val="5EFF2A53"/>
    <w:rsid w:val="5FC6BB1E"/>
    <w:rsid w:val="5FF720F1"/>
    <w:rsid w:val="625937AE"/>
    <w:rsid w:val="63043D0B"/>
    <w:rsid w:val="67FF5C0B"/>
    <w:rsid w:val="69A03765"/>
    <w:rsid w:val="6A49523E"/>
    <w:rsid w:val="6BAA4A2F"/>
    <w:rsid w:val="6EFC0924"/>
    <w:rsid w:val="6FB74722"/>
    <w:rsid w:val="6FEF8B7E"/>
    <w:rsid w:val="71A6591B"/>
    <w:rsid w:val="72A615BC"/>
    <w:rsid w:val="737D59BA"/>
    <w:rsid w:val="737F32B1"/>
    <w:rsid w:val="765B6481"/>
    <w:rsid w:val="769B452E"/>
    <w:rsid w:val="77C37683"/>
    <w:rsid w:val="79FF515B"/>
    <w:rsid w:val="7ABA4357"/>
    <w:rsid w:val="7E666671"/>
    <w:rsid w:val="7E9E1962"/>
    <w:rsid w:val="7E9F11B4"/>
    <w:rsid w:val="7F37EC1E"/>
    <w:rsid w:val="7F7DCD9D"/>
    <w:rsid w:val="7F970A6F"/>
    <w:rsid w:val="7FBE76DD"/>
    <w:rsid w:val="7FC1FFF3"/>
    <w:rsid w:val="7FC69637"/>
    <w:rsid w:val="7FDF8620"/>
    <w:rsid w:val="7FFB242F"/>
    <w:rsid w:val="7FFDB408"/>
    <w:rsid w:val="7FFE4EEB"/>
    <w:rsid w:val="95FB2B98"/>
    <w:rsid w:val="9A639BC2"/>
    <w:rsid w:val="9FF7D786"/>
    <w:rsid w:val="ABBFB23D"/>
    <w:rsid w:val="C3B4DA5A"/>
    <w:rsid w:val="CBFF70E0"/>
    <w:rsid w:val="CFEEA36B"/>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样式1"/>
    <w:basedOn w:val="1"/>
    <w:qFormat/>
    <w:uiPriority w:val="0"/>
    <w:rPr>
      <w:b/>
      <w:color w:val="538135"/>
      <w:sz w:val="28"/>
    </w:r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8"/>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页眉 Char"/>
    <w:basedOn w:val="13"/>
    <w:link w:val="8"/>
    <w:qFormat/>
    <w:uiPriority w:val="99"/>
    <w:rPr>
      <w:sz w:val="18"/>
      <w:szCs w:val="18"/>
    </w:rPr>
  </w:style>
  <w:style w:type="character" w:customStyle="1" w:styleId="15">
    <w:name w:val="页脚 Char"/>
    <w:basedOn w:val="13"/>
    <w:link w:val="7"/>
    <w:qFormat/>
    <w:uiPriority w:val="99"/>
    <w:rPr>
      <w:sz w:val="18"/>
      <w:szCs w:val="18"/>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3"/>
    <w:link w:val="6"/>
    <w:semiHidden/>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font21"/>
    <w:basedOn w:val="13"/>
    <w:qFormat/>
    <w:uiPriority w:val="0"/>
    <w:rPr>
      <w:rFonts w:hint="eastAsia" w:ascii="宋体" w:hAnsi="宋体" w:eastAsia="宋体" w:cs="宋体"/>
      <w:color w:val="000000"/>
      <w:sz w:val="24"/>
      <w:szCs w:val="24"/>
      <w:u w:val="none"/>
    </w:rPr>
  </w:style>
  <w:style w:type="character" w:customStyle="1" w:styleId="21">
    <w:name w:val="font11"/>
    <w:basedOn w:val="1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5182</Words>
  <Characters>5662</Characters>
  <Lines>63</Lines>
  <Paragraphs>18</Paragraphs>
  <TotalTime>69</TotalTime>
  <ScaleCrop>false</ScaleCrop>
  <LinksUpToDate>false</LinksUpToDate>
  <CharactersWithSpaces>5683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杨莎</cp:lastModifiedBy>
  <cp:lastPrinted>2024-09-23T01:28:00Z</cp:lastPrinted>
  <dcterms:modified xsi:type="dcterms:W3CDTF">2024-10-24T01:46:57Z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9E4D05255CD7498F969ECC83CE34992B_13</vt:lpwstr>
  </property>
</Properties>
</file>