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240" w:lineRule="auto"/>
        <w:jc w:val="center"/>
        <w:textAlignment w:val="auto"/>
        <w:rPr>
          <w:rFonts w:hint="eastAsia" w:ascii="方正小标宋简体" w:hAnsi="方正小标宋简体" w:eastAsia="方正小标宋简体" w:cs="方正小标宋简体"/>
          <w:sz w:val="36"/>
          <w:szCs w:val="44"/>
          <w:lang w:eastAsia="zh-CN"/>
        </w:rPr>
      </w:pPr>
      <w:r>
        <w:rPr>
          <w:rFonts w:hint="eastAsia" w:ascii="方正小标宋简体" w:hAnsi="方正小标宋简体" w:eastAsia="方正小标宋简体" w:cs="方正小标宋简体"/>
          <w:sz w:val="36"/>
          <w:szCs w:val="44"/>
          <w:lang w:eastAsia="zh-CN"/>
        </w:rPr>
        <w:t>岳阳市教育科学技术研究院</w:t>
      </w:r>
    </w:p>
    <w:p>
      <w:pPr>
        <w:keepNext w:val="0"/>
        <w:keepLines w:val="0"/>
        <w:pageBreakBefore w:val="0"/>
        <w:widowControl w:val="0"/>
        <w:kinsoku/>
        <w:wordWrap/>
        <w:overflowPunct/>
        <w:topLinePunct w:val="0"/>
        <w:bidi w:val="0"/>
        <w:spacing w:line="240" w:lineRule="auto"/>
        <w:jc w:val="center"/>
        <w:textAlignment w:val="auto"/>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rPr>
        <w:t>2022年度部门整体支出绩效评价报告</w:t>
      </w:r>
    </w:p>
    <w:p>
      <w:pPr>
        <w:keepNext w:val="0"/>
        <w:keepLines w:val="0"/>
        <w:pageBreakBefore w:val="0"/>
        <w:widowControl w:val="0"/>
        <w:kinsoku/>
        <w:wordWrap/>
        <w:overflowPunct/>
        <w:topLinePunct w:val="0"/>
        <w:bidi w:val="0"/>
        <w:spacing w:line="240" w:lineRule="auto"/>
        <w:textAlignment w:val="auto"/>
        <w:rPr>
          <w:rFonts w:hint="eastAsia" w:ascii="黑体" w:hAnsi="黑体" w:eastAsia="黑体" w:cs="黑体"/>
          <w:sz w:val="32"/>
          <w:szCs w:val="40"/>
        </w:rPr>
      </w:pPr>
      <w:r>
        <w:rPr>
          <w:rFonts w:hint="eastAsia" w:ascii="黑体" w:hAnsi="黑体" w:eastAsia="黑体" w:cs="黑体"/>
          <w:sz w:val="32"/>
          <w:szCs w:val="40"/>
        </w:rPr>
        <w:t>一、部门概况</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（一）部门机构设置、编制</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1．部门机构设置</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机构1个。下设</w:t>
      </w:r>
      <w:r>
        <w:rPr>
          <w:rFonts w:hint="eastAsia" w:ascii="仿宋" w:hAnsi="仿宋" w:eastAsia="仿宋" w:cs="仿宋"/>
          <w:bCs/>
          <w:kern w:val="0"/>
          <w:sz w:val="32"/>
          <w:szCs w:val="32"/>
        </w:rPr>
        <w:t>办公室、普通高中研究室、义务教育研究室、职成教育研究室、教育信息技术</w:t>
      </w:r>
      <w:r>
        <w:rPr>
          <w:rFonts w:hint="eastAsia" w:ascii="仿宋" w:hAnsi="仿宋" w:eastAsia="仿宋" w:cs="仿宋"/>
          <w:bCs/>
          <w:kern w:val="0"/>
          <w:sz w:val="32"/>
          <w:szCs w:val="32"/>
          <w:lang w:eastAsia="zh-CN"/>
        </w:rPr>
        <w:t>室</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中小学教师研修室、教育科学规划与发展室</w:t>
      </w:r>
      <w:r>
        <w:rPr>
          <w:rFonts w:hint="eastAsia" w:ascii="仿宋_GB2312" w:hAnsi="仿宋_GB2312" w:eastAsia="仿宋_GB2312" w:cs="仿宋_GB2312"/>
          <w:sz w:val="32"/>
          <w:szCs w:val="40"/>
        </w:rPr>
        <w:t>等</w:t>
      </w:r>
      <w:r>
        <w:rPr>
          <w:rFonts w:hint="eastAsia" w:ascii="仿宋_GB2312" w:hAnsi="仿宋_GB2312" w:eastAsia="仿宋_GB2312" w:cs="仿宋_GB2312"/>
          <w:sz w:val="32"/>
          <w:szCs w:val="40"/>
          <w:lang w:eastAsia="zh-CN"/>
        </w:rPr>
        <w:t>七</w:t>
      </w:r>
      <w:r>
        <w:rPr>
          <w:rFonts w:hint="eastAsia" w:ascii="仿宋_GB2312" w:hAnsi="仿宋_GB2312" w:eastAsia="仿宋_GB2312" w:cs="仿宋_GB2312"/>
          <w:sz w:val="32"/>
          <w:szCs w:val="40"/>
        </w:rPr>
        <w:t>个部门。</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2．部门编制</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编制人数为4</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人，实有</w:t>
      </w:r>
      <w:r>
        <w:rPr>
          <w:rFonts w:hint="eastAsia" w:ascii="仿宋_GB2312" w:hAnsi="仿宋_GB2312" w:eastAsia="仿宋_GB2312" w:cs="仿宋_GB2312"/>
          <w:sz w:val="32"/>
          <w:szCs w:val="40"/>
          <w:lang w:val="en-US" w:eastAsia="zh-CN"/>
        </w:rPr>
        <w:t>44</w:t>
      </w:r>
      <w:r>
        <w:rPr>
          <w:rFonts w:hint="eastAsia" w:ascii="仿宋_GB2312" w:hAnsi="仿宋_GB2312" w:eastAsia="仿宋_GB2312" w:cs="仿宋_GB2312"/>
          <w:sz w:val="32"/>
          <w:szCs w:val="40"/>
        </w:rPr>
        <w:t>人。年初在职人员4</w:t>
      </w:r>
      <w:r>
        <w:rPr>
          <w:rFonts w:hint="eastAsia" w:ascii="仿宋_GB2312" w:hAnsi="仿宋_GB2312" w:eastAsia="仿宋_GB2312" w:cs="仿宋_GB2312"/>
          <w:sz w:val="32"/>
          <w:szCs w:val="40"/>
          <w:lang w:val="en-US" w:eastAsia="zh-CN"/>
        </w:rPr>
        <w:t>0</w:t>
      </w:r>
      <w:r>
        <w:rPr>
          <w:rFonts w:hint="eastAsia" w:ascii="仿宋_GB2312" w:hAnsi="仿宋_GB2312" w:eastAsia="仿宋_GB2312" w:cs="仿宋_GB2312"/>
          <w:sz w:val="32"/>
          <w:szCs w:val="40"/>
        </w:rPr>
        <w:t>人，年末实有在职人员4</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人，遗属人员</w:t>
      </w:r>
      <w:r>
        <w:rPr>
          <w:rFonts w:hint="eastAsia" w:ascii="仿宋_GB2312" w:hAnsi="仿宋_GB2312" w:eastAsia="仿宋_GB2312" w:cs="仿宋_GB2312"/>
          <w:sz w:val="32"/>
          <w:szCs w:val="40"/>
          <w:lang w:val="en-US" w:eastAsia="zh-CN"/>
        </w:rPr>
        <w:t>3</w:t>
      </w:r>
      <w:r>
        <w:rPr>
          <w:rFonts w:hint="eastAsia" w:ascii="仿宋_GB2312" w:hAnsi="仿宋_GB2312" w:eastAsia="仿宋_GB2312" w:cs="仿宋_GB2312"/>
          <w:sz w:val="32"/>
          <w:szCs w:val="40"/>
        </w:rPr>
        <w:t>人，退休人员</w:t>
      </w:r>
      <w:r>
        <w:rPr>
          <w:rFonts w:hint="eastAsia" w:ascii="仿宋_GB2312" w:hAnsi="仿宋_GB2312" w:eastAsia="仿宋_GB2312" w:cs="仿宋_GB2312"/>
          <w:sz w:val="32"/>
          <w:szCs w:val="40"/>
          <w:lang w:val="en-US" w:eastAsia="zh-CN"/>
        </w:rPr>
        <w:t>50</w:t>
      </w:r>
      <w:r>
        <w:rPr>
          <w:rFonts w:hint="eastAsia" w:ascii="仿宋_GB2312" w:hAnsi="仿宋_GB2312" w:eastAsia="仿宋_GB2312" w:cs="仿宋_GB2312"/>
          <w:sz w:val="32"/>
          <w:szCs w:val="40"/>
        </w:rPr>
        <w:t>人。人员变动原因为：2022年</w:t>
      </w:r>
      <w:r>
        <w:rPr>
          <w:rFonts w:hint="eastAsia" w:ascii="仿宋_GB2312" w:hAnsi="仿宋_GB2312" w:eastAsia="仿宋_GB2312" w:cs="仿宋_GB2312"/>
          <w:sz w:val="32"/>
          <w:szCs w:val="40"/>
          <w:lang w:val="en-US" w:eastAsia="zh-CN"/>
        </w:rPr>
        <w:t>1-2</w:t>
      </w:r>
      <w:r>
        <w:rPr>
          <w:rFonts w:hint="eastAsia" w:ascii="仿宋_GB2312" w:hAnsi="仿宋_GB2312" w:eastAsia="仿宋_GB2312" w:cs="仿宋_GB2312"/>
          <w:sz w:val="32"/>
          <w:szCs w:val="40"/>
        </w:rPr>
        <w:t>月份在职教师转退休2人，</w:t>
      </w:r>
      <w:r>
        <w:rPr>
          <w:rFonts w:hint="eastAsia" w:ascii="仿宋_GB2312" w:hAnsi="仿宋_GB2312" w:eastAsia="仿宋_GB2312" w:cs="仿宋_GB2312"/>
          <w:sz w:val="32"/>
          <w:szCs w:val="40"/>
          <w:lang w:val="en-US" w:eastAsia="zh-CN"/>
        </w:rPr>
        <w:t>8月</w:t>
      </w:r>
      <w:r>
        <w:rPr>
          <w:rFonts w:hint="eastAsia" w:ascii="仿宋_GB2312" w:hAnsi="仿宋_GB2312" w:eastAsia="仿宋_GB2312" w:cs="仿宋_GB2312"/>
          <w:sz w:val="32"/>
          <w:szCs w:val="40"/>
          <w:lang w:eastAsia="zh-CN"/>
        </w:rPr>
        <w:t>“四海揽才”公开招聘</w:t>
      </w:r>
      <w:r>
        <w:rPr>
          <w:rFonts w:hint="eastAsia" w:ascii="仿宋_GB2312" w:hAnsi="仿宋_GB2312" w:eastAsia="仿宋_GB2312" w:cs="仿宋_GB2312"/>
          <w:sz w:val="32"/>
          <w:szCs w:val="40"/>
          <w:lang w:val="en-US" w:eastAsia="zh-CN"/>
        </w:rPr>
        <w:t>3人，12月公开选调3人</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（二）部门职能</w:t>
      </w:r>
    </w:p>
    <w:p>
      <w:pPr>
        <w:keepNext w:val="0"/>
        <w:keepLines w:val="0"/>
        <w:pageBreakBefore w:val="0"/>
        <w:widowControl w:val="0"/>
        <w:kinsoku/>
        <w:wordWrap/>
        <w:overflowPunct/>
        <w:topLinePunct w:val="0"/>
        <w:bidi w:val="0"/>
        <w:spacing w:line="240" w:lineRule="auto"/>
        <w:ind w:firstLine="640" w:firstLineChars="200"/>
        <w:textAlignment w:val="auto"/>
        <w:rPr>
          <w:rFonts w:ascii="仿宋" w:hAnsi="仿宋" w:eastAsia="仿宋" w:cs="仿宋"/>
          <w:sz w:val="32"/>
          <w:szCs w:val="32"/>
        </w:rPr>
      </w:pPr>
      <w:r>
        <w:rPr>
          <w:rFonts w:hint="eastAsia" w:ascii="仿宋_GB2312" w:hAnsi="仿宋_GB2312" w:eastAsia="仿宋_GB2312" w:cs="仿宋_GB2312"/>
          <w:sz w:val="32"/>
          <w:szCs w:val="40"/>
        </w:rPr>
        <w:t>主要职能：</w:t>
      </w:r>
      <w:r>
        <w:rPr>
          <w:rFonts w:hint="eastAsia" w:ascii="仿宋" w:hAnsi="仿宋" w:eastAsia="仿宋" w:cs="仿宋"/>
          <w:sz w:val="32"/>
          <w:szCs w:val="32"/>
        </w:rPr>
        <w:t>负责全市教育科学发展的规划、管理、指导以及教育科研成果的推广与应用；负责全市中小学教学研究和学科教学业务管理；负责规划、指导、管理全市实验教学及装备工作，统筹指导市直学校实验教学及装备工作；负责全市教育信息化建设的研究与指导，构建统一、开放、规范的教育信息化运行服务体系；负责全市职业教育与成人教育的研究与指导；负责全市中小学教师继续教育工作，建立健全研训一体的教师培养新机制；负责全市基础教育质量监测与语言文字培训测试工作。</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（三）部门工作完成情况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1.以“调”促研，聚焦教育发展显微镜。</w:t>
      </w:r>
      <w:r>
        <w:rPr>
          <w:rFonts w:hint="eastAsia" w:ascii="仿宋_GB2312" w:hAnsi="仿宋_GB2312" w:eastAsia="仿宋_GB2312" w:cs="仿宋_GB2312"/>
          <w:b w:val="0"/>
          <w:bCs w:val="0"/>
          <w:color w:val="auto"/>
          <w:sz w:val="32"/>
          <w:szCs w:val="32"/>
          <w:lang w:val="en-US" w:eastAsia="zh-CN"/>
        </w:rPr>
        <w:t>李岳平副院长组织信息中心和装备办对全市信息化建设与融合现状、实验教学与管理进行深度调研，助力教育“新基建”。张金华副院长组织义教室和质量监测中心开展义务教育质量发展相关影响因素调研、心理健康教育现状调研，助力义务教育优质均衡发展。魏建军、朱理明副院长组织高中室开展高中创新拔尖人才培养和本科上线提升专题调研，指导学校精准备考，助力县中和薄弱高中教学质量提升。总支委员彭智友组织职成室</w:t>
      </w:r>
      <w:r>
        <w:rPr>
          <w:rFonts w:hint="eastAsia" w:ascii="仿宋_GB2312" w:hAnsi="仿宋_GB2312" w:eastAsia="仿宋_GB2312" w:cs="仿宋_GB2312"/>
          <w:b w:val="0"/>
          <w:bCs w:val="0"/>
          <w:color w:val="000000"/>
          <w:kern w:val="0"/>
          <w:sz w:val="32"/>
          <w:szCs w:val="32"/>
          <w:lang w:val="en-US" w:eastAsia="zh-CN"/>
        </w:rPr>
        <w:t>开展职教高考调研指导，助力职业教育良性发展。</w:t>
      </w:r>
      <w:r>
        <w:rPr>
          <w:rFonts w:hint="eastAsia" w:ascii="仿宋_GB2312" w:hAnsi="仿宋_GB2312" w:eastAsia="仿宋_GB2312" w:cs="仿宋_GB2312"/>
          <w:b w:val="0"/>
          <w:bCs w:val="0"/>
          <w:color w:val="auto"/>
          <w:sz w:val="32"/>
          <w:szCs w:val="32"/>
          <w:lang w:val="en-US" w:eastAsia="zh-CN"/>
        </w:rPr>
        <w:t>范练娥、彭晓波、吴波、何雄等全程参与“教育大调研、大走访”活动，破解基础教育发展瓶颈。吴波、何坤生政协委员参政议政，传递教育好声音，参与撰写的《加大薄弱学校建设力度，促进城乡教研均衡发展调研报告》反响很大。</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2.以“赛”促研，砥砺竞赛出彩试金石。</w:t>
      </w:r>
      <w:r>
        <w:rPr>
          <w:rFonts w:hint="eastAsia" w:ascii="仿宋_GB2312" w:hAnsi="仿宋_GB2312" w:eastAsia="仿宋_GB2312" w:cs="仿宋_GB2312"/>
          <w:b w:val="0"/>
          <w:bCs w:val="0"/>
          <w:color w:val="auto"/>
          <w:sz w:val="32"/>
          <w:szCs w:val="32"/>
          <w:lang w:val="en-US" w:eastAsia="zh-CN"/>
        </w:rPr>
        <w:t>2022年全市义教“金鹗奖”教学竞赛，参赛教师2000多人，市级决赛199人，观课老师7000余人。统筹开展各学段各学科教学竞赛。组织了200多人次参加片段教学比赛、教学设计案例评选等活动，400多件作品获得省级以上奖励。录制精品课400多节，5节获部奖，72节获省奖。组织了第一届幼儿园教育能手竞赛、高中心理健康教育教师专业能力竞赛、初中生物教师实验能手竞赛、中学物理教师实验技能竞赛、体育教师教学案例竞赛，补齐学科竞赛短板。组织开展了中小学生信息素养提升实践活动、中小学教师教育教学信息化作品征集遴选、义务教育信息科技学科优秀教学案例征集遴选，推进信息技术与学科深度融合。协同组织全市青少年机器人竞赛、模型竞赛、科技创新大赛、中职教师职业能力比赛和班主任基本功比赛、中职学生技能竞赛等。赛事组织搭建了展示特色、互学共鉴的学习交流平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lang w:val="en-US" w:eastAsia="zh-CN"/>
        </w:rPr>
        <w:t>3.以“培”促研，搭建教师发展大舞台。</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与基教科、教师科、职成科等联合组织线上线下相结合培训30多场次。学科业务培训方面，高中义教新课程新教材31个学科9000多人参培；高中教学建模培训2000多人参加；思政课教师培训800多人次；国培计划教师研修工作坊参培教师近4000人；理科教师实验技能培训200多人次。教师能力培训方面。中小学幼儿园教师普通话培训2000余人次；教师信息技术应用能力提升工程培训6000多人次；义务教育信息科技学科教师编程能力培训1000多人次。我们关注非文化学科教师培训。</w:t>
      </w:r>
      <w:r>
        <w:rPr>
          <w:rFonts w:hint="eastAsia" w:ascii="仿宋_GB2312" w:hAnsi="仿宋_GB2312" w:eastAsia="仿宋_GB2312" w:cs="仿宋_GB2312"/>
          <w:b w:val="0"/>
          <w:bCs w:val="0"/>
          <w:color w:val="auto"/>
          <w:sz w:val="32"/>
          <w:szCs w:val="32"/>
          <w:lang w:val="en-US" w:eastAsia="zh-CN"/>
        </w:rPr>
        <w:t>组织音体美、生涯规划、</w:t>
      </w:r>
      <w:r>
        <w:rPr>
          <w:rFonts w:hint="eastAsia" w:ascii="仿宋_GB2312" w:hAnsi="仿宋_GB2312" w:eastAsia="仿宋_GB2312" w:cs="仿宋_GB2312"/>
          <w:b w:val="0"/>
          <w:bCs w:val="0"/>
          <w:color w:val="auto"/>
          <w:sz w:val="32"/>
          <w:szCs w:val="32"/>
          <w:lang w:eastAsia="zh-CN"/>
        </w:rPr>
        <w:t>综合实践、</w:t>
      </w:r>
      <w:r>
        <w:rPr>
          <w:rFonts w:hint="eastAsia" w:ascii="仿宋_GB2312" w:hAnsi="仿宋_GB2312" w:eastAsia="仿宋_GB2312" w:cs="仿宋_GB2312"/>
          <w:b w:val="0"/>
          <w:bCs w:val="0"/>
          <w:color w:val="auto"/>
          <w:sz w:val="32"/>
          <w:szCs w:val="32"/>
          <w:lang w:val="en-US" w:eastAsia="zh-CN"/>
        </w:rPr>
        <w:t>心理健康教师专题培训8期，参与教师近1000人次。</w:t>
      </w:r>
      <w:r>
        <w:rPr>
          <w:rFonts w:hint="eastAsia" w:ascii="仿宋_GB2312" w:hAnsi="仿宋_GB2312" w:eastAsia="仿宋_GB2312" w:cs="仿宋_GB2312"/>
          <w:b w:val="0"/>
          <w:bCs w:val="0"/>
          <w:i w:val="0"/>
          <w:iCs w:val="0"/>
          <w:caps w:val="0"/>
          <w:color w:val="auto"/>
          <w:spacing w:val="0"/>
          <w:kern w:val="0"/>
          <w:sz w:val="32"/>
          <w:szCs w:val="32"/>
          <w:u w:val="none"/>
          <w:lang w:val="en-US" w:eastAsia="zh-CN" w:bidi="ar"/>
        </w:rPr>
        <w:t>协助组织全市</w:t>
      </w:r>
      <w:r>
        <w:rPr>
          <w:rFonts w:hint="eastAsia" w:ascii="仿宋_GB2312" w:hAnsi="仿宋_GB2312" w:eastAsia="仿宋_GB2312" w:cs="仿宋_GB2312"/>
          <w:b w:val="0"/>
          <w:bCs w:val="0"/>
          <w:color w:val="auto"/>
          <w:sz w:val="32"/>
          <w:szCs w:val="32"/>
          <w:lang w:val="en-US" w:eastAsia="zh-CN"/>
        </w:rPr>
        <w:t>科技辅导员培训班1期。成功举办主题为“践行二十大精神，做新时代大先生”第二届特级教师年会。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4.以“视”促研，调试学段教育指南针。</w:t>
      </w:r>
      <w:r>
        <w:rPr>
          <w:rFonts w:hint="eastAsia" w:ascii="仿宋_GB2312" w:hAnsi="仿宋_GB2312" w:eastAsia="仿宋_GB2312" w:cs="仿宋_GB2312"/>
          <w:b w:val="0"/>
          <w:bCs w:val="0"/>
          <w:color w:val="000000"/>
          <w:kern w:val="0"/>
          <w:sz w:val="32"/>
          <w:szCs w:val="32"/>
          <w:lang w:val="en-US" w:eastAsia="zh-CN"/>
        </w:rPr>
        <w:t>持续发力“童升、强基、壮腰、筑梦”四大教育提质工程，举办专题会议近10场，破解学段脱节难题。一年来高中室、义教室视导学校130多所，学科教研员人均听课评课近200节，举行分科研讨会50余次。职成室以“教学工作评价标准”为基准开展“春季教学视导”和“秋季德育视导”。教育信息技术中心对在建的20个省级信息化系列项目进行专项视导，促进“一校一品”。我们获得的最好评价是“你们还来少了，你们来迟了，希望你们多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color w:val="000000"/>
          <w:kern w:val="0"/>
          <w:sz w:val="32"/>
          <w:szCs w:val="32"/>
          <w:lang w:val="en-US" w:eastAsia="zh-CN"/>
        </w:rPr>
        <w:t>5.以“题”促研，提升教育内涵品质。以课题带动教研，以课题提升内涵。严把“入口关”，提高申报立项的数量，2022年省级课题立项96个，其中省级资助课题6个，市级课题立项143个。</w:t>
      </w:r>
      <w:r>
        <w:rPr>
          <w:rFonts w:hint="eastAsia" w:ascii="仿宋_GB2312" w:hAnsi="仿宋_GB2312" w:eastAsia="仿宋_GB2312" w:cs="仿宋_GB2312"/>
          <w:b w:val="0"/>
          <w:bCs w:val="0"/>
          <w:color w:val="000000"/>
          <w:kern w:val="0"/>
          <w:sz w:val="32"/>
          <w:szCs w:val="32"/>
          <w:lang w:val="en-US" w:eastAsia="zh-Hans"/>
        </w:rPr>
        <w:t>严把“出口关”，</w:t>
      </w:r>
      <w:r>
        <w:rPr>
          <w:rFonts w:hint="eastAsia" w:ascii="仿宋_GB2312" w:hAnsi="仿宋_GB2312" w:eastAsia="仿宋_GB2312" w:cs="仿宋_GB2312"/>
          <w:b w:val="0"/>
          <w:bCs w:val="0"/>
          <w:color w:val="000000"/>
          <w:kern w:val="0"/>
          <w:sz w:val="32"/>
          <w:szCs w:val="32"/>
          <w:lang w:val="en-US" w:eastAsia="zh-CN"/>
        </w:rPr>
        <w:t>提升</w:t>
      </w:r>
      <w:r>
        <w:rPr>
          <w:rFonts w:hint="eastAsia" w:ascii="仿宋_GB2312" w:hAnsi="仿宋_GB2312" w:eastAsia="仿宋_GB2312" w:cs="仿宋_GB2312"/>
          <w:b w:val="0"/>
          <w:bCs w:val="0"/>
          <w:color w:val="000000"/>
          <w:kern w:val="0"/>
          <w:sz w:val="32"/>
          <w:szCs w:val="32"/>
          <w:lang w:val="en-US" w:eastAsia="zh-Hans"/>
        </w:rPr>
        <w:t>课题</w:t>
      </w:r>
      <w:r>
        <w:rPr>
          <w:rFonts w:hint="eastAsia" w:ascii="仿宋_GB2312" w:hAnsi="仿宋_GB2312" w:eastAsia="仿宋_GB2312" w:cs="仿宋_GB2312"/>
          <w:b w:val="0"/>
          <w:bCs w:val="0"/>
          <w:color w:val="000000"/>
          <w:kern w:val="0"/>
          <w:sz w:val="32"/>
          <w:szCs w:val="32"/>
          <w:lang w:val="en-US" w:eastAsia="zh-CN"/>
        </w:rPr>
        <w:t>完成的</w:t>
      </w:r>
      <w:r>
        <w:rPr>
          <w:rFonts w:hint="eastAsia" w:ascii="仿宋_GB2312" w:hAnsi="仿宋_GB2312" w:eastAsia="仿宋_GB2312" w:cs="仿宋_GB2312"/>
          <w:b w:val="0"/>
          <w:bCs w:val="0"/>
          <w:color w:val="000000"/>
          <w:kern w:val="0"/>
          <w:sz w:val="32"/>
          <w:szCs w:val="32"/>
          <w:lang w:val="en-US" w:eastAsia="zh-Hans"/>
        </w:rPr>
        <w:t>质量</w:t>
      </w:r>
      <w:r>
        <w:rPr>
          <w:rFonts w:hint="eastAsia" w:ascii="仿宋_GB2312" w:hAnsi="仿宋_GB2312" w:eastAsia="仿宋_GB2312" w:cs="仿宋_GB2312"/>
          <w:b w:val="0"/>
          <w:bCs w:val="0"/>
          <w:color w:val="000000"/>
          <w:kern w:val="0"/>
          <w:sz w:val="32"/>
          <w:szCs w:val="32"/>
          <w:lang w:val="en-US" w:eastAsia="zh-CN"/>
        </w:rPr>
        <w:t>。省级课题结题43个，市级课题93个。严把“过程关”，强化过程管理的分量。研训一体化，做好课题开题论证、中期检查与结题。</w:t>
      </w:r>
      <w:r>
        <w:rPr>
          <w:rFonts w:hint="eastAsia" w:ascii="仿宋_GB2312" w:hAnsi="仿宋_GB2312" w:eastAsia="仿宋_GB2312" w:cs="仿宋_GB2312"/>
          <w:b w:val="0"/>
          <w:bCs w:val="0"/>
          <w:color w:val="000000"/>
          <w:kern w:val="0"/>
          <w:sz w:val="32"/>
          <w:szCs w:val="32"/>
          <w:lang w:val="en-US" w:eastAsia="zh-Hans"/>
        </w:rPr>
        <w:t>加强研究成果推广应用</w:t>
      </w:r>
      <w:r>
        <w:rPr>
          <w:rFonts w:hint="eastAsia" w:ascii="仿宋_GB2312" w:hAnsi="仿宋_GB2312" w:eastAsia="仿宋_GB2312" w:cs="仿宋_GB2312"/>
          <w:b w:val="0"/>
          <w:bCs w:val="0"/>
          <w:color w:val="000000"/>
          <w:kern w:val="0"/>
          <w:sz w:val="32"/>
          <w:szCs w:val="32"/>
          <w:lang w:val="en-US" w:eastAsia="zh-CN"/>
        </w:rPr>
        <w:t>。全省第五届基础教育教学成果</w:t>
      </w:r>
      <w:r>
        <w:rPr>
          <w:rFonts w:hint="eastAsia" w:ascii="仿宋_GB2312" w:hAnsi="仿宋_GB2312" w:eastAsia="仿宋_GB2312" w:cs="仿宋_GB2312"/>
          <w:b w:val="0"/>
          <w:bCs w:val="0"/>
          <w:color w:val="000000"/>
          <w:kern w:val="0"/>
          <w:sz w:val="32"/>
          <w:szCs w:val="32"/>
          <w:lang w:val="en-US" w:eastAsia="zh-Hans"/>
        </w:rPr>
        <w:t>奖评</w:t>
      </w:r>
      <w:r>
        <w:rPr>
          <w:rFonts w:hint="eastAsia" w:ascii="仿宋_GB2312" w:hAnsi="仿宋_GB2312" w:eastAsia="仿宋_GB2312" w:cs="仿宋_GB2312"/>
          <w:b w:val="0"/>
          <w:bCs w:val="0"/>
          <w:color w:val="000000"/>
          <w:kern w:val="0"/>
          <w:sz w:val="32"/>
          <w:szCs w:val="32"/>
          <w:lang w:val="en-US" w:eastAsia="zh-CN"/>
        </w:rPr>
        <w:t>，一二三等奖9项；全省</w:t>
      </w:r>
      <w:r>
        <w:rPr>
          <w:rFonts w:hint="eastAsia" w:ascii="仿宋_GB2312" w:hAnsi="仿宋_GB2312" w:eastAsia="仿宋_GB2312" w:cs="仿宋_GB2312"/>
          <w:b w:val="0"/>
          <w:bCs w:val="0"/>
          <w:color w:val="000000"/>
          <w:kern w:val="0"/>
          <w:sz w:val="32"/>
          <w:szCs w:val="32"/>
          <w:lang w:val="en-US" w:eastAsia="zh-Hans"/>
        </w:rPr>
        <w:t>教育科学成果</w:t>
      </w:r>
      <w:r>
        <w:rPr>
          <w:rFonts w:hint="eastAsia" w:ascii="仿宋_GB2312" w:hAnsi="仿宋_GB2312" w:eastAsia="仿宋_GB2312" w:cs="仿宋_GB2312"/>
          <w:b w:val="0"/>
          <w:bCs w:val="0"/>
          <w:color w:val="000000"/>
          <w:kern w:val="0"/>
          <w:sz w:val="32"/>
          <w:szCs w:val="32"/>
          <w:lang w:val="en-US" w:eastAsia="zh-CN"/>
        </w:rPr>
        <w:t>评</w:t>
      </w:r>
      <w:r>
        <w:rPr>
          <w:rFonts w:hint="eastAsia" w:ascii="仿宋_GB2312" w:hAnsi="仿宋_GB2312" w:eastAsia="仿宋_GB2312" w:cs="仿宋_GB2312"/>
          <w:b w:val="0"/>
          <w:bCs w:val="0"/>
          <w:color w:val="000000"/>
          <w:kern w:val="0"/>
          <w:sz w:val="32"/>
          <w:szCs w:val="32"/>
          <w:lang w:val="en-US" w:eastAsia="zh-Hans"/>
        </w:rPr>
        <w:t>奖，华容县</w:t>
      </w:r>
      <w:r>
        <w:rPr>
          <w:rFonts w:hint="eastAsia" w:ascii="仿宋_GB2312" w:hAnsi="仿宋_GB2312" w:eastAsia="仿宋_GB2312" w:cs="仿宋_GB2312"/>
          <w:b w:val="0"/>
          <w:bCs w:val="0"/>
          <w:color w:val="000000"/>
          <w:kern w:val="0"/>
          <w:sz w:val="32"/>
          <w:szCs w:val="32"/>
          <w:lang w:val="en-US" w:eastAsia="zh-CN"/>
        </w:rPr>
        <w:t>一中</w:t>
      </w:r>
      <w:r>
        <w:rPr>
          <w:rFonts w:hint="eastAsia" w:ascii="仿宋_GB2312" w:hAnsi="仿宋_GB2312" w:eastAsia="仿宋_GB2312" w:cs="仿宋_GB2312"/>
          <w:b w:val="0"/>
          <w:bCs w:val="0"/>
          <w:color w:val="000000"/>
          <w:kern w:val="0"/>
          <w:sz w:val="32"/>
          <w:szCs w:val="32"/>
          <w:lang w:val="en-US" w:eastAsia="zh-Hans"/>
        </w:rPr>
        <w:t>等9项成果</w:t>
      </w:r>
      <w:r>
        <w:rPr>
          <w:rFonts w:hint="eastAsia" w:ascii="仿宋_GB2312" w:hAnsi="仿宋_GB2312" w:eastAsia="仿宋_GB2312" w:cs="仿宋_GB2312"/>
          <w:b w:val="0"/>
          <w:bCs w:val="0"/>
          <w:color w:val="000000"/>
          <w:kern w:val="0"/>
          <w:sz w:val="32"/>
          <w:szCs w:val="32"/>
          <w:lang w:val="en-US" w:eastAsia="zh-CN"/>
        </w:rPr>
        <w:t>获奖</w:t>
      </w:r>
      <w:r>
        <w:rPr>
          <w:rFonts w:hint="eastAsia" w:ascii="仿宋_GB2312" w:hAnsi="仿宋_GB2312" w:eastAsia="仿宋_GB2312" w:cs="仿宋_GB2312"/>
          <w:b w:val="0"/>
          <w:bCs w:val="0"/>
          <w:color w:val="000000"/>
          <w:kern w:val="0"/>
          <w:sz w:val="32"/>
          <w:szCs w:val="32"/>
          <w:lang w:val="en-US" w:eastAsia="zh-Hans"/>
        </w:rPr>
        <w:t>。</w:t>
      </w:r>
      <w:r>
        <w:rPr>
          <w:rFonts w:hint="eastAsia" w:ascii="仿宋_GB2312" w:hAnsi="仿宋_GB2312" w:eastAsia="仿宋_GB2312" w:cs="仿宋_GB2312"/>
          <w:b w:val="0"/>
          <w:bCs w:val="0"/>
          <w:color w:val="000000"/>
          <w:kern w:val="0"/>
          <w:sz w:val="32"/>
          <w:szCs w:val="32"/>
          <w:lang w:val="en-US" w:eastAsia="zh-CN"/>
        </w:rPr>
        <w:t>通过市级教科研成果发布会、现场观摩会、《中小学素质教育》杂志、课题结题成果</w:t>
      </w:r>
      <w:r>
        <w:rPr>
          <w:rFonts w:hint="eastAsia" w:ascii="仿宋_GB2312" w:hAnsi="仿宋_GB2312" w:eastAsia="仿宋_GB2312" w:cs="仿宋_GB2312"/>
          <w:b w:val="0"/>
          <w:bCs w:val="0"/>
          <w:color w:val="000000"/>
          <w:kern w:val="0"/>
          <w:sz w:val="32"/>
          <w:szCs w:val="32"/>
          <w:lang w:val="en-US" w:eastAsia="zh-Hans"/>
        </w:rPr>
        <w:t>公报</w:t>
      </w:r>
      <w:r>
        <w:rPr>
          <w:rFonts w:hint="eastAsia" w:ascii="仿宋_GB2312" w:hAnsi="仿宋_GB2312" w:eastAsia="仿宋_GB2312" w:cs="仿宋_GB2312"/>
          <w:b w:val="0"/>
          <w:bCs w:val="0"/>
          <w:color w:val="000000"/>
          <w:kern w:val="0"/>
          <w:sz w:val="32"/>
          <w:szCs w:val="32"/>
          <w:lang w:val="en-US" w:eastAsia="zh-CN"/>
        </w:rPr>
        <w:t>等平台，分享、推广、转化教科研成果。</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（四）部门管理制度</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制定了《</w:t>
      </w:r>
      <w:r>
        <w:rPr>
          <w:rFonts w:hint="eastAsia" w:ascii="仿宋_GB2312" w:hAnsi="仿宋_GB2312" w:eastAsia="仿宋_GB2312" w:cs="仿宋_GB2312"/>
          <w:sz w:val="32"/>
          <w:szCs w:val="40"/>
          <w:lang w:eastAsia="zh-CN"/>
        </w:rPr>
        <w:t>岳阳市教育科学技术研究院</w:t>
      </w:r>
      <w:r>
        <w:rPr>
          <w:rFonts w:hint="eastAsia" w:ascii="仿宋_GB2312" w:hAnsi="仿宋_GB2312" w:eastAsia="仿宋_GB2312" w:cs="仿宋_GB2312"/>
          <w:sz w:val="32"/>
          <w:szCs w:val="40"/>
        </w:rPr>
        <w:t>预算管理办法》（试行），对收入预算和支出预算的编制，</w:t>
      </w:r>
      <w:r>
        <w:rPr>
          <w:rFonts w:hint="eastAsia" w:ascii="仿宋_GB2312" w:hAnsi="仿宋_GB2312" w:eastAsia="仿宋_GB2312" w:cs="仿宋_GB2312"/>
          <w:sz w:val="32"/>
          <w:szCs w:val="40"/>
          <w:lang w:eastAsia="zh-CN"/>
        </w:rPr>
        <w:t>院</w:t>
      </w:r>
      <w:r>
        <w:rPr>
          <w:rFonts w:hint="eastAsia" w:ascii="仿宋_GB2312" w:hAnsi="仿宋_GB2312" w:eastAsia="仿宋_GB2312" w:cs="仿宋_GB2312"/>
          <w:sz w:val="32"/>
          <w:szCs w:val="40"/>
        </w:rPr>
        <w:t>内预算安排，预算执行和预算调整，以及预算的分析、检查和监督等均作出了明确规定。</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建立了《</w:t>
      </w:r>
      <w:r>
        <w:rPr>
          <w:rFonts w:hint="eastAsia" w:ascii="仿宋_GB2312" w:hAnsi="仿宋_GB2312" w:eastAsia="仿宋_GB2312" w:cs="仿宋_GB2312"/>
          <w:sz w:val="32"/>
          <w:szCs w:val="40"/>
          <w:lang w:eastAsia="zh-CN"/>
        </w:rPr>
        <w:t>岳阳市教育科学技术研究院</w:t>
      </w:r>
      <w:r>
        <w:rPr>
          <w:rFonts w:hint="eastAsia" w:ascii="仿宋_GB2312" w:hAnsi="仿宋_GB2312" w:eastAsia="仿宋_GB2312" w:cs="仿宋_GB2312"/>
          <w:sz w:val="32"/>
          <w:szCs w:val="40"/>
        </w:rPr>
        <w:t>内部风险控制制度》（试行），严格按预算安排的要求管理和使用资金，执行《</w:t>
      </w:r>
      <w:r>
        <w:rPr>
          <w:rFonts w:hint="eastAsia" w:ascii="仿宋_GB2312" w:hAnsi="仿宋_GB2312" w:eastAsia="仿宋_GB2312" w:cs="仿宋_GB2312"/>
          <w:sz w:val="32"/>
          <w:szCs w:val="40"/>
          <w:lang w:eastAsia="zh-CN"/>
        </w:rPr>
        <w:t>岳阳市教育科学技术研究院</w:t>
      </w:r>
      <w:r>
        <w:rPr>
          <w:rFonts w:hint="eastAsia" w:ascii="仿宋_GB2312" w:hAnsi="仿宋_GB2312" w:eastAsia="仿宋_GB2312" w:cs="仿宋_GB2312"/>
          <w:sz w:val="32"/>
          <w:szCs w:val="40"/>
        </w:rPr>
        <w:t>财务管理制度》、《</w:t>
      </w:r>
      <w:r>
        <w:rPr>
          <w:rFonts w:hint="eastAsia" w:ascii="仿宋_GB2312" w:hAnsi="仿宋_GB2312" w:eastAsia="仿宋_GB2312" w:cs="仿宋_GB2312"/>
          <w:sz w:val="32"/>
          <w:szCs w:val="40"/>
          <w:lang w:eastAsia="zh-CN"/>
        </w:rPr>
        <w:t>岳阳市教育科学技术研究院</w:t>
      </w:r>
      <w:r>
        <w:rPr>
          <w:rFonts w:hint="eastAsia" w:ascii="仿宋_GB2312" w:hAnsi="仿宋_GB2312" w:eastAsia="仿宋_GB2312" w:cs="仿宋_GB2312"/>
          <w:sz w:val="32"/>
          <w:szCs w:val="40"/>
        </w:rPr>
        <w:t>预算管理办法》</w:t>
      </w:r>
      <w:r>
        <w:rPr>
          <w:rFonts w:hint="eastAsia" w:ascii="仿宋_GB2312" w:hAnsi="仿宋_GB2312" w:eastAsia="仿宋_GB2312" w:cs="仿宋_GB2312"/>
          <w:sz w:val="32"/>
          <w:szCs w:val="40"/>
          <w:lang w:eastAsia="zh-CN"/>
        </w:rPr>
        <w:t>等制度</w:t>
      </w:r>
      <w:r>
        <w:rPr>
          <w:rFonts w:hint="eastAsia" w:ascii="仿宋_GB2312" w:hAnsi="仿宋_GB2312" w:eastAsia="仿宋_GB2312" w:cs="仿宋_GB2312"/>
          <w:sz w:val="32"/>
          <w:szCs w:val="40"/>
        </w:rPr>
        <w:t>，层层把关，确保资金使用安全有效，会计信息真实、完整和准确。</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（五）部门资金来源及使用情况</w:t>
      </w:r>
    </w:p>
    <w:p>
      <w:pPr>
        <w:pStyle w:val="5"/>
        <w:keepNext w:val="0"/>
        <w:keepLines w:val="0"/>
        <w:pageBreakBefore w:val="0"/>
        <w:widowControl w:val="0"/>
        <w:kinsoku/>
        <w:wordWrap/>
        <w:overflowPunct/>
        <w:topLinePunct w:val="0"/>
        <w:bidi w:val="0"/>
        <w:snapToGrid/>
        <w:spacing w:line="240" w:lineRule="auto"/>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1538.45</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1538.45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5"/>
        <w:keepNext w:val="0"/>
        <w:keepLines w:val="0"/>
        <w:pageBreakBefore w:val="0"/>
        <w:widowControl w:val="0"/>
        <w:kinsoku/>
        <w:wordWrap/>
        <w:overflowPunct/>
        <w:topLinePunct w:val="0"/>
        <w:bidi w:val="0"/>
        <w:spacing w:line="240" w:lineRule="auto"/>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1538.45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1123.40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73</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415.06</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27</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主要用于以下方面：教育（类）支出</w:t>
      </w:r>
      <w:r>
        <w:rPr>
          <w:rFonts w:hint="eastAsia" w:ascii="Times New Roman" w:hAnsi="Times New Roman" w:eastAsia="仿宋_GB2312"/>
          <w:sz w:val="32"/>
          <w:szCs w:val="32"/>
          <w:lang w:val="en-US" w:eastAsia="zh-CN"/>
        </w:rPr>
        <w:t>1443.03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；社会保障和就业（类）支出</w:t>
      </w:r>
      <w:r>
        <w:rPr>
          <w:rFonts w:hint="eastAsia" w:ascii="Times New Roman" w:hAnsi="Times New Roman" w:eastAsia="仿宋_GB2312"/>
          <w:sz w:val="32"/>
          <w:szCs w:val="32"/>
          <w:lang w:val="en-US" w:eastAsia="zh-CN"/>
        </w:rPr>
        <w:t>64.83万元，占4%；卫生健康（类）支出30.59万元，占1%。</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369.99</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%，主要是因</w:t>
      </w:r>
      <w:r>
        <w:rPr>
          <w:rFonts w:hint="eastAsia" w:ascii="Times New Roman" w:hAnsi="Times New Roman" w:eastAsia="仿宋_GB2312"/>
          <w:sz w:val="32"/>
          <w:szCs w:val="32"/>
          <w:lang w:eastAsia="zh-CN"/>
        </w:rPr>
        <w:t>为人员经费增加。</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（六）政府采购情况</w:t>
      </w:r>
    </w:p>
    <w:p>
      <w:pPr>
        <w:pStyle w:val="5"/>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万元，占授予中小企业合同金额的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（七）</w:t>
      </w:r>
      <w:r>
        <w:rPr>
          <w:rFonts w:hint="eastAsia" w:ascii="楷体" w:hAnsi="楷体" w:eastAsia="楷体" w:cs="楷体"/>
          <w:b/>
          <w:bCs/>
          <w:sz w:val="32"/>
          <w:szCs w:val="40"/>
          <w:lang w:eastAsia="zh-CN"/>
        </w:rPr>
        <w:t>国有</w:t>
      </w:r>
      <w:r>
        <w:rPr>
          <w:rFonts w:hint="eastAsia" w:ascii="楷体" w:hAnsi="楷体" w:eastAsia="楷体" w:cs="楷体"/>
          <w:b/>
          <w:bCs/>
          <w:sz w:val="32"/>
          <w:szCs w:val="40"/>
        </w:rPr>
        <w:t>资产</w:t>
      </w:r>
      <w:r>
        <w:rPr>
          <w:rFonts w:hint="eastAsia" w:ascii="楷体" w:hAnsi="楷体" w:eastAsia="楷体" w:cs="楷体"/>
          <w:b/>
          <w:bCs/>
          <w:sz w:val="32"/>
          <w:szCs w:val="40"/>
          <w:lang w:eastAsia="zh-CN"/>
        </w:rPr>
        <w:t>占用</w:t>
      </w:r>
      <w:r>
        <w:rPr>
          <w:rFonts w:hint="eastAsia" w:ascii="楷体" w:hAnsi="楷体" w:eastAsia="楷体" w:cs="楷体"/>
          <w:b/>
          <w:bCs/>
          <w:sz w:val="32"/>
          <w:szCs w:val="40"/>
        </w:rPr>
        <w:t>情况。</w:t>
      </w:r>
    </w:p>
    <w:p>
      <w:pPr>
        <w:pStyle w:val="5"/>
        <w:keepNext w:val="0"/>
        <w:keepLines w:val="0"/>
        <w:pageBreakBefore w:val="0"/>
        <w:widowControl w:val="0"/>
        <w:kinsoku/>
        <w:wordWrap/>
        <w:overflowPunct/>
        <w:topLinePunct w:val="0"/>
        <w:bidi w:val="0"/>
        <w:snapToGrid/>
        <w:spacing w:line="240" w:lineRule="auto"/>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0辆</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keepNext w:val="0"/>
        <w:keepLines w:val="0"/>
        <w:pageBreakBefore w:val="0"/>
        <w:widowControl w:val="0"/>
        <w:kinsoku/>
        <w:wordWrap/>
        <w:overflowPunct/>
        <w:topLinePunct w:val="0"/>
        <w:bidi w:val="0"/>
        <w:spacing w:line="240" w:lineRule="auto"/>
        <w:textAlignment w:val="auto"/>
        <w:rPr>
          <w:rFonts w:hint="eastAsia" w:ascii="黑体" w:hAnsi="黑体" w:eastAsia="黑体" w:cs="黑体"/>
          <w:sz w:val="32"/>
          <w:szCs w:val="40"/>
        </w:rPr>
      </w:pPr>
      <w:r>
        <w:rPr>
          <w:rFonts w:hint="eastAsia" w:ascii="黑体" w:hAnsi="黑体" w:eastAsia="黑体" w:cs="黑体"/>
          <w:sz w:val="32"/>
          <w:szCs w:val="40"/>
        </w:rPr>
        <w:t>二、绩效目标</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（一）部门总目标</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1．部门绩效总目标</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目标1：高三复习迎考。组织高三骨干教师研修培训、召开高三复习迎考工作会、组织进行高中学校教学视导和教学质量评价等。</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目标2：基础课堂改革。开展义务教育学科教研指导、中考改革研究与试测等；</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目标3：教育信息化。推进信息技术与课堂教学融合、开展教育信息化应用项目试点、开展中小学电脑制作活动等。</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目标4：课堂教学改革推广。开展课堂教学建模案例评优、课改实验校年度讲评、“金鹗奖”教师教学竞赛、组织岳阳市青少年科技创新大赛等。</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目标5：实验教学管理与研究。开展实验教学指导、组织小学科学教师实验技能竞赛、化学教师实验能手竞赛、教师实验说课竞赛。</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2．部门绩效年度目标</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按照省、市、县“三级”培训目标，认真组织教师参加“国培”、“省培”、“市培”及信息技术能力提升项目培训；立足本</w:t>
      </w:r>
      <w:r>
        <w:rPr>
          <w:rFonts w:hint="eastAsia" w:ascii="仿宋_GB2312" w:hAnsi="仿宋_GB2312" w:eastAsia="仿宋_GB2312" w:cs="仿宋_GB2312"/>
          <w:sz w:val="32"/>
          <w:szCs w:val="40"/>
          <w:lang w:eastAsia="zh-CN"/>
        </w:rPr>
        <w:t>市</w:t>
      </w:r>
      <w:r>
        <w:rPr>
          <w:rFonts w:hint="eastAsia" w:ascii="仿宋_GB2312" w:hAnsi="仿宋_GB2312" w:eastAsia="仿宋_GB2312" w:cs="仿宋_GB2312"/>
          <w:sz w:val="32"/>
          <w:szCs w:val="40"/>
        </w:rPr>
        <w:t>实际，认真策划中高考复习交流研讨活动；为全面落实学科核心素养，促进课堂教学改革，为教师成长搭建交流学习的平台；组织开展各级各项课题的研究工作，注重加强课题研究过程的管理和指导。</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（二）部门项目具体计划目标。</w:t>
      </w:r>
    </w:p>
    <w:p>
      <w:pPr>
        <w:keepNext w:val="0"/>
        <w:keepLines w:val="0"/>
        <w:pageBreakBefore w:val="0"/>
        <w:widowControl w:val="0"/>
        <w:kinsoku/>
        <w:wordWrap/>
        <w:overflowPunct/>
        <w:topLinePunct w:val="0"/>
        <w:bidi w:val="0"/>
        <w:spacing w:line="240" w:lineRule="auto"/>
        <w:ind w:firstLine="64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视导市直8所高中学校，县市区15所高中学校；培训450个高一骨干教师；建立高考9科新模式；2次分析全市近3万高三学生的学习情况</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开展14科高中教师竞赛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收集高考9科信息并及时发布</w:t>
      </w:r>
      <w:r>
        <w:rPr>
          <w:rFonts w:hint="eastAsia" w:ascii="仿宋_GB2312" w:hAnsi="仿宋_GB2312" w:eastAsia="仿宋_GB2312" w:cs="仿宋_GB2312"/>
          <w:sz w:val="32"/>
          <w:szCs w:val="40"/>
          <w:lang w:eastAsia="zh-CN"/>
        </w:rPr>
        <w:t>；举办岳阳市青少年科技创新大赛；举办岳阳市青少年青模、建筑模型及魔方悠悠球竞赛；组织2023年度省、市级规划课题评审；组织600人左右的省、市级课题主持人及科研骨干教师的培训会议；组织岳阳市第二届教育教学成果奖评选活动；召开2023年岳阳市课堂教学改革优秀成果推广会；开展2次线下思政课程集中研讨；配合省厅完成精品课开发；开展全市班主任基本功竞赛；组建全市10个核心研修团队；建设市县级心理名师工作室，以名师工作室带动市县两级教师队伍建设；开展心理精品课、辅导案例及心理剧评审，以评促改，加强心理精品资源的建设与共享；开展高中心理健康教育教师竞赛，促进教师教育教学及专业能力提升，为省教育厅组织的竞赛筛选优秀教师；开展送教送研活动，进一步发挥骨干教师示范引领作用，全面推进心理健康教育工作，促进骨干教师专业成长，建设一只优秀的队伍；开展心理健康教育教师培训，提高心理教学能力，扩大市级教研影响力；开展第一批、第二批市级心理健康教育特色校复评，进一步推进特色校各项心理工作做实做细，扩大心理健康教育典型辐射引领面，优秀率达80%以上；全市中小学实验教学质量达到全省中等以上水平；组织全市各项实验教学竞赛并遴选出优胜者参加省赛；对市直学校实验教学和教育装备情况进行调研，为上级决策提供参考依据；春、秋两季视导市直10所、县市区15所中等职业学校；组织中职学校参加国培、省培500名教师，市县校三级组织培训2000人次以上；中职学校文化课普测全市近1万多高二学生；中职学校专业技能随机抽查考试8个专业1000名以上学生；开展中职学校全科目教师职业能力比赛，班主任基本功比赛、学生“文明风采”德育系列竞赛、技能竞赛；收集中职学校对口升学高考试卷信息并及时发布；组织2023年全市高三年级三次模考；组织2023年全市高一、高二4次期末质量监测；完成微课、优课、教育信息化系列作品征集活动征集、评审、上报工作，推进教育教学信息化融合与创新；完成中小学电脑制作活动的组织工作，促进学生信息素养的提高；培育省级网络名师工作室10个以上；完成省级秋季资源建设和验收256个。</w:t>
      </w:r>
    </w:p>
    <w:p>
      <w:pPr>
        <w:keepNext w:val="0"/>
        <w:keepLines w:val="0"/>
        <w:pageBreakBefore w:val="0"/>
        <w:widowControl w:val="0"/>
        <w:kinsoku/>
        <w:wordWrap/>
        <w:overflowPunct/>
        <w:topLinePunct w:val="0"/>
        <w:bidi w:val="0"/>
        <w:spacing w:line="240" w:lineRule="auto"/>
        <w:textAlignment w:val="auto"/>
        <w:rPr>
          <w:rFonts w:hint="eastAsia" w:ascii="黑体" w:hAnsi="黑体" w:eastAsia="黑体" w:cs="黑体"/>
          <w:sz w:val="32"/>
          <w:szCs w:val="40"/>
        </w:rPr>
      </w:pPr>
      <w:r>
        <w:rPr>
          <w:rFonts w:hint="eastAsia" w:ascii="黑体" w:hAnsi="黑体" w:eastAsia="黑体" w:cs="黑体"/>
          <w:sz w:val="32"/>
          <w:szCs w:val="40"/>
        </w:rPr>
        <w:t>三、评价结论</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（一）主要绩效</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积极献言献策，发挥教育智库作用。我们关注教育发展新动态，着眼全市教育发展规划。起草了岳阳市《关于加强和改进新时代基础教育教研工作的实施意见》《中小学教学管理常规》等文件，对教研工作进行前瞻性的部署设计，对教学常规管理提出具体化的落实要求。修订了《岳阳市普通高中教育教学质量考评细则》，引导学校增强质量意识。撰写《全市引领性高中学校教师业务测试分析报告》，针对性地提出了提升教师业务能力的措施。主持撰写了《岳阳市中等职业教育区域年度人才培养质量报告》《职业教育提质培优行动计划岳阳市2022年度绩效报告》，为中职教育发展决策提供有效依据。参与撰写了《关于加强和改进中小学实验教学的实施意见》，为实验教学推进提供实践性参考意见。我们会同基教科，组织全市基础教育教学工作大会，连续12年撰写主题报告、准备会务资料。</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服务学校师生，发挥专业支撑作用。我们通过教育政策解读、教育教学指导、技术帮扶等，提高教研服务意识、服务能力和服务水平。在《岳阳日报》等媒体开辟“教研看双减”专题论坛，出台《课后服务推荐项目清单》，促进“双减”政策落地落实。编辑《普通高中课程方案及标准解读》《义务教育课程方案及标准解读》，为新课程实施提供教学参考建议。我们组织教研员和名优特教师走进学校、走近教师，“送教下乡”“送研下校”，累计辐射城乡学校100多所，解决学校发展的难点与困惑。发挥教育信息化优势，建构“农村网络联校”，帮助薄弱学校“开齐课、开足课、开好课”。编写了幼儿园、小学、中学三个学段的垃圾分类地方教材，补齐我市垃圾分类地方教材短板。我院先后与岳阳楼区、经开区、屈原区签署《教育科研合作框架协议》，促进区域教研工作提升。挂牌湖南理工学院“教育硕士联合培养基地”，选派优秀教研员担任兼职硕导。打造教育科研扶贫品牌，配合人事科实施“三区”科研支教。</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推进教学改革，提升教育教学质量。我们开展新高考研究，分别召开了高三培优复习研讨、学科分科研讨会、高中教学建模等近10次，每学科200人以上。集中、整合优质资源，顺利完成高中4次调考与模考、全市七年级质量监测工作。我们成功授牌义教阶段28所“一校、两基地”，发挥示范辐射作用，推进义务教育优质均衡发展。我们探索跨学科综合学习实践研究，开展单元教学设计研究与推广，促进义务教育新课程实施。参与中考命题和高中合格性考试市级组考科目命题，严密组织城区中考音乐、美术、理化生实验考查和信息技术考试。我们从大数据、以专业的视角进行质量分析，完成了高考、学考、中考数据分析报告和质量监测分析报告，组织召开了质量分析会，为教育行政决策和学校发展提供了技术支撑。</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2022年高考成绩稳中有进。历史类、物理类总平均分均列全省第三；历史类、物理类本科上线率分列全省第四、第三；历史类和物理类特控线上线率均列全省第五，600分及以上人数和比例分列全省第四、第五。中考成绩整体向好。全市总平均分742.07分，“一校、两基地”校中考成绩优势明显；薄弱学校教学质量逐步提升，总分不合格学校由2020年的75所、2021年的42所减少到今年的25所。</w:t>
      </w:r>
    </w:p>
    <w:p>
      <w:pPr>
        <w:keepNext w:val="0"/>
        <w:keepLines w:val="0"/>
        <w:pageBreakBefore w:val="0"/>
        <w:widowControl w:val="0"/>
        <w:kinsoku/>
        <w:wordWrap/>
        <w:overflowPunct/>
        <w:topLinePunct w:val="0"/>
        <w:bidi w:val="0"/>
        <w:spacing w:line="240" w:lineRule="auto"/>
        <w:textAlignment w:val="auto"/>
        <w:rPr>
          <w:rFonts w:hint="eastAsia" w:ascii="楷体" w:hAnsi="楷体" w:eastAsia="楷体" w:cs="楷体"/>
          <w:b/>
          <w:bCs/>
          <w:sz w:val="32"/>
          <w:szCs w:val="40"/>
        </w:rPr>
      </w:pPr>
      <w:r>
        <w:rPr>
          <w:rFonts w:hint="eastAsia" w:ascii="楷体" w:hAnsi="楷体" w:eastAsia="楷体" w:cs="楷体"/>
          <w:b/>
          <w:bCs/>
          <w:sz w:val="32"/>
          <w:szCs w:val="40"/>
        </w:rPr>
        <w:t>（二）评价结果</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教科院</w:t>
      </w:r>
      <w:r>
        <w:rPr>
          <w:rFonts w:hint="eastAsia" w:ascii="仿宋_GB2312" w:hAnsi="仿宋_GB2312" w:eastAsia="仿宋_GB2312" w:cs="仿宋_GB2312"/>
          <w:sz w:val="32"/>
          <w:szCs w:val="40"/>
        </w:rPr>
        <w:t>根据年度工作任务编制年度财务收支计划，通过全面推进单位内部控制建设，强化各部门的责任主体意识，细致梳理各类经济活动的规章制度及其业务流程，实现各类经济活动决策、执行、监督的有效分离。在此基础上，各部门组织了年度考核和相关检查，对中心整体情况进行自评。</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2022年我单位严格执行事业单位会计制度，在</w:t>
      </w:r>
      <w:r>
        <w:rPr>
          <w:rFonts w:hint="eastAsia" w:ascii="仿宋_GB2312" w:hAnsi="仿宋_GB2312" w:eastAsia="仿宋_GB2312" w:cs="仿宋_GB2312"/>
          <w:sz w:val="32"/>
          <w:szCs w:val="40"/>
          <w:lang w:eastAsia="zh-CN"/>
        </w:rPr>
        <w:t>市</w:t>
      </w:r>
      <w:r>
        <w:rPr>
          <w:rFonts w:hint="eastAsia" w:ascii="仿宋_GB2312" w:hAnsi="仿宋_GB2312" w:eastAsia="仿宋_GB2312" w:cs="仿宋_GB2312"/>
          <w:sz w:val="32"/>
          <w:szCs w:val="40"/>
        </w:rPr>
        <w:t>财政局及</w:t>
      </w:r>
      <w:r>
        <w:rPr>
          <w:rFonts w:hint="eastAsia" w:ascii="仿宋_GB2312" w:hAnsi="仿宋_GB2312" w:eastAsia="仿宋_GB2312" w:cs="仿宋_GB2312"/>
          <w:sz w:val="32"/>
          <w:szCs w:val="40"/>
          <w:lang w:eastAsia="zh-CN"/>
        </w:rPr>
        <w:t>市</w:t>
      </w:r>
      <w:r>
        <w:rPr>
          <w:rFonts w:hint="eastAsia" w:ascii="仿宋_GB2312" w:hAnsi="仿宋_GB2312" w:eastAsia="仿宋_GB2312" w:cs="仿宋_GB2312"/>
          <w:sz w:val="32"/>
          <w:szCs w:val="40"/>
        </w:rPr>
        <w:t>教体局计财科的统一要求下，按时记账，按时向财政局教科文科上报月报表，年终按时编报年终决算报表，决算数据全部取自账务，做到了账实相符、账表相符。</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通过对</w:t>
      </w:r>
      <w:r>
        <w:rPr>
          <w:rFonts w:hint="eastAsia" w:ascii="仿宋_GB2312" w:hAnsi="仿宋_GB2312" w:eastAsia="仿宋_GB2312" w:cs="仿宋_GB2312"/>
          <w:sz w:val="32"/>
          <w:szCs w:val="40"/>
          <w:lang w:eastAsia="zh-CN"/>
        </w:rPr>
        <w:t>岳阳市教育科学技术研究院</w:t>
      </w:r>
      <w:r>
        <w:rPr>
          <w:rFonts w:hint="eastAsia" w:ascii="仿宋_GB2312" w:hAnsi="仿宋_GB2312" w:eastAsia="仿宋_GB2312" w:cs="仿宋_GB2312"/>
          <w:sz w:val="32"/>
          <w:szCs w:val="40"/>
        </w:rPr>
        <w:t>2022年度部门整体支出绩效目标的完成情况和绩效实现情况进行综合评价，</w:t>
      </w:r>
      <w:r>
        <w:rPr>
          <w:rFonts w:hint="eastAsia" w:ascii="仿宋_GB2312" w:hAnsi="仿宋_GB2312" w:eastAsia="仿宋_GB2312" w:cs="仿宋_GB2312"/>
          <w:sz w:val="32"/>
          <w:szCs w:val="40"/>
          <w:lang w:eastAsia="zh-CN"/>
        </w:rPr>
        <w:t>岳阳市教育科学技术研究院</w:t>
      </w:r>
      <w:r>
        <w:rPr>
          <w:rFonts w:hint="eastAsia" w:ascii="仿宋_GB2312" w:hAnsi="仿宋_GB2312" w:eastAsia="仿宋_GB2312" w:cs="仿宋_GB2312"/>
          <w:sz w:val="32"/>
          <w:szCs w:val="40"/>
        </w:rPr>
        <w:t>2022年度整体支出绩效自评等级为“优秀”。</w:t>
      </w:r>
    </w:p>
    <w:p>
      <w:pPr>
        <w:keepNext w:val="0"/>
        <w:keepLines w:val="0"/>
        <w:pageBreakBefore w:val="0"/>
        <w:widowControl w:val="0"/>
        <w:kinsoku/>
        <w:wordWrap/>
        <w:overflowPunct/>
        <w:topLinePunct w:val="0"/>
        <w:bidi w:val="0"/>
        <w:spacing w:line="240" w:lineRule="auto"/>
        <w:textAlignment w:val="auto"/>
        <w:rPr>
          <w:rFonts w:hint="eastAsia" w:ascii="黑体" w:hAnsi="黑体" w:eastAsia="黑体" w:cs="黑体"/>
          <w:sz w:val="32"/>
          <w:szCs w:val="40"/>
        </w:rPr>
      </w:pPr>
      <w:r>
        <w:rPr>
          <w:rFonts w:hint="eastAsia" w:ascii="黑体" w:hAnsi="黑体" w:eastAsia="黑体" w:cs="黑体"/>
          <w:sz w:val="32"/>
          <w:szCs w:val="40"/>
        </w:rPr>
        <w:t>四、主要经验做法</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（一）领导重视是搞好绩效评价的基础。单位主要领导参与到预算编制和绩效目标的确定中来，了解实施绩效评价的重要意义，对推动</w:t>
      </w:r>
      <w:r>
        <w:rPr>
          <w:rFonts w:hint="eastAsia" w:ascii="仿宋_GB2312" w:hAnsi="仿宋_GB2312" w:eastAsia="仿宋_GB2312" w:cs="仿宋_GB2312"/>
          <w:sz w:val="32"/>
          <w:szCs w:val="40"/>
          <w:lang w:eastAsia="zh-CN"/>
        </w:rPr>
        <w:t>院</w:t>
      </w:r>
      <w:r>
        <w:rPr>
          <w:rFonts w:hint="eastAsia" w:ascii="仿宋_GB2312" w:hAnsi="仿宋_GB2312" w:eastAsia="仿宋_GB2312" w:cs="仿宋_GB2312"/>
          <w:sz w:val="32"/>
          <w:szCs w:val="40"/>
        </w:rPr>
        <w:t>工作完成绩效目标，有着重要作用。</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（二）确定的绩效目标要结合</w:t>
      </w:r>
      <w:r>
        <w:rPr>
          <w:rFonts w:hint="eastAsia" w:ascii="仿宋_GB2312" w:hAnsi="仿宋_GB2312" w:eastAsia="仿宋_GB2312" w:cs="仿宋_GB2312"/>
          <w:sz w:val="32"/>
          <w:szCs w:val="40"/>
          <w:lang w:eastAsia="zh-CN"/>
        </w:rPr>
        <w:t>院</w:t>
      </w:r>
      <w:r>
        <w:rPr>
          <w:rFonts w:hint="eastAsia" w:ascii="仿宋_GB2312" w:hAnsi="仿宋_GB2312" w:eastAsia="仿宋_GB2312" w:cs="仿宋_GB2312"/>
          <w:sz w:val="32"/>
          <w:szCs w:val="40"/>
        </w:rPr>
        <w:t>年度工作计划，紧扣</w:t>
      </w:r>
      <w:r>
        <w:rPr>
          <w:rFonts w:hint="eastAsia" w:ascii="仿宋_GB2312" w:hAnsi="仿宋_GB2312" w:eastAsia="仿宋_GB2312" w:cs="仿宋_GB2312"/>
          <w:sz w:val="32"/>
          <w:szCs w:val="40"/>
          <w:lang w:eastAsia="zh-CN"/>
        </w:rPr>
        <w:t>院</w:t>
      </w:r>
      <w:r>
        <w:rPr>
          <w:rFonts w:hint="eastAsia" w:ascii="仿宋_GB2312" w:hAnsi="仿宋_GB2312" w:eastAsia="仿宋_GB2312" w:cs="仿宋_GB2312"/>
          <w:sz w:val="32"/>
          <w:szCs w:val="40"/>
        </w:rPr>
        <w:t>主营业务，这样制定出来的绩效目标才便于总结分析和评价。</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（三）目标一经确定，就要制定切实可行的分月用款计划，逐月跟踪落实，才能保证支出进度的合理性。</w:t>
      </w:r>
    </w:p>
    <w:p>
      <w:pPr>
        <w:keepNext w:val="0"/>
        <w:keepLines w:val="0"/>
        <w:pageBreakBefore w:val="0"/>
        <w:widowControl w:val="0"/>
        <w:kinsoku/>
        <w:wordWrap/>
        <w:overflowPunct/>
        <w:topLinePunct w:val="0"/>
        <w:bidi w:val="0"/>
        <w:spacing w:line="240" w:lineRule="auto"/>
        <w:textAlignment w:val="auto"/>
        <w:rPr>
          <w:rFonts w:hint="eastAsia" w:ascii="黑体" w:hAnsi="黑体" w:eastAsia="黑体" w:cs="黑体"/>
          <w:sz w:val="32"/>
          <w:szCs w:val="40"/>
        </w:rPr>
      </w:pPr>
      <w:r>
        <w:rPr>
          <w:rFonts w:hint="eastAsia" w:ascii="黑体" w:hAnsi="黑体" w:eastAsia="黑体" w:cs="黑体"/>
          <w:sz w:val="32"/>
          <w:szCs w:val="40"/>
        </w:rPr>
        <w:t>五、存在的问题</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固定资产管理有待进一步规范，</w:t>
      </w:r>
      <w:r>
        <w:rPr>
          <w:rFonts w:hint="eastAsia" w:ascii="仿宋_GB2312" w:hAnsi="仿宋_GB2312" w:eastAsia="仿宋_GB2312" w:cs="仿宋_GB2312"/>
          <w:sz w:val="32"/>
          <w:szCs w:val="40"/>
          <w:lang w:eastAsia="zh-CN"/>
        </w:rPr>
        <w:t>院</w:t>
      </w:r>
      <w:r>
        <w:rPr>
          <w:rFonts w:hint="eastAsia" w:ascii="仿宋_GB2312" w:hAnsi="仿宋_GB2312" w:eastAsia="仿宋_GB2312" w:cs="仿宋_GB2312"/>
          <w:sz w:val="32"/>
          <w:szCs w:val="40"/>
        </w:rPr>
        <w:t>固定资产需落实责任到人，由于有些资产没有落实到责任人，出现资产损坏，找不到责任人并无法追究损坏原因。</w:t>
      </w:r>
    </w:p>
    <w:p>
      <w:pPr>
        <w:keepNext w:val="0"/>
        <w:keepLines w:val="0"/>
        <w:pageBreakBefore w:val="0"/>
        <w:widowControl w:val="0"/>
        <w:kinsoku/>
        <w:wordWrap/>
        <w:overflowPunct/>
        <w:topLinePunct w:val="0"/>
        <w:bidi w:val="0"/>
        <w:spacing w:line="240" w:lineRule="auto"/>
        <w:textAlignment w:val="auto"/>
        <w:rPr>
          <w:rFonts w:hint="eastAsia" w:ascii="黑体" w:hAnsi="黑体" w:eastAsia="黑体" w:cs="黑体"/>
          <w:sz w:val="32"/>
          <w:szCs w:val="40"/>
        </w:rPr>
      </w:pPr>
      <w:r>
        <w:rPr>
          <w:rFonts w:hint="eastAsia" w:ascii="黑体" w:hAnsi="黑体" w:eastAsia="黑体" w:cs="黑体"/>
          <w:sz w:val="32"/>
          <w:szCs w:val="40"/>
        </w:rPr>
        <w:t>六、改进措施及建议</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（一）加强资产管理，</w:t>
      </w:r>
      <w:r>
        <w:rPr>
          <w:rFonts w:hint="eastAsia" w:ascii="仿宋_GB2312" w:hAnsi="仿宋_GB2312" w:eastAsia="仿宋_GB2312" w:cs="仿宋_GB2312"/>
          <w:sz w:val="32"/>
          <w:szCs w:val="40"/>
          <w:lang w:eastAsia="zh-CN"/>
        </w:rPr>
        <w:t>院</w:t>
      </w:r>
      <w:r>
        <w:rPr>
          <w:rFonts w:hint="eastAsia" w:ascii="仿宋_GB2312" w:hAnsi="仿宋_GB2312" w:eastAsia="仿宋_GB2312" w:cs="仿宋_GB2312"/>
          <w:sz w:val="32"/>
          <w:szCs w:val="40"/>
        </w:rPr>
        <w:t>各项资产必须落实到责任人，划分好责任，出现资产损坏情况，及时查明原因，处理好损坏资产。</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（二）财政划拨的资金，要先进行必要详细的分析，需要多少就向财政划申请多少，做到专款专用，不跨年度使用。</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（三）对教</w:t>
      </w:r>
      <w:r>
        <w:rPr>
          <w:rFonts w:hint="eastAsia" w:ascii="仿宋_GB2312" w:hAnsi="仿宋_GB2312" w:eastAsia="仿宋_GB2312" w:cs="仿宋_GB2312"/>
          <w:sz w:val="32"/>
          <w:szCs w:val="40"/>
          <w:lang w:eastAsia="zh-CN"/>
        </w:rPr>
        <w:t>研</w:t>
      </w:r>
      <w:r>
        <w:rPr>
          <w:rFonts w:hint="eastAsia" w:ascii="仿宋_GB2312" w:hAnsi="仿宋_GB2312" w:eastAsia="仿宋_GB2312" w:cs="仿宋_GB2312"/>
          <w:sz w:val="32"/>
          <w:szCs w:val="40"/>
        </w:rPr>
        <w:t>一线加大在资金、物力、人力的投入，要人人参与。</w:t>
      </w:r>
    </w:p>
    <w:p>
      <w:pPr>
        <w:keepNext w:val="0"/>
        <w:keepLines w:val="0"/>
        <w:pageBreakBefore w:val="0"/>
        <w:widowControl w:val="0"/>
        <w:kinsoku/>
        <w:wordWrap/>
        <w:overflowPunct/>
        <w:topLinePunct w:val="0"/>
        <w:bidi w:val="0"/>
        <w:spacing w:line="24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（四）加强进修与培训，提高</w:t>
      </w:r>
      <w:r>
        <w:rPr>
          <w:rFonts w:hint="eastAsia" w:ascii="仿宋_GB2312" w:hAnsi="仿宋_GB2312" w:eastAsia="仿宋_GB2312" w:cs="仿宋_GB2312"/>
          <w:sz w:val="32"/>
          <w:szCs w:val="40"/>
          <w:lang w:eastAsia="zh-CN"/>
        </w:rPr>
        <w:t>教研员</w:t>
      </w:r>
      <w:r>
        <w:rPr>
          <w:rFonts w:hint="eastAsia" w:ascii="仿宋_GB2312" w:hAnsi="仿宋_GB2312" w:eastAsia="仿宋_GB2312" w:cs="仿宋_GB2312"/>
          <w:sz w:val="32"/>
          <w:szCs w:val="40"/>
        </w:rPr>
        <w:t>整体</w:t>
      </w:r>
      <w:r>
        <w:rPr>
          <w:rFonts w:hint="eastAsia" w:ascii="仿宋_GB2312" w:hAnsi="仿宋_GB2312" w:eastAsia="仿宋_GB2312" w:cs="仿宋_GB2312"/>
          <w:sz w:val="32"/>
          <w:szCs w:val="40"/>
          <w:lang w:eastAsia="zh-CN"/>
        </w:rPr>
        <w:t>业务</w:t>
      </w:r>
      <w:r>
        <w:rPr>
          <w:rFonts w:hint="eastAsia" w:ascii="仿宋_GB2312" w:hAnsi="仿宋_GB2312" w:eastAsia="仿宋_GB2312" w:cs="仿宋_GB2312"/>
          <w:sz w:val="32"/>
          <w:szCs w:val="40"/>
        </w:rPr>
        <w:t>素质。</w:t>
      </w: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bidi w:val="0"/>
        <w:spacing w:line="240" w:lineRule="auto"/>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bidi w:val="0"/>
        <w:spacing w:line="240" w:lineRule="auto"/>
        <w:jc w:val="righ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      </w:t>
      </w:r>
      <w:r>
        <w:rPr>
          <w:rFonts w:hint="eastAsia" w:ascii="仿宋_GB2312" w:hAnsi="仿宋_GB2312" w:eastAsia="仿宋_GB2312" w:cs="仿宋_GB2312"/>
          <w:sz w:val="32"/>
          <w:szCs w:val="40"/>
          <w:lang w:eastAsia="zh-CN"/>
        </w:rPr>
        <w:t>岳阳市教育科学技术研究院</w:t>
      </w:r>
    </w:p>
    <w:p>
      <w:pPr>
        <w:keepNext w:val="0"/>
        <w:keepLines w:val="0"/>
        <w:pageBreakBefore w:val="0"/>
        <w:widowControl w:val="0"/>
        <w:kinsoku/>
        <w:wordWrap/>
        <w:overflowPunct/>
        <w:topLinePunct w:val="0"/>
        <w:bidi w:val="0"/>
        <w:spacing w:line="240" w:lineRule="auto"/>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2023年</w:t>
      </w:r>
      <w:r>
        <w:rPr>
          <w:rFonts w:hint="eastAsia" w:ascii="仿宋_GB2312" w:hAnsi="仿宋_GB2312" w:eastAsia="仿宋_GB2312" w:cs="仿宋_GB2312"/>
          <w:sz w:val="32"/>
          <w:szCs w:val="40"/>
          <w:lang w:val="en-US" w:eastAsia="zh-CN"/>
        </w:rPr>
        <w:t>9</w:t>
      </w:r>
      <w:r>
        <w:rPr>
          <w:rFonts w:hint="eastAsia" w:ascii="仿宋_GB2312" w:hAnsi="仿宋_GB2312" w:eastAsia="仿宋_GB2312" w:cs="仿宋_GB2312"/>
          <w:sz w:val="32"/>
          <w:szCs w:val="40"/>
        </w:rPr>
        <w:t>月</w:t>
      </w:r>
      <w:r>
        <w:rPr>
          <w:rFonts w:hint="eastAsia" w:ascii="仿宋_GB2312" w:hAnsi="仿宋_GB2312" w:eastAsia="仿宋_GB2312" w:cs="仿宋_GB2312"/>
          <w:sz w:val="32"/>
          <w:szCs w:val="40"/>
          <w:lang w:val="en-US" w:eastAsia="zh-CN"/>
        </w:rPr>
        <w:t>1</w:t>
      </w:r>
      <w:bookmarkStart w:id="0" w:name="_GoBack"/>
      <w:bookmarkEnd w:id="0"/>
      <w:r>
        <w:rPr>
          <w:rFonts w:hint="eastAsia" w:ascii="仿宋_GB2312" w:hAnsi="仿宋_GB2312" w:eastAsia="仿宋_GB2312" w:cs="仿宋_GB2312"/>
          <w:sz w:val="32"/>
          <w:szCs w:val="4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GM2ZmY0YTgwNzNkNTA2ZjZiMDg1MzMyZmVhNGIifQ=="/>
  </w:docVars>
  <w:rsids>
    <w:rsidRoot w:val="3C700810"/>
    <w:rsid w:val="00263142"/>
    <w:rsid w:val="3C700810"/>
    <w:rsid w:val="79A54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5">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2023-09-15T01:07:00Z</dcterms:created>
  <dc:creator>磨叽磨叽 </dc:creator>
  <cp:lastModifiedBy>Administrator</cp:lastModifiedBy>
  <dcterms:modified xsi:type="dcterms:W3CDTF">2024-08-13T01:21:11Z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692870E496E542CB9145EC1B84C9E767_11</vt:lpwstr>
  </property>
</Properties>
</file>