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0" w:after="0" w:line="360" w:lineRule="auto"/>
        <w:outlineLvl w:val="9"/>
        <w:rPr>
          <w:rFonts w:hint="eastAsia" w:ascii="华文中宋" w:hAnsi="华文中宋" w:eastAsia="华文中宋" w:cs="华文中宋"/>
          <w:szCs w:val="44"/>
          <w:lang w:val="en-US" w:eastAsia="zh-CN"/>
        </w:rPr>
      </w:pPr>
      <w:r>
        <w:rPr>
          <w:rFonts w:hint="eastAsia" w:ascii="华文中宋" w:hAnsi="华文中宋" w:eastAsia="华文中宋" w:cs="华文中宋"/>
          <w:szCs w:val="44"/>
          <w:lang w:eastAsia="zh-CN"/>
        </w:rPr>
        <w:t>岳阳市人力资源和社会保障局</w:t>
      </w:r>
    </w:p>
    <w:p>
      <w:pPr>
        <w:pStyle w:val="7"/>
        <w:adjustRightInd w:val="0"/>
        <w:snapToGrid w:val="0"/>
        <w:spacing w:before="0" w:after="0" w:line="360" w:lineRule="auto"/>
        <w:outlineLvl w:val="9"/>
        <w:rPr>
          <w:rFonts w:hint="eastAsia" w:ascii="华文中宋" w:hAnsi="华文中宋" w:eastAsia="华文中宋" w:cs="华文中宋"/>
          <w:szCs w:val="44"/>
        </w:rPr>
      </w:pPr>
      <w:r>
        <w:rPr>
          <w:rFonts w:hint="eastAsia" w:ascii="华文中宋" w:hAnsi="华文中宋" w:eastAsia="华文中宋" w:cs="华文中宋"/>
          <w:szCs w:val="44"/>
        </w:rPr>
        <w:t>部门绩效监控报告</w:t>
      </w:r>
    </w:p>
    <w:p>
      <w:pPr>
        <w:numPr>
          <w:ilvl w:val="0"/>
          <w:numId w:val="0"/>
        </w:numPr>
        <w:spacing w:line="560" w:lineRule="exact"/>
        <w:ind w:firstLine="560" w:firstLineChars="200"/>
        <w:rPr>
          <w:rFonts w:hint="eastAsia" w:ascii="仿宋_GB2312" w:hAnsi="仿宋" w:eastAsia="仿宋_GB2312" w:cs="仿宋"/>
          <w:snapToGrid w:val="0"/>
          <w:sz w:val="28"/>
          <w:szCs w:val="28"/>
          <w:lang w:val="en-US" w:eastAsia="zh-CN"/>
        </w:rPr>
      </w:pPr>
      <w:r>
        <w:rPr>
          <w:rFonts w:hint="eastAsia" w:ascii="仿宋_GB2312" w:hAnsi="仿宋" w:eastAsia="仿宋_GB2312" w:cs="仿宋"/>
          <w:snapToGrid w:val="0"/>
          <w:sz w:val="28"/>
          <w:szCs w:val="28"/>
        </w:rPr>
        <w:t>岳阳市人力资源和社会保障局</w:t>
      </w:r>
      <w:r>
        <w:rPr>
          <w:rFonts w:hint="eastAsia" w:ascii="仿宋_GB2312" w:hAnsi="仿宋" w:eastAsia="仿宋_GB2312" w:cs="仿宋"/>
          <w:snapToGrid w:val="0"/>
          <w:sz w:val="28"/>
          <w:szCs w:val="28"/>
          <w:lang w:eastAsia="zh-CN"/>
        </w:rPr>
        <w:t>负责</w:t>
      </w:r>
      <w:r>
        <w:rPr>
          <w:rFonts w:hint="eastAsia" w:ascii="仿宋_GB2312" w:hAnsi="仿宋" w:eastAsia="仿宋_GB2312" w:cs="仿宋"/>
          <w:snapToGrid w:val="0"/>
          <w:sz w:val="28"/>
          <w:szCs w:val="28"/>
          <w:lang w:val="en-US" w:eastAsia="zh-CN"/>
        </w:rPr>
        <w:t>全市人力资源和社会保障工作，</w:t>
      </w:r>
      <w:r>
        <w:rPr>
          <w:rFonts w:hint="eastAsia" w:ascii="仿宋_GB2312" w:hAnsi="仿宋" w:eastAsia="仿宋_GB2312" w:cs="仿宋"/>
          <w:snapToGrid w:val="0"/>
          <w:sz w:val="28"/>
          <w:szCs w:val="28"/>
        </w:rPr>
        <w:t>属全额</w:t>
      </w:r>
      <w:r>
        <w:rPr>
          <w:rFonts w:hint="eastAsia" w:ascii="仿宋_GB2312" w:hAnsi="仿宋" w:eastAsia="仿宋_GB2312" w:cs="仿宋"/>
          <w:snapToGrid w:val="0"/>
          <w:sz w:val="28"/>
          <w:szCs w:val="28"/>
          <w:lang w:eastAsia="zh-CN"/>
        </w:rPr>
        <w:t>拨</w:t>
      </w:r>
      <w:r>
        <w:rPr>
          <w:rFonts w:hint="eastAsia" w:ascii="仿宋_GB2312" w:hAnsi="仿宋" w:eastAsia="仿宋_GB2312" w:cs="仿宋"/>
          <w:snapToGrid w:val="0"/>
          <w:sz w:val="28"/>
          <w:szCs w:val="28"/>
        </w:rPr>
        <w:t>款正处级</w:t>
      </w:r>
      <w:r>
        <w:rPr>
          <w:rFonts w:hint="eastAsia" w:ascii="仿宋_GB2312" w:hAnsi="仿宋" w:eastAsia="仿宋_GB2312" w:cs="仿宋"/>
          <w:snapToGrid w:val="0"/>
          <w:sz w:val="28"/>
          <w:szCs w:val="28"/>
          <w:lang w:eastAsia="zh-CN"/>
        </w:rPr>
        <w:t>行政</w:t>
      </w:r>
      <w:r>
        <w:rPr>
          <w:rFonts w:hint="eastAsia" w:ascii="仿宋_GB2312" w:hAnsi="仿宋" w:eastAsia="仿宋_GB2312" w:cs="仿宋"/>
          <w:snapToGrid w:val="0"/>
          <w:sz w:val="28"/>
          <w:szCs w:val="28"/>
        </w:rPr>
        <w:t>单位</w:t>
      </w:r>
      <w:r>
        <w:rPr>
          <w:rFonts w:hint="eastAsia" w:ascii="仿宋_GB2312" w:hAnsi="仿宋" w:eastAsia="仿宋_GB2312" w:cs="仿宋"/>
          <w:snapToGrid w:val="0"/>
          <w:sz w:val="28"/>
          <w:szCs w:val="28"/>
          <w:lang w:eastAsia="zh-CN"/>
        </w:rPr>
        <w:t>。</w:t>
      </w:r>
      <w:r>
        <w:rPr>
          <w:rFonts w:hint="eastAsia" w:ascii="仿宋_GB2312" w:hAnsi="仿宋" w:eastAsia="仿宋_GB2312" w:cs="仿宋"/>
          <w:snapToGrid w:val="0"/>
          <w:sz w:val="28"/>
          <w:szCs w:val="28"/>
          <w:lang w:val="en-US" w:eastAsia="zh-CN"/>
        </w:rPr>
        <w:t>2023年我局</w:t>
      </w:r>
      <w:r>
        <w:rPr>
          <w:rFonts w:hint="eastAsia" w:ascii="仿宋_GB2312" w:hAnsi="仿宋" w:eastAsia="仿宋_GB2312" w:cs="仿宋"/>
          <w:snapToGrid w:val="0"/>
          <w:sz w:val="28"/>
          <w:szCs w:val="28"/>
          <w:lang w:eastAsia="zh-CN"/>
        </w:rPr>
        <w:t>始终坚持服务发展、注重实效的原则，结合本单位实际扎实开展了各项绩效管理工作，现将本年绩效管理工作情况总结如下。</w:t>
      </w:r>
    </w:p>
    <w:p>
      <w:pPr>
        <w:numPr>
          <w:ilvl w:val="0"/>
          <w:numId w:val="0"/>
        </w:numPr>
        <w:spacing w:line="560" w:lineRule="exact"/>
        <w:ind w:firstLine="560" w:firstLineChars="200"/>
        <w:rPr>
          <w:rFonts w:hint="eastAsia" w:ascii="仿宋_GB2312" w:hAnsi="仿宋" w:eastAsia="仿宋_GB2312" w:cs="仿宋"/>
          <w:b/>
          <w:kern w:val="2"/>
          <w:sz w:val="28"/>
          <w:szCs w:val="28"/>
        </w:rPr>
      </w:pPr>
      <w:r>
        <w:rPr>
          <w:rFonts w:hint="eastAsia" w:ascii="黑体" w:hAnsi="黑体" w:eastAsia="黑体" w:cs="黑体"/>
          <w:bCs/>
          <w:sz w:val="28"/>
          <w:szCs w:val="28"/>
          <w:lang w:eastAsia="zh-CN"/>
        </w:rPr>
        <w:t>一、</w:t>
      </w:r>
      <w:r>
        <w:rPr>
          <w:rFonts w:hint="eastAsia" w:ascii="黑体" w:hAnsi="黑体" w:eastAsia="黑体" w:cs="黑体"/>
          <w:bCs/>
          <w:sz w:val="28"/>
          <w:szCs w:val="28"/>
        </w:rPr>
        <w:t>部门（单位）整体支出管理及使用情况</w:t>
      </w:r>
    </w:p>
    <w:p>
      <w:pPr>
        <w:numPr>
          <w:ilvl w:val="0"/>
          <w:numId w:val="1"/>
        </w:numPr>
        <w:spacing w:line="560" w:lineRule="exact"/>
        <w:ind w:left="420" w:leftChars="0" w:firstLine="0" w:firstLineChars="0"/>
        <w:rPr>
          <w:rFonts w:hint="eastAsia" w:ascii="仿宋_GB2312" w:hAnsi="仿宋" w:eastAsia="仿宋_GB2312" w:cs="仿宋"/>
          <w:b/>
          <w:kern w:val="2"/>
          <w:sz w:val="28"/>
          <w:szCs w:val="28"/>
        </w:rPr>
      </w:pPr>
      <w:r>
        <w:rPr>
          <w:rFonts w:hint="eastAsia" w:ascii="仿宋_GB2312" w:hAnsi="仿宋" w:eastAsia="仿宋_GB2312" w:cs="仿宋"/>
          <w:b/>
          <w:kern w:val="2"/>
          <w:sz w:val="28"/>
          <w:szCs w:val="28"/>
        </w:rPr>
        <w:t>整体支出管理情况</w:t>
      </w:r>
    </w:p>
    <w:p>
      <w:pPr>
        <w:numPr>
          <w:ilvl w:val="0"/>
          <w:numId w:val="0"/>
        </w:numPr>
        <w:spacing w:line="560" w:lineRule="exact"/>
        <w:ind w:firstLine="560" w:firstLineChars="200"/>
        <w:rPr>
          <w:rFonts w:hint="eastAsia" w:ascii="仿宋_GB2312" w:hAnsi="仿宋" w:eastAsia="仿宋_GB2312" w:cs="仿宋"/>
          <w:snapToGrid w:val="0"/>
          <w:sz w:val="28"/>
          <w:szCs w:val="28"/>
        </w:rPr>
      </w:pPr>
      <w:r>
        <w:rPr>
          <w:rFonts w:hint="eastAsia" w:ascii="仿宋_GB2312" w:hAnsi="仿宋" w:eastAsia="仿宋_GB2312" w:cs="仿宋"/>
          <w:snapToGrid w:val="0"/>
          <w:sz w:val="28"/>
          <w:szCs w:val="28"/>
        </w:rPr>
        <w:t>我局在整体支出管理上严格按照流程操作和制度管理，根据《会计法》、《预算法》、《行政单位财务规则》等法律和部门《财务管理办法》以及《部门预算管理办法》、《固定资产管理办法》、《非税收入管理办法》、《项目管理办法》、《支出管理补充规定》等财务制度的规定，严控经费管理，严格审核审批，成效明显。为加强单位整体支出管理，加强固定资产管理，提高资金和资产的使用效益，提高财务的精细化管理水平，在整体支出管理方面开展了如下工作：</w:t>
      </w:r>
    </w:p>
    <w:p>
      <w:pPr>
        <w:spacing w:line="600" w:lineRule="exact"/>
        <w:ind w:firstLine="560" w:firstLineChars="200"/>
        <w:rPr>
          <w:rFonts w:hint="eastAsia" w:ascii="仿宋_GB2312" w:hAnsi="仿宋" w:eastAsia="仿宋_GB2312" w:cs="仿宋"/>
          <w:snapToGrid w:val="0"/>
          <w:kern w:val="0"/>
          <w:sz w:val="28"/>
          <w:szCs w:val="28"/>
        </w:rPr>
      </w:pPr>
      <w:r>
        <w:rPr>
          <w:rFonts w:hint="eastAsia" w:ascii="仿宋_GB2312" w:hAnsi="仿宋" w:eastAsia="仿宋_GB2312" w:cs="仿宋"/>
          <w:snapToGrid w:val="0"/>
          <w:kern w:val="0"/>
          <w:sz w:val="28"/>
          <w:szCs w:val="28"/>
          <w:lang w:val="en-US" w:eastAsia="zh-CN"/>
        </w:rPr>
        <w:t>1、</w:t>
      </w:r>
      <w:r>
        <w:rPr>
          <w:rFonts w:hint="eastAsia" w:ascii="仿宋_GB2312" w:hAnsi="仿宋" w:eastAsia="仿宋_GB2312" w:cs="仿宋"/>
          <w:snapToGrid w:val="0"/>
          <w:kern w:val="0"/>
          <w:sz w:val="28"/>
          <w:szCs w:val="28"/>
        </w:rPr>
        <w:t>重视预算支出绩效评价工作。成立</w:t>
      </w:r>
      <w:r>
        <w:rPr>
          <w:rFonts w:hint="eastAsia" w:ascii="仿宋_GB2312" w:hAnsi="仿宋" w:eastAsia="仿宋_GB2312" w:cs="仿宋"/>
          <w:snapToGrid w:val="0"/>
          <w:kern w:val="0"/>
          <w:sz w:val="28"/>
          <w:szCs w:val="28"/>
          <w:lang w:eastAsia="zh-CN"/>
        </w:rPr>
        <w:t>专门</w:t>
      </w:r>
      <w:r>
        <w:rPr>
          <w:rFonts w:hint="eastAsia" w:ascii="仿宋_GB2312" w:hAnsi="仿宋" w:eastAsia="仿宋_GB2312" w:cs="仿宋"/>
          <w:snapToGrid w:val="0"/>
          <w:kern w:val="0"/>
          <w:sz w:val="28"/>
          <w:szCs w:val="28"/>
        </w:rPr>
        <w:t>预算支出绩效评价领导小组，强化各科室的预算管理意识；整体预算批复后按预算分月申报经费使用，保障我局工作的正常运转</w:t>
      </w:r>
      <w:r>
        <w:rPr>
          <w:rFonts w:hint="eastAsia" w:ascii="仿宋_GB2312" w:hAnsi="仿宋" w:eastAsia="仿宋_GB2312" w:cs="仿宋"/>
          <w:snapToGrid w:val="0"/>
          <w:kern w:val="0"/>
          <w:sz w:val="28"/>
          <w:szCs w:val="28"/>
          <w:lang w:eastAsia="zh-CN"/>
        </w:rPr>
        <w:t>，</w:t>
      </w:r>
      <w:r>
        <w:rPr>
          <w:rFonts w:hint="eastAsia" w:ascii="仿宋_GB2312" w:hAnsi="仿宋" w:eastAsia="仿宋_GB2312" w:cs="仿宋"/>
          <w:snapToGrid w:val="0"/>
          <w:kern w:val="0"/>
          <w:sz w:val="28"/>
          <w:szCs w:val="28"/>
        </w:rPr>
        <w:t>加强预算绩效执行管理。</w:t>
      </w:r>
    </w:p>
    <w:p>
      <w:pPr>
        <w:spacing w:line="600" w:lineRule="exact"/>
        <w:ind w:firstLine="560" w:firstLineChars="200"/>
        <w:rPr>
          <w:rFonts w:hint="eastAsia" w:ascii="仿宋_GB2312" w:hAnsi="仿宋" w:eastAsia="仿宋_GB2312" w:cs="仿宋"/>
          <w:bCs/>
          <w:sz w:val="28"/>
          <w:szCs w:val="28"/>
        </w:rPr>
      </w:pPr>
      <w:r>
        <w:rPr>
          <w:rFonts w:hint="eastAsia" w:ascii="仿宋_GB2312" w:hAnsi="仿宋" w:eastAsia="仿宋_GB2312" w:cs="仿宋"/>
          <w:snapToGrid w:val="0"/>
          <w:kern w:val="0"/>
          <w:sz w:val="28"/>
          <w:szCs w:val="28"/>
          <w:lang w:val="en-US" w:eastAsia="zh-CN"/>
        </w:rPr>
        <w:t>2、</w:t>
      </w:r>
      <w:r>
        <w:rPr>
          <w:rFonts w:hint="eastAsia" w:ascii="仿宋_GB2312" w:hAnsi="仿宋" w:eastAsia="仿宋_GB2312" w:cs="仿宋"/>
          <w:snapToGrid w:val="0"/>
          <w:kern w:val="0"/>
          <w:sz w:val="28"/>
          <w:szCs w:val="28"/>
        </w:rPr>
        <w:t>贯彻执行财政预算资金管理规定，全面提升财务人员的业务工作能力。加强财务人员学习，学习上级最新文件规定，学习《行政单位内部控制规范》，对照规范要求组织相关人员和科室进行内控情况的梳理和自查；严格贯彻执行《湖南省财政厅关于严控“三公经费”预算管理的通知》和《党政机关厉行节约反对浪费条例》的规</w:t>
      </w:r>
      <w:r>
        <w:rPr>
          <w:rFonts w:hint="eastAsia" w:ascii="仿宋_GB2312" w:hAnsi="仿宋" w:eastAsia="仿宋_GB2312" w:cs="仿宋"/>
          <w:bCs/>
          <w:sz w:val="28"/>
          <w:szCs w:val="28"/>
        </w:rPr>
        <w:t>定与精神。</w:t>
      </w:r>
    </w:p>
    <w:p>
      <w:pPr>
        <w:spacing w:line="600" w:lineRule="exact"/>
        <w:ind w:firstLine="560" w:firstLineChars="200"/>
        <w:rPr>
          <w:rFonts w:hint="eastAsia" w:ascii="仿宋_GB2312" w:hAnsi="仿宋" w:eastAsia="仿宋_GB2312" w:cs="仿宋"/>
          <w:snapToGrid w:val="0"/>
          <w:kern w:val="0"/>
          <w:sz w:val="28"/>
          <w:szCs w:val="28"/>
        </w:rPr>
      </w:pPr>
      <w:r>
        <w:rPr>
          <w:rFonts w:hint="eastAsia" w:ascii="仿宋_GB2312" w:hAnsi="仿宋" w:eastAsia="仿宋_GB2312" w:cs="仿宋"/>
          <w:snapToGrid w:val="0"/>
          <w:kern w:val="0"/>
          <w:sz w:val="28"/>
          <w:szCs w:val="28"/>
          <w:lang w:val="en-US" w:eastAsia="zh-CN"/>
        </w:rPr>
        <w:t>3、</w:t>
      </w:r>
      <w:r>
        <w:rPr>
          <w:rFonts w:hint="eastAsia" w:ascii="仿宋_GB2312" w:hAnsi="仿宋" w:eastAsia="仿宋_GB2312" w:cs="仿宋"/>
          <w:snapToGrid w:val="0"/>
          <w:kern w:val="0"/>
          <w:sz w:val="28"/>
          <w:szCs w:val="28"/>
        </w:rPr>
        <w:t>建立健全整体支出管理内控制度，并进行完善和修订。</w:t>
      </w:r>
    </w:p>
    <w:p>
      <w:pPr>
        <w:spacing w:line="600" w:lineRule="exact"/>
        <w:ind w:firstLine="560" w:firstLineChars="200"/>
        <w:rPr>
          <w:rFonts w:hint="eastAsia" w:ascii="仿宋_GB2312" w:hAnsi="仿宋" w:eastAsia="仿宋_GB2312" w:cs="仿宋"/>
          <w:snapToGrid w:val="0"/>
          <w:kern w:val="0"/>
          <w:sz w:val="28"/>
          <w:szCs w:val="28"/>
        </w:rPr>
      </w:pPr>
      <w:r>
        <w:rPr>
          <w:rFonts w:hint="eastAsia" w:ascii="仿宋_GB2312" w:hAnsi="仿宋" w:eastAsia="仿宋_GB2312" w:cs="仿宋"/>
          <w:snapToGrid w:val="0"/>
          <w:kern w:val="0"/>
          <w:sz w:val="28"/>
          <w:szCs w:val="28"/>
          <w:lang w:val="en-US" w:eastAsia="zh-CN"/>
        </w:rPr>
        <w:t>4、</w:t>
      </w:r>
      <w:r>
        <w:rPr>
          <w:rFonts w:hint="eastAsia" w:ascii="仿宋_GB2312" w:hAnsi="仿宋" w:eastAsia="仿宋_GB2312" w:cs="仿宋"/>
          <w:snapToGrid w:val="0"/>
          <w:kern w:val="0"/>
          <w:sz w:val="28"/>
          <w:szCs w:val="28"/>
        </w:rPr>
        <w:t>严格执行《财务管理制度》</w:t>
      </w:r>
      <w:r>
        <w:rPr>
          <w:rFonts w:hint="eastAsia" w:ascii="仿宋_GB2312" w:hAnsi="仿宋" w:eastAsia="仿宋_GB2312" w:cs="仿宋"/>
          <w:snapToGrid w:val="0"/>
          <w:kern w:val="0"/>
          <w:sz w:val="28"/>
          <w:szCs w:val="28"/>
          <w:lang w:eastAsia="zh-CN"/>
        </w:rPr>
        <w:t>，</w:t>
      </w:r>
      <w:r>
        <w:rPr>
          <w:rFonts w:hint="eastAsia" w:ascii="仿宋_GB2312" w:hAnsi="仿宋" w:eastAsia="仿宋_GB2312" w:cs="仿宋"/>
          <w:snapToGrid w:val="0"/>
          <w:kern w:val="0"/>
          <w:sz w:val="28"/>
          <w:szCs w:val="28"/>
        </w:rPr>
        <w:t>对机关的预算编制、审批、执行、决算及预算管理评价工作进行了规范。</w:t>
      </w:r>
    </w:p>
    <w:p>
      <w:pPr>
        <w:spacing w:line="600" w:lineRule="exact"/>
        <w:ind w:firstLine="560" w:firstLineChars="200"/>
        <w:rPr>
          <w:rFonts w:hint="eastAsia" w:ascii="仿宋_GB2312" w:hAnsi="仿宋" w:eastAsia="仿宋_GB2312" w:cs="仿宋"/>
          <w:snapToGrid w:val="0"/>
          <w:kern w:val="0"/>
          <w:sz w:val="28"/>
          <w:szCs w:val="28"/>
        </w:rPr>
      </w:pPr>
      <w:r>
        <w:rPr>
          <w:rFonts w:hint="eastAsia" w:ascii="仿宋_GB2312" w:hAnsi="仿宋" w:eastAsia="仿宋_GB2312" w:cs="仿宋"/>
          <w:snapToGrid w:val="0"/>
          <w:kern w:val="0"/>
          <w:sz w:val="28"/>
          <w:szCs w:val="28"/>
          <w:lang w:val="en-US" w:eastAsia="zh-CN"/>
        </w:rPr>
        <w:t>5、</w:t>
      </w:r>
      <w:r>
        <w:rPr>
          <w:rFonts w:hint="eastAsia" w:ascii="仿宋_GB2312" w:hAnsi="仿宋" w:eastAsia="仿宋_GB2312" w:cs="仿宋"/>
          <w:snapToGrid w:val="0"/>
          <w:kern w:val="0"/>
          <w:sz w:val="28"/>
          <w:szCs w:val="28"/>
        </w:rPr>
        <w:t>固定资产管理。资产的配置、使用、保管、处置等环节，按照规定的程序严格管理，保证资产的安全高效，防止资产流失。</w:t>
      </w:r>
    </w:p>
    <w:p>
      <w:pPr>
        <w:spacing w:line="600" w:lineRule="exact"/>
        <w:ind w:firstLine="560" w:firstLineChars="200"/>
        <w:rPr>
          <w:rFonts w:hint="eastAsia" w:ascii="仿宋_GB2312" w:hAnsi="仿宋" w:eastAsia="仿宋_GB2312" w:cs="仿宋"/>
          <w:snapToGrid w:val="0"/>
          <w:kern w:val="0"/>
          <w:sz w:val="28"/>
          <w:szCs w:val="28"/>
        </w:rPr>
      </w:pPr>
      <w:r>
        <w:rPr>
          <w:rFonts w:hint="eastAsia" w:ascii="仿宋_GB2312" w:hAnsi="仿宋" w:eastAsia="仿宋_GB2312" w:cs="仿宋"/>
          <w:snapToGrid w:val="0"/>
          <w:kern w:val="0"/>
          <w:sz w:val="28"/>
          <w:szCs w:val="28"/>
          <w:lang w:val="en-US" w:eastAsia="zh-CN"/>
        </w:rPr>
        <w:t>6、</w:t>
      </w:r>
      <w:r>
        <w:rPr>
          <w:rFonts w:hint="eastAsia" w:ascii="仿宋_GB2312" w:hAnsi="仿宋" w:eastAsia="仿宋_GB2312" w:cs="仿宋"/>
          <w:snapToGrid w:val="0"/>
          <w:kern w:val="0"/>
          <w:sz w:val="28"/>
          <w:szCs w:val="28"/>
        </w:rPr>
        <w:t>专项资金管理。专项资金的预算、使用按照项目立项计划进度，资金按程序、合同拨付与专款使用；达到公开招标的项目，按程序规定实行公开招标。</w:t>
      </w:r>
    </w:p>
    <w:p>
      <w:pPr>
        <w:spacing w:line="600" w:lineRule="exact"/>
        <w:ind w:firstLine="560" w:firstLineChars="200"/>
        <w:rPr>
          <w:rFonts w:hint="eastAsia" w:ascii="仿宋_GB2312" w:hAnsi="仿宋" w:eastAsia="仿宋_GB2312" w:cs="仿宋"/>
          <w:snapToGrid w:val="0"/>
          <w:kern w:val="0"/>
          <w:sz w:val="28"/>
          <w:szCs w:val="28"/>
        </w:rPr>
      </w:pPr>
      <w:r>
        <w:rPr>
          <w:rFonts w:hint="eastAsia" w:ascii="仿宋_GB2312" w:hAnsi="仿宋" w:eastAsia="仿宋_GB2312" w:cs="仿宋"/>
          <w:snapToGrid w:val="0"/>
          <w:kern w:val="0"/>
          <w:sz w:val="28"/>
          <w:szCs w:val="28"/>
          <w:lang w:val="en-US" w:eastAsia="zh-CN"/>
        </w:rPr>
        <w:t>7、</w:t>
      </w:r>
      <w:r>
        <w:rPr>
          <w:rFonts w:hint="eastAsia" w:ascii="仿宋_GB2312" w:hAnsi="仿宋" w:eastAsia="仿宋_GB2312" w:cs="仿宋"/>
          <w:snapToGrid w:val="0"/>
          <w:kern w:val="0"/>
          <w:sz w:val="28"/>
          <w:szCs w:val="28"/>
        </w:rPr>
        <w:t>非税收入管理。确保非税收入的及时清缴入库，严格非税收入的管理。</w:t>
      </w:r>
    </w:p>
    <w:p>
      <w:pPr>
        <w:spacing w:line="600" w:lineRule="exact"/>
        <w:ind w:firstLine="560" w:firstLineChars="200"/>
        <w:rPr>
          <w:rFonts w:hint="eastAsia" w:ascii="仿宋_GB2312" w:hAnsi="仿宋" w:eastAsia="仿宋_GB2312" w:cs="仿宋"/>
          <w:snapToGrid w:val="0"/>
          <w:kern w:val="0"/>
          <w:sz w:val="28"/>
          <w:szCs w:val="28"/>
        </w:rPr>
      </w:pPr>
      <w:r>
        <w:rPr>
          <w:rFonts w:hint="eastAsia" w:ascii="仿宋_GB2312" w:hAnsi="仿宋" w:eastAsia="仿宋_GB2312" w:cs="仿宋"/>
          <w:snapToGrid w:val="0"/>
          <w:kern w:val="0"/>
          <w:sz w:val="28"/>
          <w:szCs w:val="28"/>
          <w:lang w:val="en-US" w:eastAsia="zh-CN"/>
        </w:rPr>
        <w:t>8、</w:t>
      </w:r>
      <w:r>
        <w:rPr>
          <w:rFonts w:hint="eastAsia" w:ascii="仿宋_GB2312" w:hAnsi="仿宋" w:eastAsia="仿宋_GB2312" w:cs="仿宋"/>
          <w:snapToGrid w:val="0"/>
          <w:kern w:val="0"/>
          <w:sz w:val="28"/>
          <w:szCs w:val="28"/>
        </w:rPr>
        <w:t>票据管理。规范财政票据、发票的管理。票据的领用、保管、发放均由专人管理登记，确保财政票据使用的规范。</w:t>
      </w:r>
    </w:p>
    <w:p>
      <w:pPr>
        <w:spacing w:line="600" w:lineRule="exact"/>
        <w:ind w:firstLine="560" w:firstLineChars="200"/>
        <w:rPr>
          <w:rFonts w:hint="eastAsia" w:ascii="仿宋_GB2312" w:hAnsi="仿宋" w:eastAsia="仿宋_GB2312" w:cs="仿宋"/>
          <w:snapToGrid w:val="0"/>
          <w:kern w:val="0"/>
          <w:sz w:val="28"/>
          <w:szCs w:val="28"/>
        </w:rPr>
      </w:pPr>
      <w:r>
        <w:rPr>
          <w:rFonts w:hint="eastAsia" w:ascii="仿宋_GB2312" w:hAnsi="仿宋" w:eastAsia="仿宋_GB2312" w:cs="仿宋"/>
          <w:snapToGrid w:val="0"/>
          <w:kern w:val="0"/>
          <w:sz w:val="28"/>
          <w:szCs w:val="28"/>
          <w:lang w:val="en-US" w:eastAsia="zh-CN"/>
        </w:rPr>
        <w:t>9、</w:t>
      </w:r>
      <w:r>
        <w:rPr>
          <w:rFonts w:hint="eastAsia" w:ascii="仿宋_GB2312" w:hAnsi="仿宋" w:eastAsia="仿宋_GB2312" w:cs="仿宋"/>
          <w:snapToGrid w:val="0"/>
          <w:kern w:val="0"/>
          <w:sz w:val="28"/>
          <w:szCs w:val="28"/>
        </w:rPr>
        <w:t>内部审计管理。强化监督指导所辖单位财务管理和监督指导工作，努力提高综合管理能力，细化内部管理控制。</w:t>
      </w:r>
    </w:p>
    <w:p>
      <w:pPr>
        <w:spacing w:line="600" w:lineRule="exact"/>
        <w:ind w:left="0" w:leftChars="0" w:firstLine="560" w:firstLineChars="200"/>
        <w:rPr>
          <w:rFonts w:hint="eastAsia" w:ascii="仿宋_GB2312" w:hAnsi="仿宋" w:eastAsia="仿宋_GB2312" w:cs="仿宋"/>
          <w:snapToGrid w:val="0"/>
          <w:kern w:val="0"/>
          <w:sz w:val="28"/>
          <w:szCs w:val="28"/>
        </w:rPr>
      </w:pPr>
      <w:r>
        <w:rPr>
          <w:rFonts w:hint="eastAsia" w:ascii="仿宋_GB2312" w:hAnsi="仿宋" w:eastAsia="仿宋_GB2312" w:cs="仿宋"/>
          <w:snapToGrid w:val="0"/>
          <w:kern w:val="0"/>
          <w:sz w:val="28"/>
          <w:szCs w:val="28"/>
          <w:lang w:val="en-US" w:eastAsia="zh-CN"/>
        </w:rPr>
        <w:t>10、</w:t>
      </w:r>
      <w:r>
        <w:rPr>
          <w:rFonts w:hint="eastAsia" w:ascii="仿宋_GB2312" w:hAnsi="仿宋" w:eastAsia="仿宋_GB2312" w:cs="仿宋"/>
          <w:snapToGrid w:val="0"/>
          <w:kern w:val="0"/>
          <w:sz w:val="28"/>
          <w:szCs w:val="28"/>
        </w:rPr>
        <w:t>严格“三公经费”的控制。加强公务用车管理、招待费按标准接待、使其“三公经费”严格控制在预算范围之内。</w:t>
      </w:r>
    </w:p>
    <w:p>
      <w:pPr>
        <w:spacing w:line="600" w:lineRule="exact"/>
        <w:ind w:firstLine="562" w:firstLineChars="200"/>
        <w:rPr>
          <w:rFonts w:hint="eastAsia" w:ascii="仿宋_GB2312" w:hAnsi="仿宋" w:eastAsia="仿宋_GB2312" w:cs="仿宋"/>
          <w:b/>
          <w:sz w:val="28"/>
          <w:szCs w:val="28"/>
        </w:rPr>
      </w:pPr>
      <w:r>
        <w:rPr>
          <w:rFonts w:hint="eastAsia" w:ascii="仿宋_GB2312" w:hAnsi="仿宋" w:eastAsia="仿宋_GB2312" w:cs="仿宋"/>
          <w:b/>
          <w:sz w:val="28"/>
          <w:szCs w:val="28"/>
          <w:lang w:eastAsia="zh-CN"/>
        </w:rPr>
        <w:t>（二）</w:t>
      </w:r>
      <w:r>
        <w:rPr>
          <w:rFonts w:hint="eastAsia" w:ascii="仿宋_GB2312" w:hAnsi="仿宋" w:eastAsia="仿宋_GB2312" w:cs="仿宋"/>
          <w:b/>
          <w:sz w:val="28"/>
          <w:szCs w:val="28"/>
        </w:rPr>
        <w:t>整体支出使用情况</w:t>
      </w:r>
    </w:p>
    <w:p>
      <w:pPr>
        <w:spacing w:line="600" w:lineRule="exact"/>
        <w:ind w:firstLine="560" w:firstLineChars="200"/>
        <w:rPr>
          <w:rFonts w:hint="eastAsia" w:ascii="仿宋_GB2312" w:hAnsi="仿宋_GB2312" w:eastAsia="仿宋_GB2312" w:cs="仿宋_GB2312"/>
          <w:snapToGrid w:val="0"/>
          <w:color w:val="auto"/>
          <w:kern w:val="0"/>
          <w:sz w:val="28"/>
          <w:szCs w:val="28"/>
          <w:highlight w:val="none"/>
        </w:rPr>
      </w:pPr>
      <w:r>
        <w:rPr>
          <w:rFonts w:hint="eastAsia" w:ascii="仿宋_GB2312" w:hAnsi="仿宋" w:eastAsia="仿宋_GB2312" w:cs="仿宋"/>
          <w:b w:val="0"/>
          <w:bCs/>
          <w:sz w:val="28"/>
          <w:szCs w:val="28"/>
          <w:lang w:val="en-US" w:eastAsia="zh-CN"/>
        </w:rPr>
        <w:t>1、</w:t>
      </w:r>
      <w:r>
        <w:rPr>
          <w:rFonts w:hint="eastAsia" w:ascii="仿宋_GB2312" w:hAnsi="仿宋" w:eastAsia="仿宋_GB2312" w:cs="仿宋"/>
          <w:b w:val="0"/>
          <w:bCs/>
          <w:sz w:val="28"/>
          <w:szCs w:val="28"/>
        </w:rPr>
        <w:t>整体支出情况</w:t>
      </w:r>
      <w:r>
        <w:rPr>
          <w:rFonts w:hint="eastAsia" w:ascii="仿宋_GB2312" w:hAnsi="仿宋" w:eastAsia="仿宋_GB2312" w:cs="仿宋"/>
          <w:b w:val="0"/>
          <w:bCs/>
          <w:sz w:val="28"/>
          <w:szCs w:val="28"/>
          <w:lang w:eastAsia="zh-CN"/>
        </w:rPr>
        <w:t>分析</w:t>
      </w:r>
      <w:r>
        <w:rPr>
          <w:rFonts w:hint="eastAsia" w:ascii="仿宋_GB2312" w:hAnsi="仿宋" w:eastAsia="仿宋_GB2312" w:cs="仿宋"/>
          <w:b w:val="0"/>
          <w:bCs/>
          <w:sz w:val="28"/>
          <w:szCs w:val="28"/>
        </w:rPr>
        <w:t>：</w:t>
      </w:r>
      <w:r>
        <w:rPr>
          <w:rFonts w:hint="eastAsia" w:ascii="仿宋_GB2312" w:hAnsi="仿宋_GB2312" w:eastAsia="仿宋_GB2312" w:cs="仿宋_GB2312"/>
          <w:color w:val="auto"/>
          <w:kern w:val="0"/>
          <w:sz w:val="28"/>
          <w:szCs w:val="28"/>
          <w:highlight w:val="none"/>
        </w:rPr>
        <w:t>本年</w:t>
      </w:r>
      <w:r>
        <w:rPr>
          <w:rFonts w:hint="eastAsia" w:ascii="仿宋_GB2312" w:hAnsi="仿宋_GB2312" w:eastAsia="仿宋_GB2312" w:cs="仿宋_GB2312"/>
          <w:snapToGrid w:val="0"/>
          <w:color w:val="auto"/>
          <w:kern w:val="0"/>
          <w:sz w:val="28"/>
          <w:szCs w:val="28"/>
          <w:highlight w:val="none"/>
        </w:rPr>
        <w:t>支出</w:t>
      </w:r>
      <w:r>
        <w:rPr>
          <w:rFonts w:hint="eastAsia" w:ascii="仿宋_GB2312" w:hAnsi="仿宋_GB2312" w:eastAsia="仿宋_GB2312" w:cs="仿宋_GB2312"/>
          <w:color w:val="auto"/>
          <w:kern w:val="0"/>
          <w:sz w:val="28"/>
          <w:szCs w:val="28"/>
          <w:highlight w:val="none"/>
          <w:lang w:val="en-US" w:eastAsia="zh-CN"/>
        </w:rPr>
        <w:t>8431.39</w:t>
      </w:r>
      <w:r>
        <w:rPr>
          <w:rFonts w:hint="eastAsia" w:ascii="仿宋_GB2312" w:hAnsi="仿宋_GB2312" w:eastAsia="仿宋_GB2312" w:cs="仿宋_GB2312"/>
          <w:color w:val="auto"/>
          <w:kern w:val="0"/>
          <w:sz w:val="28"/>
          <w:szCs w:val="28"/>
          <w:highlight w:val="none"/>
          <w:lang w:bidi="ar"/>
        </w:rPr>
        <w:t>万元</w:t>
      </w:r>
      <w:r>
        <w:rPr>
          <w:rFonts w:hint="eastAsia" w:ascii="仿宋_GB2312" w:hAnsi="仿宋_GB2312" w:eastAsia="仿宋_GB2312" w:cs="仿宋_GB2312"/>
          <w:color w:val="auto"/>
          <w:kern w:val="0"/>
          <w:sz w:val="28"/>
          <w:szCs w:val="28"/>
          <w:highlight w:val="none"/>
          <w:lang w:eastAsia="zh-CN" w:bidi="ar"/>
        </w:rPr>
        <w:t>，按支出性质分类，</w:t>
      </w:r>
      <w:r>
        <w:rPr>
          <w:rFonts w:hint="eastAsia" w:ascii="仿宋_GB2312" w:hAnsi="仿宋_GB2312" w:eastAsia="仿宋_GB2312" w:cs="仿宋_GB2312"/>
          <w:snapToGrid w:val="0"/>
          <w:color w:val="auto"/>
          <w:kern w:val="0"/>
          <w:sz w:val="28"/>
          <w:szCs w:val="28"/>
          <w:highlight w:val="none"/>
        </w:rPr>
        <w:t>基本支出</w:t>
      </w:r>
      <w:r>
        <w:rPr>
          <w:rFonts w:hint="eastAsia" w:ascii="仿宋_GB2312" w:hAnsi="仿宋_GB2312" w:eastAsia="仿宋_GB2312" w:cs="仿宋_GB2312"/>
          <w:color w:val="auto"/>
          <w:kern w:val="0"/>
          <w:sz w:val="28"/>
          <w:szCs w:val="28"/>
          <w:highlight w:val="none"/>
          <w:lang w:val="en-US" w:eastAsia="zh-CN"/>
        </w:rPr>
        <w:t>6197.17</w:t>
      </w:r>
      <w:r>
        <w:rPr>
          <w:rFonts w:hint="eastAsia" w:ascii="仿宋_GB2312" w:hAnsi="仿宋_GB2312" w:eastAsia="仿宋_GB2312" w:cs="仿宋_GB2312"/>
          <w:color w:val="auto"/>
          <w:kern w:val="0"/>
          <w:sz w:val="28"/>
          <w:szCs w:val="28"/>
          <w:highlight w:val="none"/>
        </w:rPr>
        <w:t>万</w:t>
      </w:r>
      <w:r>
        <w:rPr>
          <w:rFonts w:hint="eastAsia" w:ascii="仿宋_GB2312" w:hAnsi="仿宋_GB2312" w:eastAsia="仿宋_GB2312" w:cs="仿宋_GB2312"/>
          <w:snapToGrid w:val="0"/>
          <w:color w:val="auto"/>
          <w:kern w:val="0"/>
          <w:sz w:val="28"/>
          <w:szCs w:val="28"/>
          <w:highlight w:val="none"/>
        </w:rPr>
        <w:t>元；项目支出为</w:t>
      </w:r>
      <w:r>
        <w:rPr>
          <w:rFonts w:hint="eastAsia" w:ascii="仿宋_GB2312" w:hAnsi="仿宋_GB2312" w:eastAsia="仿宋_GB2312" w:cs="仿宋_GB2312"/>
          <w:color w:val="auto"/>
          <w:kern w:val="0"/>
          <w:sz w:val="28"/>
          <w:szCs w:val="28"/>
          <w:highlight w:val="none"/>
          <w:lang w:val="en-US" w:eastAsia="zh-CN"/>
        </w:rPr>
        <w:t>2234.22</w:t>
      </w:r>
      <w:r>
        <w:rPr>
          <w:rFonts w:hint="eastAsia" w:ascii="仿宋_GB2312" w:hAnsi="仿宋_GB2312" w:eastAsia="仿宋_GB2312" w:cs="仿宋_GB2312"/>
          <w:color w:val="auto"/>
          <w:kern w:val="0"/>
          <w:sz w:val="28"/>
          <w:szCs w:val="28"/>
          <w:highlight w:val="none"/>
        </w:rPr>
        <w:t>万</w:t>
      </w:r>
      <w:r>
        <w:rPr>
          <w:rFonts w:hint="eastAsia" w:ascii="仿宋_GB2312" w:hAnsi="仿宋_GB2312" w:eastAsia="仿宋_GB2312" w:cs="仿宋_GB2312"/>
          <w:snapToGrid w:val="0"/>
          <w:color w:val="auto"/>
          <w:kern w:val="0"/>
          <w:sz w:val="28"/>
          <w:szCs w:val="28"/>
          <w:highlight w:val="none"/>
        </w:rPr>
        <w:t>元</w:t>
      </w:r>
      <w:r>
        <w:rPr>
          <w:rFonts w:hint="eastAsia" w:ascii="仿宋_GB2312" w:hAnsi="仿宋_GB2312" w:eastAsia="仿宋_GB2312" w:cs="仿宋_GB2312"/>
          <w:snapToGrid w:val="0"/>
          <w:color w:val="auto"/>
          <w:kern w:val="0"/>
          <w:sz w:val="28"/>
          <w:szCs w:val="28"/>
          <w:highlight w:val="none"/>
          <w:lang w:eastAsia="zh-CN"/>
        </w:rPr>
        <w:t>；按经济分类，工资福利支出</w:t>
      </w:r>
      <w:r>
        <w:rPr>
          <w:rFonts w:hint="eastAsia" w:ascii="仿宋_GB2312" w:hAnsi="仿宋_GB2312" w:eastAsia="仿宋_GB2312" w:cs="仿宋_GB2312"/>
          <w:snapToGrid w:val="0"/>
          <w:color w:val="auto"/>
          <w:kern w:val="0"/>
          <w:sz w:val="28"/>
          <w:szCs w:val="28"/>
          <w:highlight w:val="none"/>
          <w:lang w:val="en-US" w:eastAsia="zh-CN"/>
        </w:rPr>
        <w:t>3893.06万元，商品和服务支出1146.92万元，对个人和家庭的补助1109.93万元，资本性支出47.27万元；按功能分类，一般公共服务支出1.65万元，社会保障和就业支出8326.44万元，卫生健康支出93.31万元，农林水支出10万元</w:t>
      </w:r>
      <w:r>
        <w:rPr>
          <w:rFonts w:hint="eastAsia" w:ascii="仿宋_GB2312" w:hAnsi="仿宋_GB2312" w:eastAsia="仿宋_GB2312" w:cs="仿宋_GB2312"/>
          <w:snapToGrid w:val="0"/>
          <w:color w:val="auto"/>
          <w:kern w:val="0"/>
          <w:sz w:val="28"/>
          <w:szCs w:val="28"/>
          <w:highlight w:val="none"/>
        </w:rPr>
        <w:t>。</w:t>
      </w:r>
    </w:p>
    <w:p>
      <w:pPr>
        <w:spacing w:line="600" w:lineRule="exact"/>
        <w:ind w:firstLine="560" w:firstLineChars="200"/>
        <w:rPr>
          <w:rFonts w:hint="eastAsia" w:ascii="仿宋_GB2312" w:hAnsi="宋体" w:eastAsia="仿宋_GB2312" w:cs="仿宋_GB2312"/>
          <w:i w:val="0"/>
          <w:iCs w:val="0"/>
          <w:color w:val="auto"/>
          <w:kern w:val="0"/>
          <w:sz w:val="28"/>
          <w:szCs w:val="28"/>
          <w:highlight w:val="none"/>
          <w:u w:val="none"/>
          <w:lang w:val="en-US" w:eastAsia="zh-CN" w:bidi="ar"/>
        </w:rPr>
      </w:pPr>
      <w:r>
        <w:rPr>
          <w:rFonts w:hint="eastAsia" w:ascii="仿宋_GB2312" w:hAnsi="仿宋" w:eastAsia="仿宋_GB2312" w:cs="仿宋"/>
          <w:b w:val="0"/>
          <w:bCs/>
          <w:sz w:val="28"/>
          <w:szCs w:val="28"/>
          <w:highlight w:val="none"/>
          <w:lang w:val="en-US" w:eastAsia="zh-CN"/>
        </w:rPr>
        <w:t>2、</w:t>
      </w:r>
      <w:r>
        <w:rPr>
          <w:rFonts w:hint="eastAsia" w:ascii="仿宋_GB2312" w:hAnsi="仿宋" w:eastAsia="仿宋_GB2312" w:cs="仿宋"/>
          <w:b w:val="0"/>
          <w:bCs/>
          <w:sz w:val="28"/>
          <w:szCs w:val="28"/>
          <w:highlight w:val="none"/>
        </w:rPr>
        <w:t>“</w:t>
      </w:r>
      <w:r>
        <w:rPr>
          <w:rFonts w:hint="eastAsia" w:ascii="仿宋_GB2312" w:hAnsi="仿宋" w:eastAsia="仿宋_GB2312" w:cs="仿宋"/>
          <w:b w:val="0"/>
          <w:bCs/>
          <w:snapToGrid w:val="0"/>
          <w:kern w:val="0"/>
          <w:sz w:val="28"/>
          <w:szCs w:val="28"/>
          <w:highlight w:val="none"/>
        </w:rPr>
        <w:t>三公经费</w:t>
      </w:r>
      <w:r>
        <w:rPr>
          <w:rFonts w:hint="eastAsia" w:ascii="仿宋_GB2312" w:hAnsi="仿宋" w:eastAsia="仿宋_GB2312" w:cs="仿宋"/>
          <w:b w:val="0"/>
          <w:bCs/>
          <w:sz w:val="28"/>
          <w:szCs w:val="28"/>
          <w:highlight w:val="none"/>
        </w:rPr>
        <w:t>”</w:t>
      </w:r>
      <w:r>
        <w:rPr>
          <w:rFonts w:hint="eastAsia" w:ascii="仿宋_GB2312" w:hAnsi="仿宋" w:eastAsia="仿宋_GB2312" w:cs="仿宋"/>
          <w:b w:val="0"/>
          <w:bCs/>
          <w:snapToGrid w:val="0"/>
          <w:kern w:val="0"/>
          <w:sz w:val="28"/>
          <w:szCs w:val="28"/>
          <w:highlight w:val="none"/>
        </w:rPr>
        <w:t>支出情况</w:t>
      </w:r>
      <w:r>
        <w:rPr>
          <w:rFonts w:hint="eastAsia" w:ascii="仿宋_GB2312" w:hAnsi="仿宋" w:eastAsia="仿宋_GB2312" w:cs="仿宋"/>
          <w:b w:val="0"/>
          <w:bCs/>
          <w:snapToGrid w:val="0"/>
          <w:kern w:val="0"/>
          <w:sz w:val="28"/>
          <w:szCs w:val="28"/>
          <w:highlight w:val="none"/>
          <w:lang w:eastAsia="zh-CN"/>
        </w:rPr>
        <w:t>分析</w:t>
      </w:r>
      <w:r>
        <w:rPr>
          <w:rFonts w:hint="eastAsia" w:ascii="仿宋_GB2312" w:hAnsi="仿宋" w:eastAsia="仿宋_GB2312" w:cs="仿宋"/>
          <w:b w:val="0"/>
          <w:bCs/>
          <w:snapToGrid w:val="0"/>
          <w:kern w:val="0"/>
          <w:sz w:val="28"/>
          <w:szCs w:val="28"/>
          <w:highlight w:val="none"/>
        </w:rPr>
        <w:t>：</w:t>
      </w:r>
      <w:r>
        <w:rPr>
          <w:rFonts w:hint="eastAsia" w:ascii="仿宋_GB2312" w:hAnsi="仿宋" w:eastAsia="仿宋_GB2312" w:cs="仿宋"/>
          <w:b w:val="0"/>
          <w:bCs/>
          <w:sz w:val="28"/>
          <w:szCs w:val="28"/>
          <w:highlight w:val="none"/>
        </w:rPr>
        <w:t>本年</w:t>
      </w:r>
      <w:r>
        <w:rPr>
          <w:rFonts w:hint="eastAsia" w:ascii="仿宋_GB2312" w:hAnsi="仿宋" w:eastAsia="仿宋_GB2312" w:cs="仿宋"/>
          <w:b w:val="0"/>
          <w:bCs/>
          <w:snapToGrid w:val="0"/>
          <w:kern w:val="0"/>
          <w:sz w:val="28"/>
          <w:szCs w:val="28"/>
          <w:highlight w:val="none"/>
        </w:rPr>
        <w:t>实际支出</w:t>
      </w:r>
      <w:r>
        <w:rPr>
          <w:rFonts w:hint="eastAsia" w:ascii="仿宋_GB2312" w:hAnsi="仿宋" w:eastAsia="仿宋_GB2312" w:cs="仿宋"/>
          <w:b w:val="0"/>
          <w:bCs/>
          <w:color w:val="000000"/>
          <w:kern w:val="0"/>
          <w:sz w:val="28"/>
          <w:szCs w:val="28"/>
          <w:highlight w:val="none"/>
          <w:lang w:val="en-US" w:eastAsia="zh-CN" w:bidi="ar"/>
        </w:rPr>
        <w:t>18.09</w:t>
      </w:r>
      <w:r>
        <w:rPr>
          <w:rFonts w:hint="eastAsia" w:ascii="仿宋_GB2312" w:hAnsi="仿宋" w:eastAsia="仿宋_GB2312" w:cs="仿宋"/>
          <w:b w:val="0"/>
          <w:bCs/>
          <w:snapToGrid w:val="0"/>
          <w:kern w:val="0"/>
          <w:sz w:val="28"/>
          <w:szCs w:val="28"/>
          <w:highlight w:val="none"/>
        </w:rPr>
        <w:t>万元</w:t>
      </w:r>
      <w:r>
        <w:rPr>
          <w:rFonts w:hint="eastAsia" w:ascii="仿宋_GB2312" w:hAnsi="仿宋" w:eastAsia="仿宋_GB2312" w:cs="仿宋"/>
          <w:b w:val="0"/>
          <w:bCs/>
          <w:snapToGrid w:val="0"/>
          <w:kern w:val="0"/>
          <w:sz w:val="28"/>
          <w:szCs w:val="28"/>
          <w:highlight w:val="none"/>
          <w:lang w:eastAsia="zh-CN"/>
        </w:rPr>
        <w:t>，其中公务接待费</w:t>
      </w:r>
      <w:r>
        <w:rPr>
          <w:rFonts w:hint="eastAsia" w:ascii="仿宋_GB2312" w:hAnsi="仿宋" w:eastAsia="仿宋_GB2312" w:cs="仿宋"/>
          <w:b w:val="0"/>
          <w:bCs/>
          <w:snapToGrid w:val="0"/>
          <w:kern w:val="0"/>
          <w:sz w:val="28"/>
          <w:szCs w:val="28"/>
          <w:highlight w:val="none"/>
          <w:lang w:val="en-US" w:eastAsia="zh-CN"/>
        </w:rPr>
        <w:t>7.15万元</w:t>
      </w:r>
      <w:r>
        <w:rPr>
          <w:rFonts w:hint="eastAsia" w:ascii="仿宋_GB2312" w:hAnsi="仿宋" w:eastAsia="仿宋_GB2312" w:cs="仿宋"/>
          <w:b w:val="0"/>
          <w:bCs/>
          <w:snapToGrid w:val="0"/>
          <w:kern w:val="0"/>
          <w:sz w:val="28"/>
          <w:szCs w:val="28"/>
          <w:highlight w:val="none"/>
        </w:rPr>
        <w:t>，</w:t>
      </w:r>
      <w:r>
        <w:rPr>
          <w:rFonts w:hint="eastAsia" w:ascii="仿宋_GB2312" w:hAnsi="仿宋" w:eastAsia="仿宋_GB2312" w:cs="仿宋"/>
          <w:b w:val="0"/>
          <w:bCs/>
          <w:snapToGrid w:val="0"/>
          <w:kern w:val="0"/>
          <w:sz w:val="28"/>
          <w:szCs w:val="28"/>
          <w:highlight w:val="none"/>
          <w:lang w:eastAsia="zh-CN"/>
        </w:rPr>
        <w:t>公务用车运行维护费</w:t>
      </w:r>
      <w:r>
        <w:rPr>
          <w:rFonts w:hint="eastAsia" w:ascii="仿宋_GB2312" w:hAnsi="仿宋" w:eastAsia="仿宋_GB2312" w:cs="仿宋"/>
          <w:b w:val="0"/>
          <w:bCs/>
          <w:snapToGrid w:val="0"/>
          <w:kern w:val="0"/>
          <w:sz w:val="28"/>
          <w:szCs w:val="28"/>
          <w:highlight w:val="none"/>
          <w:lang w:val="en-US" w:eastAsia="zh-CN"/>
        </w:rPr>
        <w:t>10.94万元，因公出国费0万元。</w:t>
      </w:r>
      <w:r>
        <w:rPr>
          <w:rFonts w:hint="eastAsia" w:ascii="仿宋_GB2312" w:hAnsi="仿宋" w:eastAsia="仿宋_GB2312" w:cs="仿宋"/>
          <w:b w:val="0"/>
          <w:bCs/>
          <w:snapToGrid w:val="0"/>
          <w:kern w:val="0"/>
          <w:sz w:val="28"/>
          <w:szCs w:val="28"/>
          <w:highlight w:val="none"/>
        </w:rPr>
        <w:t>年初预算为</w:t>
      </w:r>
      <w:r>
        <w:rPr>
          <w:rFonts w:hint="eastAsia" w:ascii="仿宋_GB2312" w:hAnsi="仿宋" w:eastAsia="仿宋_GB2312" w:cs="仿宋"/>
          <w:b w:val="0"/>
          <w:bCs/>
          <w:color w:val="000000"/>
          <w:sz w:val="28"/>
          <w:szCs w:val="28"/>
          <w:highlight w:val="none"/>
          <w:lang w:val="en-US" w:eastAsia="zh-CN"/>
        </w:rPr>
        <w:t>20.14</w:t>
      </w:r>
      <w:r>
        <w:rPr>
          <w:rFonts w:hint="eastAsia" w:ascii="仿宋_GB2312" w:hAnsi="仿宋" w:eastAsia="仿宋_GB2312" w:cs="仿宋"/>
          <w:b w:val="0"/>
          <w:bCs/>
          <w:snapToGrid w:val="0"/>
          <w:kern w:val="0"/>
          <w:sz w:val="28"/>
          <w:szCs w:val="28"/>
          <w:highlight w:val="none"/>
        </w:rPr>
        <w:t>万元，</w:t>
      </w:r>
      <w:r>
        <w:rPr>
          <w:rFonts w:hint="eastAsia" w:ascii="仿宋_GB2312" w:hAnsi="仿宋" w:eastAsia="仿宋_GB2312" w:cs="仿宋"/>
          <w:b w:val="0"/>
          <w:bCs/>
          <w:snapToGrid w:val="0"/>
          <w:kern w:val="0"/>
          <w:sz w:val="28"/>
          <w:szCs w:val="28"/>
          <w:highlight w:val="none"/>
          <w:lang w:eastAsia="zh-CN"/>
        </w:rPr>
        <w:t>比预算降低</w:t>
      </w:r>
      <w:r>
        <w:rPr>
          <w:rFonts w:hint="eastAsia" w:ascii="仿宋_GB2312" w:hAnsi="仿宋" w:eastAsia="仿宋_GB2312" w:cs="仿宋"/>
          <w:b w:val="0"/>
          <w:bCs/>
          <w:snapToGrid w:val="0"/>
          <w:kern w:val="0"/>
          <w:sz w:val="28"/>
          <w:szCs w:val="28"/>
          <w:highlight w:val="none"/>
          <w:lang w:val="en-US" w:eastAsia="zh-CN"/>
        </w:rPr>
        <w:t>10.18%，</w:t>
      </w:r>
      <w:r>
        <w:rPr>
          <w:rFonts w:hint="eastAsia" w:ascii="仿宋_GB2312" w:hAnsi="宋体" w:eastAsia="仿宋_GB2312" w:cs="仿宋_GB2312"/>
          <w:i w:val="0"/>
          <w:iCs w:val="0"/>
          <w:color w:val="auto"/>
          <w:kern w:val="0"/>
          <w:sz w:val="28"/>
          <w:szCs w:val="28"/>
          <w:highlight w:val="none"/>
          <w:u w:val="none"/>
          <w:lang w:val="en-US" w:eastAsia="zh-CN" w:bidi="ar"/>
        </w:rPr>
        <w:t>主要原因是厉行节约，严格执行八项规定，从严控制三公经费。</w:t>
      </w:r>
    </w:p>
    <w:p>
      <w:pPr>
        <w:spacing w:line="600" w:lineRule="exact"/>
        <w:ind w:firstLine="562" w:firstLineChars="200"/>
        <w:rPr>
          <w:rFonts w:hint="eastAsia" w:ascii="仿宋_GB2312" w:hAnsi="仿宋_GB2312" w:eastAsia="仿宋_GB2312" w:cs="仿宋_GB2312"/>
          <w:b/>
          <w:bCs/>
          <w:snapToGrid w:val="0"/>
          <w:kern w:val="0"/>
          <w:sz w:val="28"/>
          <w:szCs w:val="28"/>
        </w:rPr>
      </w:pPr>
      <w:r>
        <w:rPr>
          <w:rFonts w:hint="eastAsia" w:ascii="仿宋_GB2312" w:hAnsi="仿宋_GB2312" w:eastAsia="仿宋_GB2312" w:cs="仿宋_GB2312"/>
          <w:b/>
          <w:bCs/>
          <w:sz w:val="28"/>
          <w:szCs w:val="28"/>
          <w:lang w:val="en-US" w:eastAsia="zh-CN"/>
        </w:rPr>
        <w:t>（三）</w:t>
      </w:r>
      <w:r>
        <w:rPr>
          <w:rFonts w:hint="eastAsia" w:ascii="仿宋_GB2312" w:hAnsi="仿宋_GB2312" w:eastAsia="仿宋_GB2312" w:cs="仿宋_GB2312"/>
          <w:b/>
          <w:bCs/>
          <w:snapToGrid w:val="0"/>
          <w:kern w:val="0"/>
          <w:sz w:val="28"/>
          <w:szCs w:val="28"/>
        </w:rPr>
        <w:t>项目支出使用情况分析</w:t>
      </w:r>
    </w:p>
    <w:p>
      <w:pPr>
        <w:spacing w:line="600" w:lineRule="exact"/>
        <w:ind w:firstLine="560" w:firstLineChars="200"/>
        <w:rPr>
          <w:rFonts w:hint="eastAsia" w:ascii="仿宋_GB2312" w:hAnsi="仿宋" w:eastAsia="仿宋_GB2312" w:cs="仿宋"/>
          <w:b w:val="0"/>
          <w:bCs w:val="0"/>
          <w:snapToGrid w:val="0"/>
          <w:kern w:val="0"/>
          <w:sz w:val="28"/>
          <w:szCs w:val="28"/>
          <w:highlight w:val="none"/>
        </w:rPr>
      </w:pPr>
      <w:r>
        <w:rPr>
          <w:rFonts w:hint="eastAsia" w:ascii="仿宋_GB2312" w:hAnsi="仿宋" w:eastAsia="仿宋_GB2312" w:cs="仿宋"/>
          <w:b w:val="0"/>
          <w:bCs w:val="0"/>
          <w:snapToGrid w:val="0"/>
          <w:kern w:val="0"/>
          <w:sz w:val="28"/>
          <w:szCs w:val="28"/>
          <w:highlight w:val="none"/>
          <w:lang w:val="en-US" w:eastAsia="zh-CN"/>
        </w:rPr>
        <w:t>1、</w:t>
      </w:r>
      <w:r>
        <w:rPr>
          <w:rFonts w:hint="eastAsia" w:ascii="仿宋_GB2312" w:hAnsi="仿宋" w:eastAsia="仿宋_GB2312" w:cs="仿宋"/>
          <w:b w:val="0"/>
          <w:bCs w:val="0"/>
          <w:snapToGrid w:val="0"/>
          <w:kern w:val="0"/>
          <w:sz w:val="28"/>
          <w:szCs w:val="28"/>
          <w:highlight w:val="none"/>
        </w:rPr>
        <w:t>项目资金安排落实、总投入情况</w:t>
      </w:r>
    </w:p>
    <w:p>
      <w:pPr>
        <w:spacing w:line="600" w:lineRule="exact"/>
        <w:ind w:firstLine="560" w:firstLineChars="200"/>
        <w:rPr>
          <w:rFonts w:hint="eastAsia" w:ascii="仿宋_GB2312" w:hAnsi="仿宋" w:eastAsia="仿宋_GB2312" w:cs="仿宋"/>
          <w:snapToGrid w:val="0"/>
          <w:kern w:val="0"/>
          <w:sz w:val="28"/>
          <w:szCs w:val="28"/>
          <w:highlight w:val="none"/>
        </w:rPr>
      </w:pPr>
      <w:r>
        <w:rPr>
          <w:rFonts w:hint="eastAsia" w:ascii="仿宋_GB2312" w:hAnsi="仿宋" w:eastAsia="仿宋_GB2312" w:cs="仿宋"/>
          <w:snapToGrid w:val="0"/>
          <w:kern w:val="0"/>
          <w:sz w:val="28"/>
          <w:szCs w:val="28"/>
          <w:highlight w:val="none"/>
        </w:rPr>
        <w:t>全年度社会保障和就业项目财政资金拨入</w:t>
      </w:r>
      <w:r>
        <w:rPr>
          <w:rFonts w:hint="eastAsia" w:ascii="仿宋_GB2312" w:hAnsi="仿宋" w:eastAsia="仿宋_GB2312" w:cs="仿宋"/>
          <w:snapToGrid w:val="0"/>
          <w:kern w:val="0"/>
          <w:sz w:val="28"/>
          <w:szCs w:val="28"/>
          <w:highlight w:val="none"/>
          <w:lang w:val="en-US" w:eastAsia="zh-CN"/>
        </w:rPr>
        <w:t>2270.2</w:t>
      </w:r>
      <w:r>
        <w:rPr>
          <w:rFonts w:hint="eastAsia" w:ascii="仿宋_GB2312" w:hAnsi="仿宋" w:eastAsia="仿宋_GB2312" w:cs="仿宋"/>
          <w:snapToGrid w:val="0"/>
          <w:kern w:val="0"/>
          <w:sz w:val="28"/>
          <w:szCs w:val="28"/>
          <w:highlight w:val="none"/>
        </w:rPr>
        <w:t>万元，社会保障和就业项目支出</w:t>
      </w:r>
      <w:r>
        <w:rPr>
          <w:rFonts w:hint="eastAsia" w:ascii="仿宋_GB2312" w:hAnsi="仿宋" w:eastAsia="仿宋_GB2312" w:cs="仿宋"/>
          <w:snapToGrid w:val="0"/>
          <w:kern w:val="0"/>
          <w:sz w:val="28"/>
          <w:szCs w:val="28"/>
          <w:highlight w:val="none"/>
          <w:lang w:val="en-US" w:eastAsia="zh-CN"/>
        </w:rPr>
        <w:t>2270.2</w:t>
      </w:r>
      <w:r>
        <w:rPr>
          <w:rFonts w:hint="eastAsia" w:ascii="仿宋_GB2312" w:hAnsi="仿宋" w:eastAsia="仿宋_GB2312" w:cs="仿宋"/>
          <w:snapToGrid w:val="0"/>
          <w:kern w:val="0"/>
          <w:sz w:val="28"/>
          <w:szCs w:val="28"/>
          <w:highlight w:val="none"/>
        </w:rPr>
        <w:t>万元，</w:t>
      </w:r>
      <w:r>
        <w:rPr>
          <w:rFonts w:hint="eastAsia" w:ascii="仿宋_GB2312" w:hAnsi="仿宋" w:eastAsia="仿宋_GB2312" w:cs="仿宋"/>
          <w:snapToGrid w:val="0"/>
          <w:kern w:val="0"/>
          <w:sz w:val="28"/>
          <w:szCs w:val="28"/>
          <w:highlight w:val="none"/>
          <w:lang w:val="en-US" w:eastAsia="zh-CN"/>
        </w:rPr>
        <w:t>用于公务员、事业单位及三支一扶招考、人才引进、职称评审、职称考试、信息网络建设、企业规范用工和职业技能竞赛等。</w:t>
      </w:r>
    </w:p>
    <w:p>
      <w:pPr>
        <w:spacing w:line="600" w:lineRule="exact"/>
        <w:ind w:firstLine="560" w:firstLineChars="200"/>
        <w:rPr>
          <w:rFonts w:hint="eastAsia" w:ascii="仿宋_GB2312" w:hAnsi="仿宋" w:eastAsia="仿宋_GB2312" w:cs="仿宋"/>
          <w:b w:val="0"/>
          <w:bCs w:val="0"/>
          <w:sz w:val="28"/>
          <w:szCs w:val="28"/>
          <w:highlight w:val="none"/>
        </w:rPr>
      </w:pPr>
      <w:r>
        <w:rPr>
          <w:rFonts w:hint="eastAsia" w:ascii="仿宋_GB2312" w:hAnsi="仿宋" w:eastAsia="仿宋_GB2312" w:cs="仿宋"/>
          <w:b w:val="0"/>
          <w:bCs w:val="0"/>
          <w:sz w:val="28"/>
          <w:szCs w:val="28"/>
          <w:highlight w:val="none"/>
          <w:lang w:val="en-US" w:eastAsia="zh-CN"/>
        </w:rPr>
        <w:t>2、</w:t>
      </w:r>
      <w:r>
        <w:rPr>
          <w:rFonts w:hint="eastAsia" w:ascii="仿宋_GB2312" w:hAnsi="仿宋" w:eastAsia="仿宋_GB2312" w:cs="仿宋"/>
          <w:b w:val="0"/>
          <w:bCs w:val="0"/>
          <w:sz w:val="28"/>
          <w:szCs w:val="28"/>
          <w:highlight w:val="none"/>
        </w:rPr>
        <w:t>项目资金</w:t>
      </w:r>
      <w:r>
        <w:rPr>
          <w:rFonts w:hint="eastAsia" w:ascii="仿宋_GB2312" w:hAnsi="仿宋" w:eastAsia="仿宋_GB2312" w:cs="仿宋"/>
          <w:b w:val="0"/>
          <w:bCs w:val="0"/>
          <w:sz w:val="28"/>
          <w:szCs w:val="28"/>
          <w:highlight w:val="none"/>
          <w:lang w:eastAsia="zh-CN"/>
        </w:rPr>
        <w:t>使用、</w:t>
      </w:r>
      <w:r>
        <w:rPr>
          <w:rFonts w:hint="eastAsia" w:ascii="仿宋_GB2312" w:hAnsi="仿宋" w:eastAsia="仿宋_GB2312" w:cs="仿宋"/>
          <w:b w:val="0"/>
          <w:bCs w:val="0"/>
          <w:sz w:val="28"/>
          <w:szCs w:val="28"/>
          <w:highlight w:val="none"/>
        </w:rPr>
        <w:t>管理情况</w:t>
      </w:r>
    </w:p>
    <w:p>
      <w:pPr>
        <w:spacing w:line="600" w:lineRule="exact"/>
        <w:ind w:firstLine="560" w:firstLineChars="200"/>
        <w:rPr>
          <w:rFonts w:hint="eastAsia" w:ascii="仿宋_GB2312" w:hAnsi="仿宋" w:eastAsia="仿宋_GB2312" w:cs="仿宋"/>
          <w:snapToGrid w:val="0"/>
          <w:kern w:val="0"/>
          <w:sz w:val="28"/>
          <w:szCs w:val="28"/>
          <w:highlight w:val="none"/>
        </w:rPr>
      </w:pPr>
      <w:r>
        <w:rPr>
          <w:rFonts w:hint="eastAsia" w:ascii="仿宋_GB2312" w:hAnsi="仿宋" w:eastAsia="仿宋_GB2312" w:cs="仿宋"/>
          <w:snapToGrid w:val="0"/>
          <w:kern w:val="0"/>
          <w:sz w:val="28"/>
          <w:szCs w:val="28"/>
          <w:highlight w:val="none"/>
        </w:rPr>
        <w:t>我单位项目资金</w:t>
      </w:r>
      <w:r>
        <w:rPr>
          <w:rFonts w:hint="eastAsia" w:ascii="仿宋_GB2312" w:hAnsi="仿宋" w:eastAsia="仿宋_GB2312" w:cs="仿宋"/>
          <w:snapToGrid w:val="0"/>
          <w:kern w:val="0"/>
          <w:sz w:val="28"/>
          <w:szCs w:val="28"/>
          <w:highlight w:val="none"/>
          <w:lang w:eastAsia="zh-CN"/>
        </w:rPr>
        <w:t>严格</w:t>
      </w:r>
      <w:r>
        <w:rPr>
          <w:rFonts w:hint="eastAsia" w:ascii="仿宋_GB2312" w:hAnsi="仿宋" w:eastAsia="仿宋_GB2312" w:cs="仿宋"/>
          <w:snapToGrid w:val="0"/>
          <w:kern w:val="0"/>
          <w:sz w:val="28"/>
          <w:szCs w:val="28"/>
          <w:highlight w:val="none"/>
        </w:rPr>
        <w:t>依照《会计法》、《会计基础工作规范》、《行政单位财务制度》、《政府会计制度》、《国库集中支付管理规定》和《本单位财务管理制度》与财政年初预算安排的行政运行资金集合管理使用，采取总量控制、计划管理，按预算科目和项目资金的使用规定，坚持勤俭节约、量入为出，保证重点、兼顾一般、从严控制，重大财务事项集体决策科学管理，保证财政资金的安全和高效运行。</w:t>
      </w:r>
    </w:p>
    <w:p>
      <w:pPr>
        <w:spacing w:line="600" w:lineRule="exact"/>
        <w:ind w:firstLine="560" w:firstLineChars="200"/>
        <w:rPr>
          <w:rFonts w:hint="eastAsia" w:ascii="黑体" w:hAnsi="黑体" w:eastAsia="黑体" w:cs="黑体"/>
          <w:bCs/>
          <w:snapToGrid w:val="0"/>
          <w:kern w:val="0"/>
          <w:sz w:val="28"/>
          <w:szCs w:val="28"/>
        </w:rPr>
      </w:pPr>
      <w:r>
        <w:rPr>
          <w:rFonts w:hint="eastAsia" w:ascii="黑体" w:hAnsi="黑体" w:eastAsia="黑体" w:cs="黑体"/>
          <w:bCs/>
          <w:snapToGrid w:val="0"/>
          <w:kern w:val="0"/>
          <w:sz w:val="28"/>
          <w:szCs w:val="28"/>
          <w:lang w:eastAsia="zh-CN"/>
        </w:rPr>
        <w:t>三</w:t>
      </w:r>
      <w:r>
        <w:rPr>
          <w:rFonts w:hint="eastAsia" w:ascii="黑体" w:hAnsi="黑体" w:eastAsia="黑体" w:cs="黑体"/>
          <w:bCs/>
          <w:snapToGrid w:val="0"/>
          <w:kern w:val="0"/>
          <w:sz w:val="28"/>
          <w:szCs w:val="28"/>
        </w:rPr>
        <w:t>、</w:t>
      </w:r>
      <w:r>
        <w:rPr>
          <w:rFonts w:hint="eastAsia" w:ascii="黑体" w:hAnsi="黑体" w:eastAsia="黑体" w:cs="黑体"/>
          <w:bCs/>
          <w:sz w:val="28"/>
          <w:szCs w:val="28"/>
        </w:rPr>
        <w:t>部门（单位）</w:t>
      </w:r>
      <w:r>
        <w:rPr>
          <w:rFonts w:hint="eastAsia" w:ascii="黑体" w:hAnsi="黑体" w:eastAsia="黑体" w:cs="黑体"/>
          <w:bCs/>
          <w:snapToGrid w:val="0"/>
          <w:kern w:val="0"/>
          <w:sz w:val="28"/>
          <w:szCs w:val="28"/>
        </w:rPr>
        <w:t>整体支出组织实施情况</w:t>
      </w:r>
    </w:p>
    <w:p>
      <w:pPr>
        <w:spacing w:line="600" w:lineRule="exact"/>
        <w:ind w:firstLine="560" w:firstLineChars="200"/>
        <w:rPr>
          <w:rFonts w:hint="default" w:eastAsia="宋体"/>
          <w:lang w:val="en-US" w:eastAsia="zh-CN"/>
        </w:rPr>
      </w:pPr>
      <w:r>
        <w:rPr>
          <w:rFonts w:hint="eastAsia" w:ascii="仿宋_GB2312" w:hAnsi="仿宋" w:eastAsia="仿宋_GB2312" w:cs="仿宋"/>
          <w:snapToGrid w:val="0"/>
          <w:kern w:val="0"/>
          <w:sz w:val="28"/>
          <w:szCs w:val="28"/>
        </w:rPr>
        <w:t>我局年初根据上年度资金的运行情况与上级相关部门请示、沟通、确定目标管理任务，财政按年度预算安排项目、范围、额度下达，及时拨付。我单位在项目资金的使用上，按照年初计划安排，项目经费开支范围按照财政集中支付要求，按审批程序、权限要求支付。项目资金的管理使用，遵守项目资金管理制度，杜绝违规支付行为。资金用于一般公共服务支出、</w:t>
      </w:r>
      <w:r>
        <w:rPr>
          <w:rFonts w:hint="eastAsia" w:ascii="仿宋_GB2312" w:hAnsi="仿宋" w:eastAsia="仿宋_GB2312" w:cs="仿宋"/>
          <w:snapToGrid w:val="0"/>
          <w:kern w:val="0"/>
          <w:sz w:val="28"/>
          <w:szCs w:val="28"/>
          <w:lang w:eastAsia="zh-CN"/>
        </w:rPr>
        <w:t>人力资源和社会保障管理事务、行政事业单位离退休、就业补助等方面</w:t>
      </w:r>
      <w:r>
        <w:rPr>
          <w:rFonts w:hint="eastAsia" w:ascii="仿宋_GB2312" w:hAnsi="仿宋" w:eastAsia="仿宋_GB2312" w:cs="仿宋"/>
          <w:snapToGrid w:val="0"/>
          <w:kern w:val="0"/>
          <w:sz w:val="28"/>
          <w:szCs w:val="28"/>
        </w:rPr>
        <w:t>。资金的管理使用做到规范化、科学化，为履行职能职责和完成各级部门的工作任务提供了保障，</w:t>
      </w:r>
      <w:r>
        <w:rPr>
          <w:rFonts w:hint="eastAsia" w:ascii="仿宋_GB2312" w:hAnsi="仿宋" w:eastAsia="仿宋_GB2312" w:cs="仿宋"/>
          <w:snapToGrid w:val="0"/>
          <w:kern w:val="0"/>
          <w:sz w:val="28"/>
          <w:szCs w:val="28"/>
          <w:lang w:eastAsia="zh-CN"/>
        </w:rPr>
        <w:t>强化了</w:t>
      </w:r>
      <w:r>
        <w:rPr>
          <w:rFonts w:hint="eastAsia" w:ascii="仿宋_GB2312" w:hAnsi="仿宋" w:eastAsia="仿宋_GB2312" w:cs="仿宋"/>
          <w:snapToGrid w:val="0"/>
          <w:kern w:val="0"/>
          <w:sz w:val="28"/>
          <w:szCs w:val="28"/>
          <w:lang w:val="en-US" w:eastAsia="zh-CN"/>
        </w:rPr>
        <w:t>人才支撑和社会保障</w:t>
      </w:r>
      <w:r>
        <w:rPr>
          <w:rFonts w:hint="eastAsia" w:ascii="仿宋_GB2312" w:hAnsi="仿宋" w:eastAsia="仿宋_GB2312" w:cs="仿宋"/>
          <w:snapToGrid w:val="0"/>
          <w:kern w:val="0"/>
          <w:sz w:val="28"/>
          <w:szCs w:val="28"/>
          <w:lang w:eastAsia="zh-CN"/>
        </w:rPr>
        <w:t>，</w:t>
      </w:r>
      <w:r>
        <w:rPr>
          <w:rFonts w:hint="eastAsia" w:ascii="仿宋_GB2312" w:hAnsi="仿宋" w:eastAsia="仿宋_GB2312" w:cs="仿宋"/>
          <w:snapToGrid w:val="0"/>
          <w:kern w:val="0"/>
          <w:sz w:val="28"/>
          <w:szCs w:val="28"/>
        </w:rPr>
        <w:t>取得了较好的效果。</w:t>
      </w:r>
    </w:p>
    <w:p>
      <w:pPr>
        <w:numPr>
          <w:ilvl w:val="0"/>
          <w:numId w:val="0"/>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lang w:eastAsia="zh-CN"/>
        </w:rPr>
        <w:t>四、</w:t>
      </w:r>
      <w:r>
        <w:rPr>
          <w:rFonts w:hint="eastAsia" w:ascii="黑体" w:hAnsi="黑体" w:eastAsia="黑体" w:cs="黑体"/>
          <w:bCs/>
          <w:sz w:val="28"/>
          <w:szCs w:val="28"/>
        </w:rPr>
        <w:t>部门（单位）整体支出绩效情况</w:t>
      </w:r>
    </w:p>
    <w:p>
      <w:pPr>
        <w:spacing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（一）经济性评价方面</w:t>
      </w:r>
    </w:p>
    <w:p>
      <w:pPr>
        <w:spacing w:line="600" w:lineRule="exact"/>
        <w:ind w:firstLine="560" w:firstLineChars="200"/>
        <w:rPr>
          <w:rFonts w:hint="eastAsia" w:ascii="仿宋_GB2312" w:hAnsi="仿宋" w:eastAsia="仿宋_GB2312" w:cs="仿宋"/>
          <w:snapToGrid w:val="0"/>
          <w:kern w:val="0"/>
          <w:sz w:val="28"/>
          <w:szCs w:val="28"/>
        </w:rPr>
      </w:pPr>
      <w:r>
        <w:rPr>
          <w:rFonts w:hint="eastAsia" w:ascii="仿宋_GB2312" w:hAnsi="仿宋" w:eastAsia="仿宋_GB2312" w:cs="仿宋"/>
          <w:snapToGrid w:val="0"/>
          <w:kern w:val="0"/>
          <w:sz w:val="28"/>
          <w:szCs w:val="28"/>
        </w:rPr>
        <w:t>1、本年预算配置控制较好，财政供养人员控制在预算编制以内，“三公经费”总额</w:t>
      </w:r>
      <w:r>
        <w:rPr>
          <w:rFonts w:hint="eastAsia" w:ascii="仿宋_GB2312" w:hAnsi="仿宋" w:eastAsia="仿宋_GB2312" w:cs="仿宋"/>
          <w:snapToGrid w:val="0"/>
          <w:kern w:val="0"/>
          <w:sz w:val="28"/>
          <w:szCs w:val="28"/>
          <w:lang w:eastAsia="zh-CN"/>
        </w:rPr>
        <w:t>总体控制较好</w:t>
      </w:r>
      <w:r>
        <w:rPr>
          <w:rFonts w:hint="eastAsia" w:ascii="仿宋_GB2312" w:hAnsi="仿宋" w:eastAsia="仿宋_GB2312" w:cs="仿宋"/>
          <w:snapToGrid w:val="0"/>
          <w:kern w:val="0"/>
          <w:sz w:val="28"/>
          <w:szCs w:val="28"/>
        </w:rPr>
        <w:t>。</w:t>
      </w:r>
    </w:p>
    <w:p>
      <w:pPr>
        <w:spacing w:line="600" w:lineRule="exact"/>
        <w:ind w:firstLine="560" w:firstLineChars="200"/>
        <w:rPr>
          <w:rFonts w:hint="eastAsia" w:ascii="仿宋_GB2312" w:hAnsi="仿宋" w:eastAsia="仿宋_GB2312" w:cs="仿宋"/>
          <w:snapToGrid w:val="0"/>
          <w:kern w:val="0"/>
          <w:sz w:val="28"/>
          <w:szCs w:val="28"/>
        </w:rPr>
      </w:pPr>
      <w:r>
        <w:rPr>
          <w:rFonts w:hint="eastAsia" w:ascii="仿宋_GB2312" w:hAnsi="仿宋" w:eastAsia="仿宋_GB2312" w:cs="仿宋"/>
          <w:snapToGrid w:val="0"/>
          <w:kern w:val="0"/>
          <w:sz w:val="28"/>
          <w:szCs w:val="28"/>
        </w:rPr>
        <w:t>2、预算管理方面，制度执行总体较为有效，严格执行“三公经费”标准和审批制度与程序，资金使用管理规范。</w:t>
      </w:r>
    </w:p>
    <w:p>
      <w:pPr>
        <w:spacing w:line="600" w:lineRule="exact"/>
        <w:ind w:firstLine="560" w:firstLineChars="200"/>
        <w:rPr>
          <w:rFonts w:hint="eastAsia" w:ascii="仿宋_GB2312" w:hAnsi="仿宋" w:eastAsia="仿宋_GB2312" w:cs="仿宋"/>
          <w:snapToGrid w:val="0"/>
          <w:kern w:val="0"/>
          <w:sz w:val="28"/>
          <w:szCs w:val="28"/>
          <w:lang w:eastAsia="zh-CN"/>
        </w:rPr>
      </w:pPr>
      <w:r>
        <w:rPr>
          <w:rFonts w:hint="eastAsia" w:ascii="仿宋_GB2312" w:hAnsi="仿宋" w:eastAsia="仿宋_GB2312" w:cs="仿宋"/>
          <w:snapToGrid w:val="0"/>
          <w:kern w:val="0"/>
          <w:sz w:val="28"/>
          <w:szCs w:val="28"/>
        </w:rPr>
        <w:t>3、</w:t>
      </w:r>
      <w:r>
        <w:rPr>
          <w:rFonts w:hint="eastAsia" w:ascii="仿宋_GB2312" w:hAnsi="仿宋" w:eastAsia="仿宋_GB2312" w:cs="仿宋"/>
          <w:snapToGrid w:val="0"/>
          <w:kern w:val="0"/>
          <w:sz w:val="28"/>
          <w:szCs w:val="28"/>
          <w:lang w:eastAsia="zh-CN"/>
        </w:rPr>
        <w:t>资产管理方面：</w:t>
      </w:r>
      <w:r>
        <w:rPr>
          <w:rFonts w:hint="eastAsia" w:ascii="仿宋_GB2312" w:hAnsi="仿宋" w:eastAsia="仿宋_GB2312" w:cs="仿宋"/>
          <w:snapToGrid w:val="0"/>
          <w:kern w:val="0"/>
          <w:sz w:val="28"/>
          <w:szCs w:val="28"/>
        </w:rPr>
        <w:t>健全内部控制制度，</w:t>
      </w:r>
      <w:r>
        <w:rPr>
          <w:rFonts w:hint="eastAsia" w:ascii="仿宋_GB2312" w:hAnsi="仿宋" w:eastAsia="仿宋_GB2312" w:cs="仿宋"/>
          <w:snapToGrid w:val="0"/>
          <w:kern w:val="0"/>
          <w:sz w:val="28"/>
          <w:szCs w:val="28"/>
          <w:lang w:eastAsia="zh-CN"/>
        </w:rPr>
        <w:t>严格资产管理，合理配置资产。</w:t>
      </w:r>
    </w:p>
    <w:p>
      <w:pPr>
        <w:spacing w:line="600" w:lineRule="exact"/>
        <w:ind w:firstLine="560" w:firstLineChars="200"/>
        <w:rPr>
          <w:rFonts w:hint="eastAsia" w:ascii="仿宋_GB2312" w:hAnsi="仿宋" w:eastAsia="仿宋_GB2312" w:cs="仿宋"/>
          <w:snapToGrid w:val="0"/>
          <w:kern w:val="0"/>
          <w:sz w:val="28"/>
          <w:szCs w:val="28"/>
          <w:lang w:val="en-US" w:eastAsia="zh-CN"/>
        </w:rPr>
      </w:pPr>
      <w:r>
        <w:rPr>
          <w:rFonts w:hint="eastAsia" w:ascii="仿宋_GB2312" w:hAnsi="仿宋" w:eastAsia="仿宋_GB2312" w:cs="仿宋"/>
          <w:snapToGrid w:val="0"/>
          <w:kern w:val="0"/>
          <w:sz w:val="28"/>
          <w:szCs w:val="28"/>
          <w:lang w:val="en-US" w:eastAsia="zh-CN"/>
        </w:rPr>
        <w:t>（二）效率性评价和有效性评价方面</w:t>
      </w:r>
    </w:p>
    <w:p>
      <w:pPr>
        <w:spacing w:line="580" w:lineRule="exact"/>
        <w:ind w:firstLine="560" w:firstLineChars="200"/>
        <w:textAlignment w:val="baseline"/>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202</w:t>
      </w:r>
      <w:r>
        <w:rPr>
          <w:rFonts w:hint="eastAsia" w:ascii="仿宋_GB2312" w:hAnsi="仿宋_GB2312" w:eastAsia="仿宋_GB2312" w:cs="仿宋_GB2312"/>
          <w:b w:val="0"/>
          <w:bCs/>
          <w:sz w:val="28"/>
          <w:szCs w:val="28"/>
          <w:lang w:val="en-US" w:eastAsia="zh-CN"/>
        </w:rPr>
        <w:t>2</w:t>
      </w:r>
      <w:r>
        <w:rPr>
          <w:rFonts w:hint="eastAsia" w:ascii="仿宋_GB2312" w:hAnsi="仿宋_GB2312" w:eastAsia="仿宋_GB2312" w:cs="仿宋_GB2312"/>
          <w:b w:val="0"/>
          <w:bCs/>
          <w:sz w:val="28"/>
          <w:szCs w:val="28"/>
        </w:rPr>
        <w:t>年度，我局认真落实绩效管理目标，转变观念。根据年初工作计划和重点工作，围绕市委、市政府的工作部署，积极履行职责，强化管理，很好地完成了年度工作目标，同时加强了预算收支的管理，建立健全了内部管理制度，严格</w:t>
      </w:r>
      <w:r>
        <w:rPr>
          <w:rFonts w:hint="eastAsia" w:ascii="仿宋_GB2312" w:hAnsi="仿宋_GB2312" w:eastAsia="仿宋_GB2312" w:cs="仿宋_GB2312"/>
          <w:b w:val="0"/>
          <w:bCs/>
          <w:sz w:val="28"/>
          <w:szCs w:val="28"/>
          <w:lang w:eastAsia="zh-CN"/>
        </w:rPr>
        <w:t>了</w:t>
      </w:r>
      <w:r>
        <w:rPr>
          <w:rFonts w:hint="eastAsia" w:ascii="仿宋_GB2312" w:hAnsi="仿宋_GB2312" w:eastAsia="仿宋_GB2312" w:cs="仿宋_GB2312"/>
          <w:b w:val="0"/>
          <w:bCs/>
          <w:sz w:val="28"/>
          <w:szCs w:val="28"/>
        </w:rPr>
        <w:t>内部管理流程，部门整体支出管理得到了</w:t>
      </w:r>
      <w:r>
        <w:rPr>
          <w:rFonts w:hint="eastAsia" w:ascii="仿宋_GB2312" w:hAnsi="仿宋_GB2312" w:eastAsia="仿宋_GB2312" w:cs="仿宋_GB2312"/>
          <w:b w:val="0"/>
          <w:bCs/>
          <w:sz w:val="28"/>
          <w:szCs w:val="28"/>
          <w:lang w:eastAsia="zh-CN"/>
        </w:rPr>
        <w:t>有效</w:t>
      </w:r>
      <w:r>
        <w:rPr>
          <w:rFonts w:hint="eastAsia" w:ascii="仿宋_GB2312" w:hAnsi="仿宋_GB2312" w:eastAsia="仿宋_GB2312" w:cs="仿宋_GB2312"/>
          <w:b w:val="0"/>
          <w:bCs/>
          <w:sz w:val="28"/>
          <w:szCs w:val="28"/>
        </w:rPr>
        <w:t>提升。各项业务指标全面完成。</w:t>
      </w:r>
    </w:p>
    <w:p>
      <w:pPr>
        <w:spacing w:line="580" w:lineRule="exact"/>
        <w:ind w:firstLine="560" w:firstLineChars="200"/>
        <w:textAlignment w:val="baseline"/>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（一）</w:t>
      </w:r>
      <w:r>
        <w:rPr>
          <w:rFonts w:hint="default" w:ascii="仿宋_GB2312" w:hAnsi="仿宋_GB2312" w:eastAsia="仿宋_GB2312" w:cs="仿宋_GB2312"/>
          <w:b w:val="0"/>
          <w:bCs/>
          <w:sz w:val="28"/>
          <w:szCs w:val="28"/>
          <w:lang w:eastAsia="zh-CN"/>
        </w:rPr>
        <w:t>突出争先创优，主责主业稳步向好。</w:t>
      </w:r>
      <w:r>
        <w:rPr>
          <w:rFonts w:hint="default" w:ascii="仿宋_GB2312" w:hAnsi="仿宋_GB2312" w:eastAsia="仿宋_GB2312" w:cs="仿宋_GB2312"/>
          <w:b w:val="0"/>
          <w:bCs/>
          <w:sz w:val="28"/>
          <w:szCs w:val="28"/>
          <w:lang w:val="en-US" w:eastAsia="zh-CN"/>
        </w:rPr>
        <w:t>2022年初</w:t>
      </w:r>
      <w:r>
        <w:rPr>
          <w:rFonts w:hint="default" w:ascii="仿宋_GB2312" w:hAnsi="仿宋_GB2312" w:eastAsia="仿宋_GB2312" w:cs="仿宋_GB2312"/>
          <w:b w:val="0"/>
          <w:bCs/>
          <w:sz w:val="28"/>
          <w:szCs w:val="28"/>
          <w:lang w:val="zh-CN" w:eastAsia="zh-CN"/>
        </w:rPr>
        <w:t>，</w:t>
      </w:r>
      <w:r>
        <w:rPr>
          <w:rFonts w:hint="default" w:ascii="仿宋_GB2312" w:hAnsi="仿宋_GB2312" w:eastAsia="仿宋_GB2312" w:cs="仿宋_GB2312"/>
          <w:b w:val="0"/>
          <w:bCs/>
          <w:sz w:val="28"/>
          <w:szCs w:val="28"/>
          <w:lang w:eastAsia="zh-CN"/>
        </w:rPr>
        <w:t>我们就将全面争先创优定为全年人社工作的总基调和总目标，并明确了省政府真抓实干督查激励“保一争二”的任务目标。在全市人社系统的共同努力下，</w:t>
      </w:r>
      <w:r>
        <w:rPr>
          <w:rFonts w:hint="default" w:ascii="仿宋_GB2312" w:hAnsi="仿宋_GB2312" w:eastAsia="仿宋_GB2312" w:cs="仿宋_GB2312"/>
          <w:b w:val="0"/>
          <w:bCs/>
          <w:sz w:val="28"/>
          <w:szCs w:val="28"/>
          <w:lang w:val="en-US" w:eastAsia="zh-CN"/>
        </w:rPr>
        <w:t>2022年</w:t>
      </w:r>
      <w:r>
        <w:rPr>
          <w:rFonts w:hint="default" w:ascii="仿宋_GB2312" w:hAnsi="仿宋_GB2312" w:eastAsia="仿宋_GB2312" w:cs="仿宋_GB2312"/>
          <w:b w:val="0"/>
          <w:bCs/>
          <w:sz w:val="28"/>
          <w:szCs w:val="28"/>
          <w:lang w:eastAsia="zh-CN"/>
        </w:rPr>
        <w:t>度全省促进就业和社会保障工作真抓实干督查激励考核</w:t>
      </w:r>
      <w:r>
        <w:rPr>
          <w:rFonts w:hint="default" w:ascii="仿宋_GB2312" w:hAnsi="仿宋_GB2312" w:eastAsia="仿宋_GB2312" w:cs="仿宋_GB2312"/>
          <w:b w:val="0"/>
          <w:bCs/>
          <w:sz w:val="28"/>
          <w:szCs w:val="28"/>
          <w:lang w:val="en-US" w:eastAsia="zh-CN"/>
        </w:rPr>
        <w:t>60余</w:t>
      </w:r>
      <w:r>
        <w:rPr>
          <w:rFonts w:hint="default" w:ascii="仿宋_GB2312" w:hAnsi="仿宋_GB2312" w:eastAsia="仿宋_GB2312" w:cs="仿宋_GB2312"/>
          <w:b w:val="0"/>
          <w:bCs/>
          <w:sz w:val="28"/>
          <w:szCs w:val="28"/>
        </w:rPr>
        <w:t>项</w:t>
      </w:r>
      <w:r>
        <w:rPr>
          <w:rFonts w:hint="default" w:ascii="仿宋_GB2312" w:hAnsi="仿宋_GB2312" w:eastAsia="仿宋_GB2312" w:cs="仿宋_GB2312"/>
          <w:b w:val="0"/>
          <w:bCs/>
          <w:sz w:val="28"/>
          <w:szCs w:val="28"/>
          <w:lang w:eastAsia="zh-CN"/>
        </w:rPr>
        <w:t>任务指标中，我市</w:t>
      </w:r>
      <w:r>
        <w:rPr>
          <w:rFonts w:hint="default" w:ascii="仿宋_GB2312" w:hAnsi="仿宋_GB2312" w:eastAsia="仿宋_GB2312" w:cs="仿宋_GB2312"/>
          <w:b w:val="0"/>
          <w:bCs/>
          <w:sz w:val="28"/>
          <w:szCs w:val="28"/>
        </w:rPr>
        <w:t>完成</w:t>
      </w:r>
      <w:r>
        <w:rPr>
          <w:rFonts w:hint="default" w:ascii="仿宋_GB2312" w:hAnsi="仿宋_GB2312" w:eastAsia="仿宋_GB2312" w:cs="仿宋_GB2312"/>
          <w:b w:val="0"/>
          <w:bCs/>
          <w:sz w:val="28"/>
          <w:szCs w:val="28"/>
          <w:lang w:eastAsia="zh-CN"/>
        </w:rPr>
        <w:t>类</w:t>
      </w:r>
      <w:r>
        <w:rPr>
          <w:rFonts w:hint="default" w:ascii="仿宋_GB2312" w:hAnsi="仿宋_GB2312" w:eastAsia="仿宋_GB2312" w:cs="仿宋_GB2312"/>
          <w:b w:val="0"/>
          <w:bCs/>
          <w:sz w:val="28"/>
          <w:szCs w:val="28"/>
        </w:rPr>
        <w:t>指标全部</w:t>
      </w:r>
      <w:r>
        <w:rPr>
          <w:rFonts w:hint="default" w:ascii="仿宋_GB2312" w:hAnsi="仿宋_GB2312" w:eastAsia="仿宋_GB2312" w:cs="仿宋_GB2312"/>
          <w:b w:val="0"/>
          <w:bCs/>
          <w:sz w:val="28"/>
          <w:szCs w:val="28"/>
          <w:lang w:eastAsia="zh-CN"/>
        </w:rPr>
        <w:t>达标或超额完成任务</w:t>
      </w:r>
      <w:r>
        <w:rPr>
          <w:rFonts w:hint="default" w:ascii="仿宋_GB2312" w:hAnsi="仿宋_GB2312" w:eastAsia="仿宋_GB2312" w:cs="仿宋_GB2312"/>
          <w:b w:val="0"/>
          <w:bCs/>
          <w:sz w:val="28"/>
          <w:szCs w:val="28"/>
        </w:rPr>
        <w:t>，排名类指标全部</w:t>
      </w:r>
      <w:r>
        <w:rPr>
          <w:rFonts w:hint="default" w:ascii="仿宋_GB2312" w:hAnsi="仿宋_GB2312" w:eastAsia="仿宋_GB2312" w:cs="仿宋_GB2312"/>
          <w:b w:val="0"/>
          <w:bCs/>
          <w:sz w:val="28"/>
          <w:szCs w:val="28"/>
          <w:lang w:eastAsia="zh-CN"/>
        </w:rPr>
        <w:t>进入全省同类市州</w:t>
      </w:r>
      <w:r>
        <w:rPr>
          <w:rFonts w:hint="default" w:ascii="仿宋_GB2312" w:hAnsi="仿宋_GB2312" w:eastAsia="仿宋_GB2312" w:cs="仿宋_GB2312"/>
          <w:b w:val="0"/>
          <w:bCs/>
          <w:sz w:val="28"/>
          <w:szCs w:val="28"/>
        </w:rPr>
        <w:t>前</w:t>
      </w:r>
      <w:r>
        <w:rPr>
          <w:rFonts w:hint="default" w:ascii="仿宋_GB2312" w:hAnsi="仿宋_GB2312" w:eastAsia="仿宋_GB2312" w:cs="仿宋_GB2312"/>
          <w:b w:val="0"/>
          <w:bCs/>
          <w:sz w:val="28"/>
          <w:szCs w:val="28"/>
          <w:lang w:eastAsia="zh-CN"/>
        </w:rPr>
        <w:t>二，被评为</w:t>
      </w:r>
      <w:r>
        <w:rPr>
          <w:rFonts w:hint="default" w:ascii="仿宋_GB2312" w:hAnsi="仿宋_GB2312" w:eastAsia="仿宋_GB2312" w:cs="仿宋_GB2312"/>
          <w:b w:val="0"/>
          <w:bCs/>
          <w:sz w:val="28"/>
          <w:szCs w:val="28"/>
        </w:rPr>
        <w:t>全省促进就业和社会保障先进地区</w:t>
      </w:r>
      <w:r>
        <w:rPr>
          <w:rFonts w:hint="default" w:ascii="仿宋_GB2312" w:hAnsi="仿宋_GB2312" w:eastAsia="仿宋_GB2312" w:cs="仿宋_GB2312"/>
          <w:b w:val="0"/>
          <w:bCs/>
          <w:sz w:val="28"/>
          <w:szCs w:val="28"/>
          <w:lang w:eastAsia="zh-CN"/>
        </w:rPr>
        <w:t>。根治拖欠农民工工资工作各项指标全面进位，湘阴县获评</w:t>
      </w:r>
      <w:r>
        <w:rPr>
          <w:rFonts w:hint="default" w:ascii="仿宋_GB2312" w:hAnsi="仿宋_GB2312" w:eastAsia="仿宋_GB2312" w:cs="仿宋_GB2312"/>
          <w:b w:val="0"/>
          <w:bCs/>
          <w:sz w:val="28"/>
          <w:szCs w:val="28"/>
        </w:rPr>
        <w:t>全省</w:t>
      </w:r>
      <w:r>
        <w:rPr>
          <w:rFonts w:hint="default" w:ascii="仿宋_GB2312" w:hAnsi="仿宋_GB2312" w:eastAsia="仿宋_GB2312" w:cs="仿宋_GB2312"/>
          <w:b w:val="0"/>
          <w:bCs/>
          <w:sz w:val="28"/>
          <w:szCs w:val="28"/>
          <w:lang w:eastAsia="zh-CN"/>
        </w:rPr>
        <w:t>根治拖欠农民工工资工作先进地区。此外，全市城镇新增就业</w:t>
      </w:r>
      <w:r>
        <w:rPr>
          <w:rFonts w:hint="default" w:ascii="仿宋_GB2312" w:hAnsi="仿宋_GB2312" w:eastAsia="仿宋_GB2312" w:cs="仿宋_GB2312"/>
          <w:b w:val="0"/>
          <w:bCs/>
          <w:sz w:val="28"/>
          <w:szCs w:val="28"/>
          <w:lang w:val="en-US" w:eastAsia="zh-CN"/>
        </w:rPr>
        <w:t>64297</w:t>
      </w:r>
      <w:r>
        <w:rPr>
          <w:rFonts w:hint="default" w:ascii="仿宋_GB2312" w:hAnsi="仿宋_GB2312" w:eastAsia="仿宋_GB2312" w:cs="仿宋_GB2312"/>
          <w:b w:val="0"/>
          <w:bCs/>
          <w:sz w:val="28"/>
          <w:szCs w:val="28"/>
          <w:lang w:eastAsia="zh-CN"/>
        </w:rPr>
        <w:t>人，完成年度任务</w:t>
      </w:r>
      <w:r>
        <w:rPr>
          <w:rFonts w:hint="default" w:ascii="仿宋_GB2312" w:hAnsi="仿宋_GB2312" w:eastAsia="仿宋_GB2312" w:cs="仿宋_GB2312"/>
          <w:b w:val="0"/>
          <w:bCs/>
          <w:sz w:val="28"/>
          <w:szCs w:val="28"/>
          <w:lang w:val="en-US" w:eastAsia="zh-CN"/>
        </w:rPr>
        <w:t>108.98%；</w:t>
      </w:r>
      <w:r>
        <w:rPr>
          <w:rFonts w:hint="default" w:ascii="仿宋_GB2312" w:hAnsi="仿宋_GB2312" w:eastAsia="仿宋_GB2312" w:cs="仿宋_GB2312"/>
          <w:b w:val="0"/>
          <w:bCs/>
          <w:sz w:val="28"/>
          <w:szCs w:val="28"/>
        </w:rPr>
        <w:t>新增农村劳动力转移就业3.38万人，完成</w:t>
      </w:r>
      <w:r>
        <w:rPr>
          <w:rFonts w:hint="default" w:ascii="仿宋_GB2312" w:hAnsi="仿宋_GB2312" w:eastAsia="仿宋_GB2312" w:cs="仿宋_GB2312"/>
          <w:b w:val="0"/>
          <w:bCs/>
          <w:sz w:val="28"/>
          <w:szCs w:val="28"/>
          <w:lang w:eastAsia="zh-CN"/>
        </w:rPr>
        <w:t>率</w:t>
      </w:r>
      <w:r>
        <w:rPr>
          <w:rFonts w:hint="default" w:ascii="仿宋_GB2312" w:hAnsi="仿宋_GB2312" w:eastAsia="仿宋_GB2312" w:cs="仿宋_GB2312"/>
          <w:b w:val="0"/>
          <w:bCs/>
          <w:sz w:val="28"/>
          <w:szCs w:val="28"/>
        </w:rPr>
        <w:t>120.9%</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rPr>
        <w:t>完成</w:t>
      </w:r>
      <w:r>
        <w:rPr>
          <w:rFonts w:hint="default" w:ascii="仿宋_GB2312" w:hAnsi="仿宋_GB2312" w:eastAsia="仿宋_GB2312" w:cs="仿宋_GB2312"/>
          <w:b w:val="0"/>
          <w:bCs/>
          <w:sz w:val="28"/>
          <w:szCs w:val="28"/>
          <w:lang w:eastAsia="zh-CN"/>
        </w:rPr>
        <w:t>了</w:t>
      </w:r>
      <w:r>
        <w:rPr>
          <w:rFonts w:hint="default" w:ascii="仿宋_GB2312" w:hAnsi="仿宋_GB2312" w:eastAsia="仿宋_GB2312" w:cs="仿宋_GB2312"/>
          <w:b w:val="0"/>
          <w:bCs/>
          <w:sz w:val="28"/>
          <w:szCs w:val="28"/>
        </w:rPr>
        <w:t>30379人次职业技能培训</w:t>
      </w:r>
      <w:r>
        <w:rPr>
          <w:rFonts w:hint="default" w:ascii="仿宋_GB2312" w:hAnsi="仿宋_GB2312" w:eastAsia="仿宋_GB2312" w:cs="仿宋_GB2312"/>
          <w:b w:val="0"/>
          <w:bCs/>
          <w:sz w:val="28"/>
          <w:szCs w:val="28"/>
          <w:lang w:eastAsia="zh-CN"/>
        </w:rPr>
        <w:t>，完成率135.02%。城镇调查失业率控制在5.</w:t>
      </w:r>
      <w:r>
        <w:rPr>
          <w:rFonts w:hint="default" w:ascii="仿宋_GB2312" w:hAnsi="仿宋_GB2312" w:eastAsia="仿宋_GB2312" w:cs="仿宋_GB2312"/>
          <w:b w:val="0"/>
          <w:bCs/>
          <w:sz w:val="28"/>
          <w:szCs w:val="28"/>
          <w:lang w:val="en-US" w:eastAsia="zh-CN"/>
        </w:rPr>
        <w:t>3</w:t>
      </w:r>
      <w:r>
        <w:rPr>
          <w:rFonts w:hint="default" w:ascii="仿宋_GB2312" w:hAnsi="仿宋_GB2312" w:eastAsia="仿宋_GB2312" w:cs="仿宋_GB2312"/>
          <w:b w:val="0"/>
          <w:bCs/>
          <w:sz w:val="28"/>
          <w:szCs w:val="28"/>
          <w:lang w:eastAsia="zh-CN"/>
        </w:rPr>
        <w:t>%，与长沙并列全省第一。</w:t>
      </w:r>
      <w:r>
        <w:rPr>
          <w:rFonts w:hint="default" w:ascii="仿宋_GB2312" w:hAnsi="仿宋_GB2312" w:eastAsia="仿宋_GB2312" w:cs="仿宋_GB2312"/>
          <w:b w:val="0"/>
          <w:bCs/>
          <w:sz w:val="28"/>
          <w:szCs w:val="28"/>
        </w:rPr>
        <w:t>落实</w:t>
      </w:r>
      <w:r>
        <w:rPr>
          <w:rFonts w:hint="default" w:ascii="仿宋_GB2312" w:hAnsi="仿宋_GB2312" w:eastAsia="仿宋_GB2312" w:cs="仿宋_GB2312"/>
          <w:b w:val="0"/>
          <w:bCs/>
          <w:sz w:val="28"/>
          <w:szCs w:val="28"/>
          <w:lang w:eastAsia="zh-CN"/>
        </w:rPr>
        <w:t>国务院</w:t>
      </w:r>
      <w:r>
        <w:rPr>
          <w:rFonts w:hint="default" w:ascii="仿宋_GB2312" w:hAnsi="仿宋_GB2312" w:eastAsia="仿宋_GB2312" w:cs="仿宋_GB2312"/>
          <w:b w:val="0"/>
          <w:bCs/>
          <w:sz w:val="28"/>
          <w:szCs w:val="28"/>
        </w:rPr>
        <w:t>稳经济</w:t>
      </w:r>
      <w:r>
        <w:rPr>
          <w:rFonts w:hint="default" w:ascii="仿宋_GB2312" w:hAnsi="仿宋_GB2312" w:eastAsia="仿宋_GB2312" w:cs="仿宋_GB2312"/>
          <w:b w:val="0"/>
          <w:bCs/>
          <w:sz w:val="28"/>
          <w:szCs w:val="28"/>
          <w:lang w:eastAsia="zh-CN"/>
        </w:rPr>
        <w:t>相关</w:t>
      </w:r>
      <w:r>
        <w:rPr>
          <w:rFonts w:hint="default" w:ascii="仿宋_GB2312" w:hAnsi="仿宋_GB2312" w:eastAsia="仿宋_GB2312" w:cs="仿宋_GB2312"/>
          <w:b w:val="0"/>
          <w:bCs/>
          <w:sz w:val="28"/>
          <w:szCs w:val="28"/>
        </w:rPr>
        <w:t>政策，</w:t>
      </w:r>
      <w:r>
        <w:rPr>
          <w:rFonts w:hint="default" w:ascii="仿宋_GB2312" w:hAnsi="仿宋_GB2312" w:eastAsia="仿宋_GB2312" w:cs="仿宋_GB2312"/>
          <w:b w:val="0"/>
          <w:bCs/>
          <w:sz w:val="28"/>
          <w:szCs w:val="28"/>
          <w:lang w:eastAsia="zh-CN"/>
        </w:rPr>
        <w:t>全年</w:t>
      </w:r>
      <w:r>
        <w:rPr>
          <w:rFonts w:hint="default" w:ascii="仿宋_GB2312" w:hAnsi="仿宋_GB2312" w:eastAsia="仿宋_GB2312" w:cs="仿宋_GB2312"/>
          <w:b w:val="0"/>
          <w:bCs/>
          <w:sz w:val="28"/>
          <w:szCs w:val="28"/>
          <w:lang w:val="en-US" w:eastAsia="zh-CN"/>
        </w:rPr>
        <w:t>缓缴各类保费5619.21万元，</w:t>
      </w:r>
      <w:r>
        <w:rPr>
          <w:rFonts w:hint="default" w:ascii="仿宋_GB2312" w:hAnsi="仿宋_GB2312" w:eastAsia="仿宋_GB2312" w:cs="仿宋_GB2312"/>
          <w:b w:val="0"/>
          <w:bCs/>
          <w:sz w:val="28"/>
          <w:szCs w:val="28"/>
        </w:rPr>
        <w:t>减免</w:t>
      </w:r>
      <w:r>
        <w:rPr>
          <w:rFonts w:hint="default" w:ascii="仿宋_GB2312" w:hAnsi="仿宋_GB2312" w:eastAsia="仿宋_GB2312" w:cs="仿宋_GB2312"/>
          <w:b w:val="0"/>
          <w:bCs/>
          <w:sz w:val="28"/>
          <w:szCs w:val="28"/>
          <w:lang w:eastAsia="zh-CN"/>
        </w:rPr>
        <w:t>保</w:t>
      </w:r>
      <w:r>
        <w:rPr>
          <w:rFonts w:hint="default" w:ascii="仿宋_GB2312" w:hAnsi="仿宋_GB2312" w:eastAsia="仿宋_GB2312" w:cs="仿宋_GB2312"/>
          <w:b w:val="0"/>
          <w:bCs/>
          <w:sz w:val="28"/>
          <w:szCs w:val="28"/>
        </w:rPr>
        <w:t>费</w:t>
      </w:r>
      <w:r>
        <w:rPr>
          <w:rFonts w:hint="default" w:ascii="仿宋_GB2312" w:hAnsi="仿宋_GB2312" w:eastAsia="仿宋_GB2312" w:cs="仿宋_GB2312"/>
          <w:b w:val="0"/>
          <w:bCs/>
          <w:sz w:val="28"/>
          <w:szCs w:val="28"/>
          <w:lang w:val="en-US" w:eastAsia="zh-CN"/>
        </w:rPr>
        <w:t>3</w:t>
      </w:r>
      <w:r>
        <w:rPr>
          <w:rFonts w:hint="default" w:ascii="仿宋_GB2312" w:hAnsi="仿宋_GB2312" w:eastAsia="仿宋_GB2312" w:cs="仿宋_GB2312"/>
          <w:b w:val="0"/>
          <w:bCs/>
          <w:sz w:val="28"/>
          <w:szCs w:val="28"/>
        </w:rPr>
        <w:t>.39亿元</w:t>
      </w:r>
      <w:r>
        <w:rPr>
          <w:rFonts w:hint="default" w:ascii="仿宋_GB2312" w:hAnsi="仿宋_GB2312" w:eastAsia="仿宋_GB2312" w:cs="仿宋_GB2312"/>
          <w:b w:val="0"/>
          <w:bCs/>
          <w:sz w:val="28"/>
          <w:szCs w:val="28"/>
          <w:lang w:val="en-US" w:eastAsia="zh-CN"/>
        </w:rPr>
        <w:t>，</w:t>
      </w:r>
      <w:r>
        <w:rPr>
          <w:rFonts w:hint="default" w:ascii="仿宋_GB2312" w:hAnsi="仿宋_GB2312" w:eastAsia="仿宋_GB2312" w:cs="仿宋_GB2312"/>
          <w:b w:val="0"/>
          <w:bCs/>
          <w:sz w:val="28"/>
          <w:szCs w:val="28"/>
        </w:rPr>
        <w:t>发放稳岗补贴6358万元</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rPr>
        <w:t>失业保险待遇4225万元，惠及3.17万失业人员</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rPr>
        <w:t>全</w:t>
      </w:r>
      <w:r>
        <w:rPr>
          <w:rFonts w:hint="default" w:ascii="仿宋_GB2312" w:hAnsi="仿宋_GB2312" w:eastAsia="仿宋_GB2312" w:cs="仿宋_GB2312"/>
          <w:b w:val="0"/>
          <w:bCs/>
          <w:sz w:val="28"/>
          <w:szCs w:val="28"/>
          <w:lang w:eastAsia="zh-CN"/>
        </w:rPr>
        <w:t>市</w:t>
      </w:r>
      <w:r>
        <w:rPr>
          <w:rFonts w:hint="default" w:ascii="仿宋_GB2312" w:hAnsi="仿宋_GB2312" w:eastAsia="仿宋_GB2312" w:cs="仿宋_GB2312"/>
          <w:b w:val="0"/>
          <w:bCs/>
          <w:sz w:val="28"/>
          <w:szCs w:val="28"/>
        </w:rPr>
        <w:t>基本养老保险、工伤保险、失业保险参保人数分别达到</w:t>
      </w:r>
      <w:r>
        <w:rPr>
          <w:rFonts w:hint="default" w:ascii="仿宋_GB2312" w:hAnsi="仿宋_GB2312" w:eastAsia="仿宋_GB2312" w:cs="仿宋_GB2312"/>
          <w:b w:val="0"/>
          <w:bCs/>
          <w:sz w:val="28"/>
          <w:szCs w:val="28"/>
          <w:lang w:val="en-US" w:eastAsia="zh-CN"/>
        </w:rPr>
        <w:t>418.61</w:t>
      </w:r>
      <w:r>
        <w:rPr>
          <w:rFonts w:hint="default" w:ascii="仿宋_GB2312" w:hAnsi="仿宋_GB2312" w:eastAsia="仿宋_GB2312" w:cs="仿宋_GB2312"/>
          <w:b w:val="0"/>
          <w:bCs/>
          <w:sz w:val="28"/>
          <w:szCs w:val="28"/>
        </w:rPr>
        <w:t>万、</w:t>
      </w:r>
      <w:r>
        <w:rPr>
          <w:rFonts w:hint="default" w:ascii="仿宋_GB2312" w:hAnsi="仿宋_GB2312" w:eastAsia="仿宋_GB2312" w:cs="仿宋_GB2312"/>
          <w:b w:val="0"/>
          <w:bCs/>
          <w:sz w:val="28"/>
          <w:szCs w:val="28"/>
          <w:lang w:val="en-US" w:eastAsia="zh-CN"/>
        </w:rPr>
        <w:t>83.71</w:t>
      </w:r>
      <w:r>
        <w:rPr>
          <w:rFonts w:hint="default" w:ascii="仿宋_GB2312" w:hAnsi="仿宋_GB2312" w:eastAsia="仿宋_GB2312" w:cs="仿宋_GB2312"/>
          <w:b w:val="0"/>
          <w:bCs/>
          <w:sz w:val="28"/>
          <w:szCs w:val="28"/>
        </w:rPr>
        <w:t>万、</w:t>
      </w:r>
      <w:r>
        <w:rPr>
          <w:rFonts w:hint="default" w:ascii="仿宋_GB2312" w:hAnsi="仿宋_GB2312" w:eastAsia="仿宋_GB2312" w:cs="仿宋_GB2312"/>
          <w:b w:val="0"/>
          <w:bCs/>
          <w:sz w:val="28"/>
          <w:szCs w:val="28"/>
          <w:lang w:val="en-US" w:eastAsia="zh-CN"/>
        </w:rPr>
        <w:t>47.58</w:t>
      </w:r>
      <w:r>
        <w:rPr>
          <w:rFonts w:hint="default" w:ascii="仿宋_GB2312" w:hAnsi="仿宋_GB2312" w:eastAsia="仿宋_GB2312" w:cs="仿宋_GB2312"/>
          <w:b w:val="0"/>
          <w:bCs/>
          <w:sz w:val="28"/>
          <w:szCs w:val="28"/>
        </w:rPr>
        <w:t>万，基金征缴稳步提升</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rPr>
        <w:t>市县两级事业单位</w:t>
      </w:r>
      <w:r>
        <w:rPr>
          <w:rFonts w:hint="default" w:ascii="仿宋_GB2312" w:hAnsi="仿宋_GB2312" w:eastAsia="仿宋_GB2312" w:cs="仿宋_GB2312"/>
          <w:b w:val="0"/>
          <w:bCs/>
          <w:sz w:val="28"/>
          <w:szCs w:val="28"/>
          <w:lang w:eastAsia="zh-CN"/>
        </w:rPr>
        <w:t>“四海揽才”</w:t>
      </w:r>
      <w:r>
        <w:rPr>
          <w:rFonts w:hint="default" w:ascii="仿宋_GB2312" w:hAnsi="仿宋_GB2312" w:eastAsia="仿宋_GB2312" w:cs="仿宋_GB2312"/>
          <w:b w:val="0"/>
          <w:bCs/>
          <w:sz w:val="28"/>
          <w:szCs w:val="28"/>
        </w:rPr>
        <w:t>共引进急需紧缺人才1022名，其中全日制硕士研究生和“双一流”高校毕业生超过80%，入职人数超前5年总和</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lang w:val="en-US" w:eastAsia="zh-CN"/>
        </w:rPr>
        <w:t>12683人顺利获得职业技能等级证书，2555</w:t>
      </w:r>
      <w:r>
        <w:rPr>
          <w:rFonts w:hint="default" w:ascii="仿宋_GB2312" w:hAnsi="仿宋_GB2312" w:eastAsia="仿宋_GB2312" w:cs="仿宋_GB2312"/>
          <w:b w:val="0"/>
          <w:bCs/>
          <w:sz w:val="28"/>
          <w:szCs w:val="28"/>
        </w:rPr>
        <w:t>人通过中级以上职称评审</w:t>
      </w:r>
      <w:r>
        <w:rPr>
          <w:rFonts w:hint="default" w:ascii="仿宋_GB2312" w:hAnsi="仿宋_GB2312" w:eastAsia="仿宋_GB2312" w:cs="仿宋_GB2312"/>
          <w:b w:val="0"/>
          <w:bCs/>
          <w:sz w:val="28"/>
          <w:szCs w:val="28"/>
          <w:lang w:eastAsia="zh-CN"/>
        </w:rPr>
        <w:t>。评比表彰考核工作规范实施，</w:t>
      </w:r>
      <w:r>
        <w:rPr>
          <w:rFonts w:hint="default" w:ascii="仿宋_GB2312" w:hAnsi="仿宋_GB2312" w:eastAsia="仿宋_GB2312" w:cs="仿宋_GB2312"/>
          <w:b w:val="0"/>
          <w:bCs/>
          <w:sz w:val="28"/>
          <w:szCs w:val="28"/>
        </w:rPr>
        <w:t>岳阳诚信组考品牌进一步擦亮</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lang w:val="en-US" w:eastAsia="zh-CN"/>
        </w:rPr>
        <w:t>处理欠薪案件816件，追发工资近1.1亿元。</w:t>
      </w:r>
      <w:r>
        <w:rPr>
          <w:rFonts w:hint="default" w:ascii="仿宋_GB2312" w:hAnsi="仿宋_GB2312" w:eastAsia="仿宋_GB2312" w:cs="仿宋_GB2312"/>
          <w:b w:val="0"/>
          <w:bCs/>
          <w:sz w:val="28"/>
          <w:szCs w:val="28"/>
          <w:lang w:eastAsia="zh-CN"/>
        </w:rPr>
        <w:t>劳动保障监察举报投诉案件结案率和拖欠农民工工资举报投诉结案率实现</w:t>
      </w:r>
      <w:r>
        <w:rPr>
          <w:rFonts w:hint="default" w:ascii="仿宋_GB2312" w:hAnsi="仿宋_GB2312" w:eastAsia="仿宋_GB2312" w:cs="仿宋_GB2312"/>
          <w:b w:val="0"/>
          <w:bCs/>
          <w:sz w:val="28"/>
          <w:szCs w:val="28"/>
          <w:lang w:val="en-US" w:eastAsia="zh-CN"/>
        </w:rPr>
        <w:t>100%，在省政府实地核查中进入A类地区。全市受理劳动争议案件1963件，结案率97.5%，涉及金额1.83亿元，</w:t>
      </w:r>
      <w:r>
        <w:rPr>
          <w:rFonts w:hint="default" w:ascii="仿宋_GB2312" w:hAnsi="仿宋_GB2312" w:eastAsia="仿宋_GB2312" w:cs="仿宋_GB2312"/>
          <w:b w:val="0"/>
          <w:bCs/>
          <w:sz w:val="28"/>
          <w:szCs w:val="28"/>
        </w:rPr>
        <w:t>仲裁结案率和调解成功率均超过省定目标</w:t>
      </w:r>
      <w:r>
        <w:rPr>
          <w:rFonts w:hint="default" w:ascii="仿宋_GB2312" w:hAnsi="仿宋_GB2312" w:eastAsia="仿宋_GB2312" w:cs="仿宋_GB2312"/>
          <w:b w:val="0"/>
          <w:bCs/>
          <w:sz w:val="28"/>
          <w:szCs w:val="28"/>
          <w:lang w:eastAsia="zh-CN"/>
        </w:rPr>
        <w:t>，劳动人事争议仲裁工作获评全省先进。</w:t>
      </w:r>
    </w:p>
    <w:p>
      <w:pPr>
        <w:spacing w:line="580" w:lineRule="exact"/>
        <w:ind w:firstLine="560" w:firstLineChars="200"/>
        <w:textAlignment w:val="baseline"/>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（二）</w:t>
      </w:r>
      <w:r>
        <w:rPr>
          <w:rFonts w:hint="default" w:ascii="仿宋_GB2312" w:hAnsi="仿宋_GB2312" w:eastAsia="仿宋_GB2312" w:cs="仿宋_GB2312"/>
          <w:b w:val="0"/>
          <w:bCs/>
          <w:sz w:val="28"/>
          <w:szCs w:val="28"/>
          <w:lang w:val="en-US" w:eastAsia="zh-CN"/>
        </w:rPr>
        <w:t>突出改革创新，服务大局更加有力。</w:t>
      </w:r>
      <w:r>
        <w:rPr>
          <w:rFonts w:hint="default" w:ascii="仿宋_GB2312" w:hAnsi="仿宋_GB2312" w:eastAsia="仿宋_GB2312" w:cs="仿宋_GB2312"/>
          <w:b w:val="0"/>
          <w:bCs/>
          <w:sz w:val="28"/>
          <w:szCs w:val="28"/>
          <w:lang w:eastAsia="zh-CN"/>
        </w:rPr>
        <w:t>突出政治机关属性，紧紧</w:t>
      </w:r>
      <w:r>
        <w:rPr>
          <w:rFonts w:hint="default" w:ascii="仿宋_GB2312" w:hAnsi="仿宋_GB2312" w:eastAsia="仿宋_GB2312" w:cs="仿宋_GB2312"/>
          <w:b w:val="0"/>
          <w:bCs/>
          <w:sz w:val="28"/>
          <w:szCs w:val="28"/>
        </w:rPr>
        <w:t>围绕</w:t>
      </w:r>
      <w:r>
        <w:rPr>
          <w:rFonts w:hint="default" w:ascii="仿宋_GB2312" w:hAnsi="仿宋_GB2312" w:eastAsia="仿宋_GB2312" w:cs="仿宋_GB2312"/>
          <w:b w:val="0"/>
          <w:bCs/>
          <w:sz w:val="28"/>
          <w:szCs w:val="28"/>
          <w:lang w:eastAsia="zh-CN"/>
        </w:rPr>
        <w:t>市委、市政府工作部署</w:t>
      </w:r>
      <w:r>
        <w:rPr>
          <w:rFonts w:hint="default" w:ascii="仿宋_GB2312" w:hAnsi="仿宋_GB2312" w:eastAsia="仿宋_GB2312" w:cs="仿宋_GB2312"/>
          <w:b w:val="0"/>
          <w:bCs/>
          <w:sz w:val="28"/>
          <w:szCs w:val="28"/>
        </w:rPr>
        <w:t>，</w:t>
      </w:r>
      <w:r>
        <w:rPr>
          <w:rFonts w:hint="default" w:ascii="仿宋_GB2312" w:hAnsi="仿宋_GB2312" w:eastAsia="仿宋_GB2312" w:cs="仿宋_GB2312"/>
          <w:b w:val="0"/>
          <w:bCs/>
          <w:sz w:val="28"/>
          <w:szCs w:val="28"/>
          <w:lang w:eastAsia="zh-CN"/>
        </w:rPr>
        <w:t>改革创新服务大局</w:t>
      </w:r>
      <w:r>
        <w:rPr>
          <w:rFonts w:hint="default" w:ascii="仿宋_GB2312" w:hAnsi="仿宋_GB2312" w:eastAsia="仿宋_GB2312" w:cs="仿宋_GB2312"/>
          <w:b w:val="0"/>
          <w:bCs/>
          <w:sz w:val="28"/>
          <w:szCs w:val="28"/>
        </w:rPr>
        <w:t>。社保基金监管、根治欠薪</w:t>
      </w:r>
      <w:r>
        <w:rPr>
          <w:rFonts w:hint="eastAsia" w:ascii="仿宋_GB2312" w:hAnsi="仿宋_GB2312" w:eastAsia="仿宋_GB2312" w:cs="仿宋_GB2312"/>
          <w:b w:val="0"/>
          <w:bCs/>
          <w:sz w:val="28"/>
          <w:szCs w:val="28"/>
          <w:lang w:eastAsia="zh-CN"/>
        </w:rPr>
        <w:t>、人事人才</w:t>
      </w:r>
      <w:r>
        <w:rPr>
          <w:rFonts w:hint="default" w:ascii="仿宋_GB2312" w:hAnsi="仿宋_GB2312" w:eastAsia="仿宋_GB2312" w:cs="仿宋_GB2312"/>
          <w:b w:val="0"/>
          <w:bCs/>
          <w:sz w:val="28"/>
          <w:szCs w:val="28"/>
        </w:rPr>
        <w:t>等工作先后在全省工作大会上做先进典型发言。在省内率先实施20万元创业担保贷款免除反担保</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rPr>
        <w:t>率先开展职业指导师培训班</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lang w:val="en"/>
        </w:rPr>
        <w:t>成立首家</w:t>
      </w:r>
      <w:r>
        <w:rPr>
          <w:rFonts w:hint="default" w:ascii="仿宋_GB2312" w:hAnsi="仿宋_GB2312" w:eastAsia="仿宋_GB2312" w:cs="仿宋_GB2312"/>
          <w:b w:val="0"/>
          <w:bCs/>
          <w:sz w:val="28"/>
          <w:szCs w:val="28"/>
          <w:lang w:val="en" w:eastAsia="zh-CN"/>
        </w:rPr>
        <w:t>省级</w:t>
      </w:r>
      <w:r>
        <w:rPr>
          <w:rFonts w:hint="default" w:ascii="仿宋_GB2312" w:hAnsi="仿宋_GB2312" w:eastAsia="仿宋_GB2312" w:cs="仿宋_GB2312"/>
          <w:b w:val="0"/>
          <w:bCs/>
          <w:sz w:val="28"/>
          <w:szCs w:val="28"/>
          <w:lang w:val="en"/>
        </w:rPr>
        <w:t>职业指导</w:t>
      </w:r>
      <w:r>
        <w:rPr>
          <w:rFonts w:hint="default" w:ascii="仿宋_GB2312" w:hAnsi="仿宋_GB2312" w:eastAsia="仿宋_GB2312" w:cs="仿宋_GB2312"/>
          <w:b w:val="0"/>
          <w:bCs/>
          <w:sz w:val="28"/>
          <w:szCs w:val="28"/>
          <w:lang w:val="en" w:eastAsia="zh-CN"/>
        </w:rPr>
        <w:t>大师工作</w:t>
      </w:r>
      <w:r>
        <w:rPr>
          <w:rFonts w:hint="default" w:ascii="仿宋_GB2312" w:hAnsi="仿宋_GB2312" w:eastAsia="仿宋_GB2312" w:cs="仿宋_GB2312"/>
          <w:b w:val="0"/>
          <w:bCs/>
          <w:sz w:val="28"/>
          <w:szCs w:val="28"/>
          <w:lang w:val="en"/>
        </w:rPr>
        <w:t>室</w:t>
      </w:r>
      <w:r>
        <w:rPr>
          <w:rFonts w:hint="default" w:ascii="仿宋_GB2312" w:hAnsi="仿宋_GB2312" w:eastAsia="仿宋_GB2312" w:cs="仿宋_GB2312"/>
          <w:b w:val="0"/>
          <w:bCs/>
          <w:sz w:val="28"/>
          <w:szCs w:val="28"/>
          <w:lang w:val="en" w:eastAsia="zh-CN"/>
        </w:rPr>
        <w:t>。</w:t>
      </w:r>
      <w:r>
        <w:rPr>
          <w:rFonts w:hint="default" w:ascii="仿宋_GB2312" w:hAnsi="仿宋_GB2312" w:eastAsia="仿宋_GB2312" w:cs="仿宋_GB2312"/>
          <w:b w:val="0"/>
          <w:bCs/>
          <w:sz w:val="28"/>
          <w:szCs w:val="28"/>
        </w:rPr>
        <w:t>创新开展“就业服务进校园”“直播带岗”“巴陵招聘夜市”</w:t>
      </w:r>
      <w:r>
        <w:rPr>
          <w:rFonts w:hint="default" w:ascii="仿宋_GB2312" w:hAnsi="仿宋_GB2312" w:eastAsia="仿宋_GB2312" w:cs="仿宋_GB2312"/>
          <w:b w:val="0"/>
          <w:bCs/>
          <w:sz w:val="28"/>
          <w:szCs w:val="28"/>
          <w:lang w:eastAsia="zh-CN"/>
        </w:rPr>
        <w:t>招聘</w:t>
      </w:r>
      <w:r>
        <w:rPr>
          <w:rFonts w:hint="default" w:ascii="仿宋_GB2312" w:hAnsi="仿宋_GB2312" w:eastAsia="仿宋_GB2312" w:cs="仿宋_GB2312"/>
          <w:b w:val="0"/>
          <w:bCs/>
          <w:sz w:val="28"/>
          <w:szCs w:val="28"/>
        </w:rPr>
        <w:t>活动。退捕渔民转产就业工作多次被央视和国家级媒体</w:t>
      </w:r>
      <w:r>
        <w:rPr>
          <w:rFonts w:hint="default" w:ascii="仿宋_GB2312" w:hAnsi="仿宋_GB2312" w:eastAsia="仿宋_GB2312" w:cs="仿宋_GB2312"/>
          <w:b w:val="0"/>
          <w:bCs/>
          <w:sz w:val="28"/>
          <w:szCs w:val="28"/>
          <w:lang w:eastAsia="zh-CN"/>
        </w:rPr>
        <w:t>推介</w:t>
      </w:r>
      <w:r>
        <w:rPr>
          <w:rFonts w:hint="default" w:ascii="仿宋_GB2312" w:hAnsi="仿宋_GB2312" w:eastAsia="仿宋_GB2312" w:cs="仿宋_GB2312"/>
          <w:b w:val="0"/>
          <w:bCs/>
          <w:sz w:val="28"/>
          <w:szCs w:val="28"/>
        </w:rPr>
        <w:t>。</w:t>
      </w:r>
      <w:r>
        <w:rPr>
          <w:rFonts w:hint="default" w:ascii="仿宋_GB2312" w:hAnsi="仿宋_GB2312" w:eastAsia="仿宋_GB2312" w:cs="仿宋_GB2312"/>
          <w:b w:val="0"/>
          <w:bCs/>
          <w:sz w:val="28"/>
          <w:szCs w:val="28"/>
          <w:lang w:val="en-US" w:eastAsia="zh-CN"/>
        </w:rPr>
        <w:t>取消灵活就业人员参保户籍限制，增设“快递小哥”参保绿色通道。</w:t>
      </w:r>
      <w:r>
        <w:rPr>
          <w:rFonts w:hint="default" w:ascii="仿宋_GB2312" w:hAnsi="仿宋_GB2312" w:eastAsia="仿宋_GB2312" w:cs="仿宋_GB2312"/>
          <w:b w:val="0"/>
          <w:bCs/>
          <w:sz w:val="28"/>
          <w:szCs w:val="28"/>
        </w:rPr>
        <w:t>退休人员基本养老金</w:t>
      </w:r>
      <w:r>
        <w:rPr>
          <w:rFonts w:hint="default" w:ascii="仿宋_GB2312" w:hAnsi="仿宋_GB2312" w:eastAsia="仿宋_GB2312" w:cs="仿宋_GB2312"/>
          <w:b w:val="0"/>
          <w:bCs/>
          <w:sz w:val="28"/>
          <w:szCs w:val="28"/>
          <w:lang w:eastAsia="zh-CN"/>
        </w:rPr>
        <w:t>实现</w:t>
      </w:r>
      <w:r>
        <w:rPr>
          <w:rFonts w:hint="default" w:ascii="仿宋_GB2312" w:hAnsi="仿宋_GB2312" w:eastAsia="仿宋_GB2312" w:cs="仿宋_GB2312"/>
          <w:b w:val="0"/>
          <w:bCs/>
          <w:sz w:val="28"/>
          <w:szCs w:val="28"/>
        </w:rPr>
        <w:t>第“18连涨</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rPr>
        <w:t>建立城乡居民养老保险丧葬补助制度。</w:t>
      </w:r>
      <w:r>
        <w:rPr>
          <w:rFonts w:hint="default" w:ascii="仿宋_GB2312" w:hAnsi="仿宋_GB2312" w:eastAsia="仿宋_GB2312" w:cs="仿宋_GB2312"/>
          <w:b w:val="0"/>
          <w:bCs/>
          <w:sz w:val="28"/>
          <w:szCs w:val="28"/>
          <w:lang w:eastAsia="zh-CN"/>
        </w:rPr>
        <w:t>出台了</w:t>
      </w:r>
      <w:r>
        <w:rPr>
          <w:rFonts w:hint="default" w:ascii="仿宋_GB2312" w:hAnsi="仿宋_GB2312" w:eastAsia="仿宋_GB2312" w:cs="仿宋_GB2312"/>
          <w:b w:val="0"/>
          <w:bCs/>
          <w:sz w:val="28"/>
          <w:szCs w:val="28"/>
        </w:rPr>
        <w:t>《关于切实加强社会保险基金监管工作的实施办法》</w:t>
      </w:r>
      <w:r>
        <w:rPr>
          <w:rFonts w:hint="default" w:ascii="仿宋_GB2312" w:hAnsi="仿宋_GB2312" w:eastAsia="仿宋_GB2312" w:cs="仿宋_GB2312"/>
          <w:b w:val="0"/>
          <w:bCs/>
          <w:sz w:val="28"/>
          <w:szCs w:val="28"/>
          <w:lang w:eastAsia="zh-CN"/>
        </w:rPr>
        <w:t>和</w:t>
      </w:r>
      <w:r>
        <w:rPr>
          <w:rFonts w:hint="default" w:ascii="仿宋_GB2312" w:hAnsi="仿宋_GB2312" w:eastAsia="仿宋_GB2312" w:cs="仿宋_GB2312"/>
          <w:b w:val="0"/>
          <w:bCs/>
          <w:sz w:val="28"/>
          <w:szCs w:val="28"/>
        </w:rPr>
        <w:t>《社会保险基金监督举报奖励办法》</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lang w:val="en-US" w:eastAsia="zh-CN"/>
        </w:rPr>
        <w:t>在全省率先启动企业工伤预防能力提升培训工程。</w:t>
      </w:r>
      <w:r>
        <w:rPr>
          <w:rFonts w:hint="default" w:ascii="仿宋_GB2312" w:hAnsi="仿宋_GB2312" w:eastAsia="仿宋_GB2312" w:cs="仿宋_GB2312"/>
          <w:b w:val="0"/>
          <w:bCs/>
          <w:sz w:val="28"/>
          <w:szCs w:val="28"/>
        </w:rPr>
        <w:t>创新开展“学成岳阳、创业岳阳”活动，</w:t>
      </w:r>
      <w:r>
        <w:rPr>
          <w:rFonts w:hint="default" w:ascii="仿宋_GB2312" w:hAnsi="仿宋_GB2312" w:eastAsia="仿宋_GB2312" w:cs="仿宋_GB2312"/>
          <w:b w:val="0"/>
          <w:bCs/>
          <w:sz w:val="28"/>
          <w:szCs w:val="28"/>
          <w:lang w:val="en-US" w:eastAsia="zh-CN"/>
        </w:rPr>
        <w:t>搭建校政企三方合作平台。岳阳人才集团和岳阳人力资源服务产业园正式挂牌运营。</w:t>
      </w:r>
      <w:r>
        <w:rPr>
          <w:rFonts w:hint="default" w:ascii="仿宋_GB2312" w:hAnsi="仿宋_GB2312" w:eastAsia="仿宋_GB2312" w:cs="仿宋_GB2312"/>
          <w:b w:val="0"/>
          <w:bCs/>
          <w:sz w:val="28"/>
          <w:szCs w:val="28"/>
        </w:rPr>
        <w:t>聚焦医卫、教育系统职称评审机制改革创新，</w:t>
      </w:r>
      <w:r>
        <w:rPr>
          <w:rFonts w:hint="default" w:ascii="仿宋_GB2312" w:hAnsi="仿宋_GB2312" w:eastAsia="仿宋_GB2312" w:cs="仿宋_GB2312"/>
          <w:b w:val="0"/>
          <w:bCs/>
          <w:sz w:val="28"/>
          <w:szCs w:val="28"/>
          <w:lang w:val="en"/>
        </w:rPr>
        <w:t>市直公立医院</w:t>
      </w:r>
      <w:r>
        <w:rPr>
          <w:rFonts w:hint="default" w:ascii="仿宋_GB2312" w:hAnsi="仿宋_GB2312" w:eastAsia="仿宋_GB2312" w:cs="仿宋_GB2312"/>
          <w:b w:val="0"/>
          <w:bCs/>
          <w:sz w:val="28"/>
          <w:szCs w:val="28"/>
          <w:lang w:val="en" w:eastAsia="zh-CN"/>
        </w:rPr>
        <w:t>去年</w:t>
      </w:r>
      <w:r>
        <w:rPr>
          <w:rFonts w:hint="default" w:ascii="仿宋_GB2312" w:hAnsi="仿宋_GB2312" w:eastAsia="仿宋_GB2312" w:cs="仿宋_GB2312"/>
          <w:b w:val="0"/>
          <w:bCs/>
          <w:sz w:val="28"/>
          <w:szCs w:val="28"/>
        </w:rPr>
        <w:t>新</w:t>
      </w:r>
      <w:r>
        <w:rPr>
          <w:rFonts w:hint="default" w:ascii="仿宋_GB2312" w:hAnsi="仿宋_GB2312" w:eastAsia="仿宋_GB2312" w:cs="仿宋_GB2312"/>
          <w:b w:val="0"/>
          <w:bCs/>
          <w:sz w:val="28"/>
          <w:szCs w:val="28"/>
          <w:lang w:val="en"/>
        </w:rPr>
        <w:t>增</w:t>
      </w:r>
      <w:r>
        <w:rPr>
          <w:rFonts w:hint="default" w:ascii="仿宋_GB2312" w:hAnsi="仿宋_GB2312" w:eastAsia="仿宋_GB2312" w:cs="仿宋_GB2312"/>
          <w:b w:val="0"/>
          <w:bCs/>
          <w:sz w:val="28"/>
          <w:szCs w:val="28"/>
          <w:lang w:val="en-US" w:eastAsia="zh-CN"/>
        </w:rPr>
        <w:t>82</w:t>
      </w:r>
      <w:r>
        <w:rPr>
          <w:rFonts w:hint="default" w:ascii="仿宋_GB2312" w:hAnsi="仿宋_GB2312" w:eastAsia="仿宋_GB2312" w:cs="仿宋_GB2312"/>
          <w:b w:val="0"/>
          <w:bCs/>
          <w:sz w:val="28"/>
          <w:szCs w:val="28"/>
          <w:lang w:val="en"/>
        </w:rPr>
        <w:t>个</w:t>
      </w:r>
      <w:r>
        <w:rPr>
          <w:rFonts w:hint="default" w:ascii="仿宋_GB2312" w:hAnsi="仿宋_GB2312" w:eastAsia="仿宋_GB2312" w:cs="仿宋_GB2312"/>
          <w:b w:val="0"/>
          <w:bCs/>
          <w:sz w:val="28"/>
          <w:szCs w:val="28"/>
        </w:rPr>
        <w:t>高级职称职数</w:t>
      </w:r>
      <w:r>
        <w:rPr>
          <w:rFonts w:hint="default" w:ascii="仿宋_GB2312" w:hAnsi="仿宋_GB2312" w:eastAsia="仿宋_GB2312" w:cs="仿宋_GB2312"/>
          <w:b w:val="0"/>
          <w:bCs/>
          <w:sz w:val="28"/>
          <w:szCs w:val="28"/>
          <w:lang w:val="en" w:eastAsia="zh-CN"/>
        </w:rPr>
        <w:t>；</w:t>
      </w:r>
      <w:r>
        <w:rPr>
          <w:rFonts w:hint="default" w:ascii="仿宋_GB2312" w:hAnsi="仿宋_GB2312" w:eastAsia="仿宋_GB2312" w:cs="仿宋_GB2312"/>
          <w:b w:val="0"/>
          <w:bCs/>
          <w:sz w:val="28"/>
          <w:szCs w:val="28"/>
        </w:rPr>
        <w:t>全面改进优化教师职称申报的程序和方法</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lang w:val="en-US" w:eastAsia="zh-CN"/>
        </w:rPr>
        <w:t>实现职称评审企业人才“厂门口”“一站式”服务，</w:t>
      </w:r>
      <w:r>
        <w:rPr>
          <w:rFonts w:hint="default" w:ascii="仿宋_GB2312" w:hAnsi="仿宋_GB2312" w:eastAsia="仿宋_GB2312" w:cs="仿宋_GB2312"/>
          <w:b w:val="0"/>
          <w:bCs/>
          <w:sz w:val="28"/>
          <w:szCs w:val="28"/>
          <w:lang w:val="en"/>
        </w:rPr>
        <w:t>赢得广泛赞誉。</w:t>
      </w:r>
      <w:r>
        <w:rPr>
          <w:rFonts w:hint="default" w:ascii="仿宋_GB2312" w:hAnsi="仿宋_GB2312" w:eastAsia="仿宋_GB2312" w:cs="仿宋_GB2312"/>
          <w:b w:val="0"/>
          <w:bCs/>
          <w:sz w:val="28"/>
          <w:szCs w:val="28"/>
        </w:rPr>
        <w:t>开展</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rPr>
        <w:t>巡回仲裁庭进园区</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rPr>
        <w:t>、</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rPr>
        <w:t>庭审开放日</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rPr>
        <w:t>活动，走出去办案、上门办案。建立网络“云仲裁庭”，实现云端开庭</w:t>
      </w:r>
      <w:r>
        <w:rPr>
          <w:rFonts w:hint="default" w:ascii="仿宋_GB2312" w:hAnsi="仿宋_GB2312" w:eastAsia="仿宋_GB2312" w:cs="仿宋_GB2312"/>
          <w:b w:val="0"/>
          <w:bCs/>
          <w:sz w:val="28"/>
          <w:szCs w:val="28"/>
          <w:lang w:eastAsia="zh-CN"/>
        </w:rPr>
        <w:t>，</w:t>
      </w:r>
      <w:r>
        <w:rPr>
          <w:rFonts w:hint="default" w:ascii="仿宋_GB2312" w:hAnsi="仿宋_GB2312" w:eastAsia="仿宋_GB2312" w:cs="仿宋_GB2312"/>
          <w:b w:val="0"/>
          <w:bCs/>
          <w:sz w:val="28"/>
          <w:szCs w:val="28"/>
        </w:rPr>
        <w:t>指尖维权</w:t>
      </w:r>
      <w:r>
        <w:rPr>
          <w:rFonts w:hint="default" w:ascii="仿宋_GB2312" w:hAnsi="仿宋_GB2312" w:eastAsia="仿宋_GB2312" w:cs="仿宋_GB2312"/>
          <w:b w:val="0"/>
          <w:bCs/>
          <w:sz w:val="28"/>
          <w:szCs w:val="28"/>
          <w:lang w:eastAsia="zh-CN"/>
        </w:rPr>
        <w:t>。成功承办第二届全国公共就业服务专项业务竞赛湖南省选拔赛，两名优秀选手在</w:t>
      </w:r>
      <w:r>
        <w:rPr>
          <w:rFonts w:hint="default" w:ascii="仿宋_GB2312" w:hAnsi="仿宋_GB2312" w:eastAsia="仿宋_GB2312" w:cs="仿宋_GB2312"/>
          <w:b w:val="0"/>
          <w:bCs/>
          <w:sz w:val="28"/>
          <w:szCs w:val="28"/>
        </w:rPr>
        <w:t>国赛</w:t>
      </w:r>
      <w:r>
        <w:rPr>
          <w:rFonts w:hint="default" w:ascii="仿宋_GB2312" w:hAnsi="仿宋_GB2312" w:eastAsia="仿宋_GB2312" w:cs="仿宋_GB2312"/>
          <w:b w:val="0"/>
          <w:bCs/>
          <w:sz w:val="28"/>
          <w:szCs w:val="28"/>
          <w:lang w:eastAsia="zh-CN"/>
        </w:rPr>
        <w:t>中斩获佳绩。</w:t>
      </w:r>
    </w:p>
    <w:p>
      <w:pPr>
        <w:spacing w:line="580" w:lineRule="exact"/>
        <w:ind w:firstLine="560" w:firstLineChars="200"/>
        <w:textAlignment w:val="baseline"/>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eastAsia="zh-CN"/>
        </w:rPr>
        <w:t>（三）</w:t>
      </w:r>
      <w:r>
        <w:rPr>
          <w:rFonts w:hint="default" w:ascii="仿宋_GB2312" w:hAnsi="仿宋_GB2312" w:eastAsia="仿宋_GB2312" w:cs="仿宋_GB2312"/>
          <w:b w:val="0"/>
          <w:bCs/>
          <w:sz w:val="28"/>
          <w:szCs w:val="28"/>
          <w:lang w:val="en-US" w:eastAsia="zh-CN"/>
        </w:rPr>
        <w:t>突出主题引领，人社形象不断提升。以深入开展“三型四有”主题活动和“清廉人社”建设为抓手，不断优化干部作风，提升服务效能。2022年，在各县市区人社局的支持配合下，市局</w:t>
      </w:r>
      <w:r>
        <w:rPr>
          <w:rFonts w:hint="default" w:ascii="仿宋_GB2312" w:hAnsi="仿宋_GB2312" w:eastAsia="仿宋_GB2312" w:cs="仿宋_GB2312"/>
          <w:b w:val="0"/>
          <w:bCs/>
          <w:sz w:val="28"/>
          <w:szCs w:val="28"/>
          <w:lang w:eastAsia="zh-CN"/>
        </w:rPr>
        <w:t>获评部级先进荣誉</w:t>
      </w:r>
      <w:r>
        <w:rPr>
          <w:rFonts w:hint="default" w:ascii="仿宋_GB2312" w:hAnsi="仿宋_GB2312" w:eastAsia="仿宋_GB2312" w:cs="仿宋_GB2312"/>
          <w:b w:val="0"/>
          <w:bCs/>
          <w:sz w:val="28"/>
          <w:szCs w:val="28"/>
          <w:lang w:val="en-US" w:eastAsia="zh-CN"/>
        </w:rPr>
        <w:t>9项，省级荣誉8项，市级荣誉14项。全市人社系统扎实开展党的二十大精神和</w:t>
      </w:r>
      <w:r>
        <w:rPr>
          <w:rFonts w:hint="default" w:ascii="仿宋_GB2312" w:hAnsi="仿宋_GB2312" w:eastAsia="仿宋_GB2312" w:cs="仿宋_GB2312"/>
          <w:b w:val="0"/>
          <w:bCs/>
          <w:sz w:val="28"/>
          <w:szCs w:val="28"/>
        </w:rPr>
        <w:t>习近平总书记系列重要指示批示精神</w:t>
      </w:r>
      <w:r>
        <w:rPr>
          <w:rFonts w:hint="default" w:ascii="仿宋_GB2312" w:hAnsi="仿宋_GB2312" w:eastAsia="仿宋_GB2312" w:cs="仿宋_GB2312"/>
          <w:b w:val="0"/>
          <w:bCs/>
          <w:sz w:val="28"/>
          <w:szCs w:val="28"/>
          <w:lang w:val="en-US" w:eastAsia="zh-CN"/>
        </w:rPr>
        <w:t>宣传学习贯彻</w:t>
      </w:r>
      <w:r>
        <w:rPr>
          <w:rFonts w:hint="default" w:ascii="仿宋_GB2312" w:hAnsi="仿宋_GB2312" w:eastAsia="仿宋_GB2312" w:cs="仿宋_GB2312"/>
          <w:b w:val="0"/>
          <w:bCs/>
          <w:sz w:val="28"/>
          <w:szCs w:val="28"/>
          <w:lang w:eastAsia="zh-CN"/>
        </w:rPr>
        <w:t>。市局</w:t>
      </w:r>
      <w:r>
        <w:rPr>
          <w:rFonts w:hint="default" w:ascii="仿宋_GB2312" w:hAnsi="仿宋_GB2312" w:eastAsia="仿宋_GB2312" w:cs="仿宋_GB2312"/>
          <w:b w:val="0"/>
          <w:bCs/>
          <w:sz w:val="28"/>
          <w:szCs w:val="28"/>
          <w:lang w:val="en-US" w:eastAsia="zh-CN"/>
        </w:rPr>
        <w:t>开设“人社大讲堂”，组建青年理论学习小组，持续深化青年干部能力提升计划。市局机关率先在全市开展“六比六看”公开竞职选拔科级干部，树立了导向、端正了风气、激发了活力。实施干部量化考核，科学精准评价干部。针对</w:t>
      </w:r>
      <w:r>
        <w:rPr>
          <w:rFonts w:hint="default" w:ascii="仿宋_GB2312" w:hAnsi="仿宋_GB2312" w:eastAsia="仿宋_GB2312" w:cs="仿宋_GB2312"/>
          <w:b w:val="0"/>
          <w:bCs/>
          <w:sz w:val="28"/>
          <w:szCs w:val="28"/>
          <w:lang w:eastAsia="zh-CN"/>
        </w:rPr>
        <w:t>巡察</w:t>
      </w:r>
      <w:r>
        <w:rPr>
          <w:rFonts w:hint="default" w:ascii="仿宋_GB2312" w:hAnsi="仿宋_GB2312" w:eastAsia="仿宋_GB2312" w:cs="仿宋_GB2312"/>
          <w:b w:val="0"/>
          <w:bCs/>
          <w:sz w:val="28"/>
          <w:szCs w:val="28"/>
        </w:rPr>
        <w:t>反馈</w:t>
      </w:r>
      <w:r>
        <w:rPr>
          <w:rFonts w:hint="default" w:ascii="仿宋_GB2312" w:hAnsi="仿宋_GB2312" w:eastAsia="仿宋_GB2312" w:cs="仿宋_GB2312"/>
          <w:b w:val="0"/>
          <w:bCs/>
          <w:sz w:val="28"/>
          <w:szCs w:val="28"/>
          <w:lang w:eastAsia="zh-CN"/>
        </w:rPr>
        <w:t>我局的</w:t>
      </w:r>
      <w:r>
        <w:rPr>
          <w:rFonts w:hint="default" w:ascii="仿宋_GB2312" w:hAnsi="仿宋_GB2312" w:eastAsia="仿宋_GB2312" w:cs="仿宋_GB2312"/>
          <w:b w:val="0"/>
          <w:bCs/>
          <w:sz w:val="28"/>
          <w:szCs w:val="28"/>
          <w:lang w:val="en-US" w:eastAsia="zh-CN"/>
        </w:rPr>
        <w:t>38个方面</w:t>
      </w:r>
      <w:r>
        <w:rPr>
          <w:rFonts w:hint="default" w:ascii="仿宋_GB2312" w:hAnsi="仿宋_GB2312" w:eastAsia="仿宋_GB2312" w:cs="仿宋_GB2312"/>
          <w:b w:val="0"/>
          <w:bCs/>
          <w:sz w:val="28"/>
          <w:szCs w:val="28"/>
        </w:rPr>
        <w:t>问题，始终做到紧盯问题改、压实责任改、举一反三改</w:t>
      </w:r>
      <w:r>
        <w:rPr>
          <w:rFonts w:hint="default" w:ascii="仿宋_GB2312" w:hAnsi="仿宋_GB2312" w:eastAsia="仿宋_GB2312" w:cs="仿宋_GB2312"/>
          <w:b w:val="0"/>
          <w:bCs/>
          <w:sz w:val="28"/>
          <w:szCs w:val="28"/>
          <w:lang w:eastAsia="zh-CN"/>
        </w:rPr>
        <w:t>，整改完成率</w:t>
      </w:r>
      <w:r>
        <w:rPr>
          <w:rFonts w:hint="default" w:ascii="仿宋_GB2312" w:hAnsi="仿宋_GB2312" w:eastAsia="仿宋_GB2312" w:cs="仿宋_GB2312"/>
          <w:b w:val="0"/>
          <w:bCs/>
          <w:sz w:val="28"/>
          <w:szCs w:val="28"/>
          <w:lang w:val="en-US" w:eastAsia="zh-CN"/>
        </w:rPr>
        <w:t>100%。</w:t>
      </w:r>
      <w:r>
        <w:rPr>
          <w:rFonts w:hint="default" w:ascii="仿宋_GB2312" w:hAnsi="仿宋_GB2312" w:eastAsia="仿宋_GB2312" w:cs="仿宋_GB2312"/>
          <w:b w:val="0"/>
          <w:bCs/>
          <w:sz w:val="28"/>
          <w:szCs w:val="28"/>
        </w:rPr>
        <w:t>创新清廉机关建设方式，</w:t>
      </w:r>
      <w:r>
        <w:rPr>
          <w:rFonts w:hint="default" w:ascii="仿宋_GB2312" w:hAnsi="仿宋_GB2312" w:eastAsia="仿宋_GB2312" w:cs="仿宋_GB2312"/>
          <w:b w:val="0"/>
          <w:bCs/>
          <w:sz w:val="28"/>
          <w:szCs w:val="28"/>
          <w:lang w:val="en-US" w:eastAsia="zh-CN"/>
        </w:rPr>
        <w:t>开展</w:t>
      </w:r>
      <w:r>
        <w:rPr>
          <w:rFonts w:hint="default" w:ascii="仿宋_GB2312" w:hAnsi="仿宋_GB2312" w:eastAsia="仿宋_GB2312" w:cs="仿宋_GB2312"/>
          <w:b w:val="0"/>
          <w:bCs/>
          <w:sz w:val="28"/>
          <w:szCs w:val="28"/>
          <w:lang w:eastAsia="zh-CN"/>
        </w:rPr>
        <w:t>“文化养廉”“警示宣廉”“党课倡廉”“约谈醒廉”“家风助廉”“业务守廉”六大行动。</w:t>
      </w:r>
      <w:r>
        <w:rPr>
          <w:rFonts w:hint="default" w:ascii="仿宋_GB2312" w:hAnsi="仿宋_GB2312" w:eastAsia="仿宋_GB2312" w:cs="仿宋_GB2312"/>
          <w:b w:val="0"/>
          <w:bCs/>
          <w:sz w:val="28"/>
          <w:szCs w:val="28"/>
          <w:lang w:val="en-US" w:eastAsia="zh-CN"/>
        </w:rPr>
        <w:t>设立驻临港新区办事处，落实园区赋权，实现“园区事园区办”。持续</w:t>
      </w:r>
      <w:r>
        <w:rPr>
          <w:rFonts w:hint="default" w:ascii="仿宋_GB2312" w:hAnsi="仿宋_GB2312" w:eastAsia="仿宋_GB2312" w:cs="仿宋_GB2312"/>
          <w:b w:val="0"/>
          <w:bCs/>
          <w:sz w:val="28"/>
          <w:szCs w:val="28"/>
        </w:rPr>
        <w:t>推行“四个一”人社服务</w:t>
      </w:r>
      <w:r>
        <w:rPr>
          <w:rFonts w:hint="default" w:ascii="仿宋_GB2312" w:hAnsi="仿宋_GB2312" w:eastAsia="仿宋_GB2312" w:cs="仿宋_GB2312"/>
          <w:b w:val="0"/>
          <w:bCs/>
          <w:sz w:val="28"/>
          <w:szCs w:val="28"/>
          <w:lang w:eastAsia="zh-CN"/>
        </w:rPr>
        <w:t>，开展人社服务快办行动。</w:t>
      </w:r>
      <w:r>
        <w:rPr>
          <w:rFonts w:hint="default" w:ascii="仿宋_GB2312" w:hAnsi="仿宋_GB2312" w:eastAsia="仿宋_GB2312" w:cs="仿宋_GB2312"/>
          <w:b w:val="0"/>
          <w:bCs/>
          <w:sz w:val="28"/>
          <w:szCs w:val="28"/>
          <w:lang w:val="en-US" w:eastAsia="zh-CN"/>
        </w:rPr>
        <w:t>2022年度，市局人社窗口以排名第一的成绩被评为“先锋窗口”，打造了人社“样板客厅”。</w:t>
      </w:r>
    </w:p>
    <w:p>
      <w:pPr>
        <w:numPr>
          <w:ilvl w:val="0"/>
          <w:numId w:val="2"/>
        </w:num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存在的主要问题</w:t>
      </w:r>
    </w:p>
    <w:p>
      <w:pPr>
        <w:spacing w:line="560" w:lineRule="exact"/>
        <w:ind w:firstLine="560" w:firstLineChars="200"/>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1、预算管理制度不够完善，年初预算不够精细，尚未建立规范的预算制度和标准化管理体系。</w:t>
      </w:r>
    </w:p>
    <w:p>
      <w:pPr>
        <w:spacing w:line="560" w:lineRule="exact"/>
        <w:ind w:firstLine="560" w:firstLineChars="200"/>
        <w:rPr>
          <w:rFonts w:hint="eastAsia"/>
        </w:rPr>
      </w:pPr>
      <w:r>
        <w:rPr>
          <w:rFonts w:hint="eastAsia" w:ascii="仿宋_GB2312" w:hAnsi="仿宋_GB2312" w:eastAsia="仿宋_GB2312" w:cs="仿宋_GB2312"/>
          <w:bCs/>
          <w:sz w:val="28"/>
          <w:szCs w:val="28"/>
          <w:lang w:val="en-US" w:eastAsia="zh-CN"/>
        </w:rPr>
        <w:t>2、内控制度需进一步完善，随着资金管理改革的进一步推进，我单位内部机构进行了相应的优化，建立健全了财务管理制度、费用报销规程等制度，但仍需进一步强化财务约束监督体制。</w:t>
      </w:r>
    </w:p>
    <w:p>
      <w:pPr>
        <w:spacing w:line="560" w:lineRule="exact"/>
        <w:ind w:firstLine="560" w:firstLineChars="200"/>
        <w:rPr>
          <w:rFonts w:hint="eastAsia" w:ascii="黑体" w:hAnsi="黑体" w:eastAsia="黑体" w:cs="黑体"/>
          <w:bCs/>
          <w:sz w:val="28"/>
          <w:szCs w:val="28"/>
        </w:rPr>
      </w:pPr>
      <w:r>
        <w:rPr>
          <w:rFonts w:hint="eastAsia" w:ascii="黑体" w:hAnsi="黑体" w:eastAsia="黑体" w:cs="黑体"/>
          <w:bCs/>
          <w:sz w:val="28"/>
          <w:szCs w:val="28"/>
        </w:rPr>
        <w:t>六、改进措施和有关建议</w:t>
      </w:r>
    </w:p>
    <w:p>
      <w:pPr>
        <w:ind w:firstLine="560" w:firstLineChars="200"/>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1、细化预算编制工作，进一步强化预算管理。严格按照预算编制的相关制度和要求，根据单位的年度工作重点工作规划，本着“勤俭节约、保障运转”的原则进行预算的编制，编制范围尽可能全面，不漏项。</w:t>
      </w:r>
      <w:r>
        <w:rPr>
          <w:rFonts w:hint="eastAsia" w:ascii="仿宋_GB2312" w:hAnsi="仿宋_GB2312" w:eastAsia="仿宋_GB2312" w:cs="仿宋_GB2312"/>
          <w:bCs/>
          <w:sz w:val="28"/>
          <w:szCs w:val="28"/>
          <w:lang w:val="en-US" w:eastAsia="zh-CN"/>
        </w:rPr>
        <w:t>加强预算支出的审核、跟踪及预算执行情况分析，</w:t>
      </w:r>
      <w:r>
        <w:rPr>
          <w:rFonts w:hint="eastAsia" w:ascii="仿宋_GB2312" w:hAnsi="仿宋_GB2312" w:eastAsia="仿宋_GB2312" w:cs="仿宋_GB2312"/>
          <w:bCs/>
          <w:kern w:val="2"/>
          <w:sz w:val="28"/>
          <w:szCs w:val="28"/>
          <w:lang w:val="en-US" w:eastAsia="zh-CN" w:bidi="ar-SA"/>
        </w:rPr>
        <w:t>提高预算编制的科学性、合理性、严谨性和可控性</w:t>
      </w:r>
      <w:bookmarkStart w:id="0" w:name="_GoBack"/>
      <w:bookmarkEnd w:id="0"/>
      <w:r>
        <w:rPr>
          <w:rFonts w:hint="eastAsia" w:ascii="仿宋_GB2312" w:hAnsi="仿宋_GB2312" w:eastAsia="仿宋_GB2312" w:cs="仿宋_GB2312"/>
          <w:bCs/>
          <w:kern w:val="2"/>
          <w:sz w:val="28"/>
          <w:szCs w:val="28"/>
          <w:lang w:val="en-US" w:eastAsia="zh-CN" w:bidi="ar-SA"/>
        </w:rPr>
        <w:t>。</w:t>
      </w:r>
    </w:p>
    <w:p>
      <w:pPr>
        <w:ind w:firstLine="560"/>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kern w:val="2"/>
          <w:sz w:val="28"/>
          <w:szCs w:val="28"/>
          <w:lang w:val="en-US" w:eastAsia="zh-CN" w:bidi="ar-SA"/>
        </w:rPr>
        <w:t>２、加强财务管理，强化内部控制。严格费用审核，强化资产管理，完善内部控制制度，提升管理效能，强化人才</w:t>
      </w:r>
      <w:r>
        <w:rPr>
          <w:rFonts w:hint="eastAsia" w:ascii="仿宋_GB2312" w:hAnsi="仿宋" w:eastAsia="仿宋_GB2312"/>
          <w:snapToGrid w:val="0"/>
          <w:kern w:val="0"/>
          <w:sz w:val="28"/>
          <w:szCs w:val="28"/>
        </w:rPr>
        <w:t>支撑和社会保障</w:t>
      </w:r>
      <w:r>
        <w:rPr>
          <w:rFonts w:hint="eastAsia" w:ascii="仿宋_GB2312" w:hAnsi="仿宋" w:eastAsia="仿宋_GB2312"/>
          <w:snapToGrid w:val="0"/>
          <w:kern w:val="0"/>
          <w:sz w:val="28"/>
          <w:szCs w:val="28"/>
          <w:lang w:eastAsia="zh-CN"/>
        </w:rPr>
        <w:t>职能</w:t>
      </w:r>
      <w:r>
        <w:rPr>
          <w:rFonts w:hint="eastAsia" w:ascii="仿宋_GB2312" w:hAnsi="仿宋" w:eastAsia="仿宋_GB2312"/>
          <w:snapToGrid w:val="0"/>
          <w:kern w:val="0"/>
          <w:sz w:val="28"/>
          <w:szCs w:val="28"/>
        </w:rPr>
        <w:t>。</w:t>
      </w:r>
    </w:p>
    <w:p/>
    <w:sectPr>
      <w:pgSz w:w="11906" w:h="16838"/>
      <w:pgMar w:top="1418" w:right="1758" w:bottom="1418" w:left="1758" w:header="851" w:footer="992" w:gutter="0"/>
      <w:pgNumType w:fmt="numberInDash" w:start="4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5699E"/>
    <w:multiLevelType w:val="singleLevel"/>
    <w:tmpl w:val="98B5699E"/>
    <w:lvl w:ilvl="0" w:tentative="0">
      <w:start w:val="1"/>
      <w:numFmt w:val="chineseCounting"/>
      <w:suff w:val="nothing"/>
      <w:lvlText w:val="（%1）"/>
      <w:lvlJc w:val="left"/>
      <w:pPr>
        <w:ind w:left="420" w:firstLine="0"/>
      </w:pPr>
      <w:rPr>
        <w:rFonts w:hint="eastAsia"/>
      </w:rPr>
    </w:lvl>
  </w:abstractNum>
  <w:abstractNum w:abstractNumId="1">
    <w:nsid w:val="A36EC3D4"/>
    <w:multiLevelType w:val="singleLevel"/>
    <w:tmpl w:val="A36EC3D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66F31"/>
    <w:rsid w:val="13266F31"/>
    <w:rsid w:val="1AF91DF6"/>
    <w:rsid w:val="340D2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0"/>
    <w:pPr>
      <w:ind w:left="1680" w:leftChars="800"/>
    </w:pPr>
  </w:style>
  <w:style w:type="paragraph" w:styleId="4">
    <w:name w:val="Title"/>
    <w:basedOn w:val="1"/>
    <w:next w:val="1"/>
    <w:qFormat/>
    <w:uiPriority w:val="0"/>
    <w:pPr>
      <w:spacing w:before="240" w:after="60"/>
      <w:jc w:val="center"/>
      <w:outlineLvl w:val="0"/>
    </w:pPr>
    <w:rPr>
      <w:rFonts w:ascii="Cambria" w:hAnsi="Cambria" w:eastAsia="宋体"/>
      <w:b/>
      <w:bCs/>
      <w:kern w:val="0"/>
      <w:szCs w:val="32"/>
    </w:rPr>
  </w:style>
  <w:style w:type="paragraph" w:customStyle="1" w:styleId="7">
    <w:name w:val="办公自动化专用标题"/>
    <w:basedOn w:val="4"/>
    <w:qFormat/>
    <w:uiPriority w:val="0"/>
    <w:pPr>
      <w:spacing w:line="560" w:lineRule="atLeast"/>
    </w:pPr>
    <w:rPr>
      <w:rFonts w:ascii="宋体" w:hAnsi="Arial" w:cs="Times New Roman"/>
      <w:bCs w:val="0"/>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2023-11-20T07:42:00Z</dcterms:created>
  <dc:creator>Administrator</dc:creator>
  <cp:lastModifiedBy>Administrator</cp:lastModifiedBy>
  <dcterms:modified xsi:type="dcterms:W3CDTF">2023-11-22T01:58:01Z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2052-10.8.2.7164</vt:lpwstr>
  </property>
</Properties>
</file>