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line="33" w:lineRule="atLeast"/>
        <w:ind w:firstLine="420"/>
        <w:jc w:val="center"/>
        <w:rPr>
          <w:rFonts w:hint="eastAsia" w:ascii="黑体" w:hAnsi="黑体" w:eastAsia="黑体" w:cs="Times New Roman"/>
          <w:b/>
          <w:color w:val="000000"/>
          <w:sz w:val="44"/>
          <w:szCs w:val="44"/>
        </w:rPr>
      </w:pP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420"/>
        <w:jc w:val="center"/>
        <w:textAlignment w:val="auto"/>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岳阳市洞庭湖江豚保护中心</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420"/>
        <w:jc w:val="center"/>
        <w:textAlignment w:val="auto"/>
        <w:rPr>
          <w:rFonts w:hint="eastAsia" w:ascii="方正小标宋简体" w:hAnsi="方正小标宋简体" w:eastAsia="方正小标宋简体" w:cs="方正小标宋简体"/>
          <w:b w:val="0"/>
          <w:bCs/>
          <w:color w:val="000000"/>
          <w:sz w:val="44"/>
          <w:szCs w:val="44"/>
          <w:lang w:val="zh-CN"/>
        </w:rPr>
      </w:pPr>
      <w:r>
        <w:rPr>
          <w:rFonts w:hint="eastAsia" w:ascii="方正小标宋简体" w:hAnsi="方正小标宋简体" w:eastAsia="方正小标宋简体" w:cs="方正小标宋简体"/>
          <w:b w:val="0"/>
          <w:bCs/>
          <w:color w:val="000000"/>
          <w:sz w:val="44"/>
          <w:szCs w:val="44"/>
          <w:lang w:val="zh-CN"/>
        </w:rPr>
        <w:t>202</w:t>
      </w:r>
      <w:r>
        <w:rPr>
          <w:rFonts w:hint="eastAsia" w:ascii="方正小标宋简体" w:hAnsi="方正小标宋简体" w:eastAsia="方正小标宋简体" w:cs="方正小标宋简体"/>
          <w:b w:val="0"/>
          <w:bCs/>
          <w:color w:val="000000"/>
          <w:sz w:val="44"/>
          <w:szCs w:val="44"/>
          <w:lang w:val="en-US" w:eastAsia="zh-CN"/>
        </w:rPr>
        <w:t>2</w:t>
      </w:r>
      <w:r>
        <w:rPr>
          <w:rFonts w:hint="eastAsia" w:ascii="方正小标宋简体" w:hAnsi="方正小标宋简体" w:eastAsia="方正小标宋简体" w:cs="方正小标宋简体"/>
          <w:b w:val="0"/>
          <w:bCs/>
          <w:color w:val="000000"/>
          <w:sz w:val="44"/>
          <w:szCs w:val="44"/>
          <w:lang w:val="zh-CN"/>
        </w:rPr>
        <w:t>年度部门整体支出绩效</w:t>
      </w:r>
      <w:r>
        <w:rPr>
          <w:rFonts w:hint="eastAsia" w:ascii="方正小标宋简体" w:hAnsi="方正小标宋简体" w:eastAsia="方正小标宋简体" w:cs="方正小标宋简体"/>
          <w:b w:val="0"/>
          <w:bCs/>
          <w:color w:val="000000"/>
          <w:sz w:val="44"/>
          <w:szCs w:val="44"/>
          <w:lang w:val="en-US" w:eastAsia="zh-CN"/>
        </w:rPr>
        <w:t>评价</w:t>
      </w:r>
      <w:r>
        <w:rPr>
          <w:rFonts w:hint="eastAsia" w:ascii="方正小标宋简体" w:hAnsi="方正小标宋简体" w:eastAsia="方正小标宋简体" w:cs="方正小标宋简体"/>
          <w:b w:val="0"/>
          <w:bCs/>
          <w:color w:val="000000"/>
          <w:sz w:val="44"/>
          <w:szCs w:val="44"/>
          <w:lang w:val="zh-CN"/>
        </w:rPr>
        <w:t>报告</w:t>
      </w:r>
    </w:p>
    <w:p>
      <w:pPr>
        <w:spacing w:line="500" w:lineRule="exact"/>
        <w:ind w:firstLine="640" w:firstLineChars="200"/>
        <w:rPr>
          <w:rFonts w:hint="eastAsia" w:ascii="宋体" w:hAnsi="宋体" w:cs="Times New Roman"/>
          <w:color w:val="000000"/>
          <w:kern w:val="0"/>
          <w:sz w:val="32"/>
          <w:szCs w:val="24"/>
        </w:rPr>
      </w:pP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24"/>
        </w:rPr>
      </w:pPr>
      <w:r>
        <w:rPr>
          <w:rFonts w:hint="eastAsia" w:ascii="仿宋_GB2312" w:hAnsi="仿宋_GB2312" w:eastAsia="仿宋_GB2312" w:cs="仿宋_GB2312"/>
          <w:color w:val="000000"/>
          <w:kern w:val="0"/>
          <w:sz w:val="32"/>
          <w:szCs w:val="32"/>
          <w:highlight w:val="none"/>
        </w:rPr>
        <w:t>根据预算绩效管理要求</w:t>
      </w:r>
      <w:r>
        <w:rPr>
          <w:rFonts w:hint="eastAsia" w:ascii="仿宋_GB2312" w:hAnsi="仿宋_GB2312" w:eastAsia="仿宋_GB2312" w:cs="仿宋_GB2312"/>
          <w:color w:val="000000"/>
          <w:kern w:val="0"/>
          <w:sz w:val="32"/>
          <w:szCs w:val="24"/>
          <w:highlight w:val="none"/>
        </w:rPr>
        <w:t>，</w:t>
      </w:r>
      <w:r>
        <w:rPr>
          <w:rFonts w:hint="eastAsia" w:ascii="仿宋_GB2312" w:hAnsi="仿宋_GB2312" w:eastAsia="仿宋_GB2312" w:cs="仿宋_GB2312"/>
          <w:color w:val="000000"/>
          <w:kern w:val="0"/>
          <w:sz w:val="32"/>
          <w:szCs w:val="24"/>
          <w:lang w:eastAsia="zh-CN"/>
        </w:rPr>
        <w:t>我</w:t>
      </w:r>
      <w:r>
        <w:rPr>
          <w:rFonts w:hint="eastAsia" w:ascii="仿宋_GB2312" w:hAnsi="仿宋_GB2312" w:eastAsia="仿宋_GB2312" w:cs="仿宋_GB2312"/>
          <w:color w:val="000000"/>
          <w:kern w:val="0"/>
          <w:sz w:val="32"/>
          <w:szCs w:val="24"/>
        </w:rPr>
        <w:t>单位组织力量对202</w:t>
      </w:r>
      <w:r>
        <w:rPr>
          <w:rFonts w:hint="eastAsia" w:ascii="仿宋_GB2312" w:hAnsi="仿宋_GB2312" w:eastAsia="仿宋_GB2312" w:cs="仿宋_GB2312"/>
          <w:color w:val="000000"/>
          <w:kern w:val="0"/>
          <w:sz w:val="32"/>
          <w:szCs w:val="24"/>
          <w:lang w:val="en-US" w:eastAsia="zh-CN"/>
        </w:rPr>
        <w:t>2</w:t>
      </w:r>
      <w:r>
        <w:rPr>
          <w:rFonts w:hint="eastAsia" w:ascii="仿宋_GB2312" w:hAnsi="仿宋_GB2312" w:eastAsia="仿宋_GB2312" w:cs="仿宋_GB2312"/>
          <w:color w:val="000000"/>
          <w:kern w:val="0"/>
          <w:sz w:val="32"/>
          <w:szCs w:val="24"/>
        </w:rPr>
        <w:t>年度部门整体支出开展了绩效自评。现将有关情况报告如下：</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000000"/>
          <w:kern w:val="0"/>
          <w:sz w:val="32"/>
          <w:szCs w:val="24"/>
        </w:rPr>
      </w:pPr>
      <w:r>
        <w:rPr>
          <w:rFonts w:hint="eastAsia" w:ascii="黑体" w:hAnsi="黑体" w:eastAsia="黑体" w:cs="黑体"/>
          <w:color w:val="000000"/>
          <w:kern w:val="0"/>
          <w:sz w:val="32"/>
          <w:szCs w:val="24"/>
        </w:rPr>
        <w:t>一、单位概况</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（一）单位基本情况</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根据市委编办《关于重新明确市农业委员会机构编制事项的通知》（岳编办通〔2018〕103号），岳阳市洞庭湖江豚保护中心为正科级公益一类全额拨款事业单位，业务归口市农业农村局主管，</w:t>
      </w:r>
      <w:r>
        <w:rPr>
          <w:rFonts w:hint="eastAsia" w:ascii="仿宋_GB2312" w:hAnsi="仿宋_GB2312" w:eastAsia="仿宋_GB2312" w:cs="仿宋_GB2312"/>
          <w:color w:val="000000"/>
          <w:kern w:val="0"/>
          <w:sz w:val="32"/>
          <w:szCs w:val="32"/>
          <w:highlight w:val="none"/>
          <w:lang w:val="en-US" w:eastAsia="zh-CN"/>
        </w:rPr>
        <w:t>2022年</w:t>
      </w:r>
      <w:r>
        <w:rPr>
          <w:rFonts w:hint="eastAsia" w:ascii="仿宋_GB2312" w:hAnsi="仿宋_GB2312" w:eastAsia="仿宋_GB2312" w:cs="仿宋_GB2312"/>
          <w:color w:val="000000"/>
          <w:kern w:val="0"/>
          <w:sz w:val="32"/>
          <w:szCs w:val="32"/>
          <w:highlight w:val="none"/>
        </w:rPr>
        <w:t>核定全额拨款事业编制</w:t>
      </w:r>
      <w:r>
        <w:rPr>
          <w:rFonts w:hint="eastAsia" w:ascii="仿宋_GB2312" w:hAnsi="仿宋_GB2312" w:eastAsia="仿宋_GB2312" w:cs="仿宋_GB2312"/>
          <w:color w:val="000000"/>
          <w:kern w:val="0"/>
          <w:sz w:val="32"/>
          <w:szCs w:val="32"/>
          <w:highlight w:val="none"/>
          <w:lang w:val="en-US" w:eastAsia="zh-CN"/>
        </w:rPr>
        <w:t>9</w:t>
      </w:r>
      <w:r>
        <w:rPr>
          <w:rFonts w:hint="eastAsia" w:ascii="仿宋_GB2312" w:hAnsi="仿宋_GB2312" w:eastAsia="仿宋_GB2312" w:cs="仿宋_GB2312"/>
          <w:color w:val="000000"/>
          <w:kern w:val="0"/>
          <w:sz w:val="32"/>
          <w:szCs w:val="32"/>
          <w:highlight w:val="none"/>
        </w:rPr>
        <w:t>名。202</w:t>
      </w:r>
      <w:r>
        <w:rPr>
          <w:rFonts w:hint="eastAsia" w:ascii="仿宋_GB2312" w:hAnsi="仿宋_GB2312" w:eastAsia="仿宋_GB2312" w:cs="仿宋_GB2312"/>
          <w:color w:val="000000"/>
          <w:kern w:val="0"/>
          <w:sz w:val="32"/>
          <w:szCs w:val="32"/>
          <w:highlight w:val="none"/>
          <w:lang w:val="en-US" w:eastAsia="zh-CN"/>
        </w:rPr>
        <w:t>2</w:t>
      </w:r>
      <w:r>
        <w:rPr>
          <w:rFonts w:hint="eastAsia" w:ascii="仿宋_GB2312" w:hAnsi="仿宋_GB2312" w:eastAsia="仿宋_GB2312" w:cs="仿宋_GB2312"/>
          <w:color w:val="000000"/>
          <w:kern w:val="0"/>
          <w:sz w:val="32"/>
          <w:szCs w:val="32"/>
          <w:highlight w:val="none"/>
        </w:rPr>
        <w:t>年末，我单位实有人员</w:t>
      </w:r>
      <w:r>
        <w:rPr>
          <w:rFonts w:hint="eastAsia" w:ascii="仿宋_GB2312" w:hAnsi="仿宋_GB2312" w:eastAsia="仿宋_GB2312" w:cs="仿宋_GB2312"/>
          <w:color w:val="000000"/>
          <w:kern w:val="0"/>
          <w:sz w:val="32"/>
          <w:szCs w:val="32"/>
          <w:highlight w:val="none"/>
          <w:lang w:val="en-US" w:eastAsia="zh-CN"/>
        </w:rPr>
        <w:t>8</w:t>
      </w:r>
      <w:r>
        <w:rPr>
          <w:rFonts w:hint="eastAsia" w:ascii="仿宋_GB2312" w:hAnsi="仿宋_GB2312" w:eastAsia="仿宋_GB2312" w:cs="仿宋_GB2312"/>
          <w:color w:val="000000"/>
          <w:kern w:val="0"/>
          <w:sz w:val="32"/>
          <w:szCs w:val="32"/>
          <w:highlight w:val="none"/>
        </w:rPr>
        <w:t>人，其中在职人员</w:t>
      </w:r>
      <w:r>
        <w:rPr>
          <w:rFonts w:hint="eastAsia" w:ascii="仿宋_GB2312" w:hAnsi="仿宋_GB2312" w:eastAsia="仿宋_GB2312" w:cs="仿宋_GB2312"/>
          <w:color w:val="000000"/>
          <w:kern w:val="0"/>
          <w:sz w:val="32"/>
          <w:szCs w:val="32"/>
          <w:highlight w:val="none"/>
          <w:lang w:val="en-US" w:eastAsia="zh-CN"/>
        </w:rPr>
        <w:t>8</w:t>
      </w:r>
      <w:r>
        <w:rPr>
          <w:rFonts w:hint="eastAsia" w:ascii="仿宋_GB2312" w:hAnsi="仿宋_GB2312" w:eastAsia="仿宋_GB2312" w:cs="仿宋_GB2312"/>
          <w:color w:val="000000"/>
          <w:kern w:val="0"/>
          <w:sz w:val="32"/>
          <w:szCs w:val="32"/>
          <w:highlight w:val="none"/>
        </w:rPr>
        <w:t>人、无离休退休人员。</w:t>
      </w:r>
      <w:r>
        <w:rPr>
          <w:rFonts w:hint="eastAsia" w:ascii="仿宋_GB2312" w:hAnsi="仿宋_GB2312" w:eastAsia="仿宋_GB2312" w:cs="仿宋_GB2312"/>
          <w:color w:val="000000"/>
          <w:kern w:val="0"/>
          <w:sz w:val="32"/>
          <w:szCs w:val="32"/>
          <w:highlight w:val="none"/>
          <w:lang w:val="zh-CN"/>
        </w:rPr>
        <w:t>内设</w:t>
      </w:r>
      <w:r>
        <w:rPr>
          <w:rFonts w:hint="eastAsia" w:ascii="仿宋_GB2312" w:hAnsi="仿宋_GB2312" w:eastAsia="仿宋_GB2312" w:cs="仿宋_GB2312"/>
          <w:color w:val="000000"/>
          <w:kern w:val="0"/>
          <w:sz w:val="32"/>
          <w:szCs w:val="32"/>
          <w:highlight w:val="none"/>
        </w:rPr>
        <w:t>2个</w:t>
      </w:r>
      <w:r>
        <w:rPr>
          <w:rFonts w:hint="eastAsia" w:ascii="仿宋_GB2312" w:hAnsi="仿宋_GB2312" w:eastAsia="仿宋_GB2312" w:cs="仿宋_GB2312"/>
          <w:color w:val="000000"/>
          <w:kern w:val="0"/>
          <w:sz w:val="32"/>
          <w:szCs w:val="32"/>
          <w:highlight w:val="none"/>
          <w:lang w:val="zh-CN"/>
        </w:rPr>
        <w:t>科室：办公室、观测保护站</w:t>
      </w:r>
      <w:r>
        <w:rPr>
          <w:rFonts w:hint="eastAsia" w:ascii="仿宋_GB2312" w:hAnsi="仿宋_GB2312" w:eastAsia="仿宋_GB2312" w:cs="仿宋_GB2312"/>
          <w:color w:val="000000"/>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（二）主要职能职责</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zh-CN"/>
        </w:rPr>
      </w:pPr>
      <w:r>
        <w:rPr>
          <w:rFonts w:hint="eastAsia" w:ascii="仿宋_GB2312" w:hAnsi="仿宋_GB2312" w:eastAsia="仿宋_GB2312" w:cs="仿宋_GB2312"/>
          <w:color w:val="000000"/>
          <w:kern w:val="0"/>
          <w:sz w:val="32"/>
          <w:szCs w:val="32"/>
          <w:highlight w:val="none"/>
          <w:lang w:val="en-US" w:eastAsia="zh-CN"/>
        </w:rPr>
        <w:t>1、承担水产种质资源</w:t>
      </w:r>
      <w:r>
        <w:rPr>
          <w:rFonts w:hint="eastAsia" w:ascii="仿宋_GB2312" w:hAnsi="仿宋_GB2312" w:eastAsia="仿宋_GB2312" w:cs="仿宋_GB2312"/>
          <w:color w:val="000000"/>
          <w:kern w:val="0"/>
          <w:sz w:val="32"/>
          <w:szCs w:val="32"/>
          <w:highlight w:val="none"/>
          <w:lang w:val="zh-CN"/>
        </w:rPr>
        <w:t>保护区</w:t>
      </w:r>
      <w:r>
        <w:rPr>
          <w:rFonts w:hint="eastAsia" w:ascii="仿宋_GB2312" w:hAnsi="仿宋_GB2312" w:eastAsia="仿宋_GB2312" w:cs="仿宋_GB2312"/>
          <w:color w:val="000000"/>
          <w:kern w:val="0"/>
          <w:sz w:val="32"/>
          <w:szCs w:val="32"/>
          <w:highlight w:val="none"/>
          <w:lang w:val="zh-CN" w:eastAsia="zh-CN"/>
        </w:rPr>
        <w:t>（</w:t>
      </w:r>
      <w:r>
        <w:rPr>
          <w:rFonts w:hint="eastAsia" w:ascii="仿宋_GB2312" w:hAnsi="仿宋_GB2312" w:eastAsia="仿宋_GB2312" w:cs="仿宋_GB2312"/>
          <w:color w:val="000000"/>
          <w:kern w:val="0"/>
          <w:sz w:val="32"/>
          <w:szCs w:val="32"/>
          <w:highlight w:val="none"/>
          <w:lang w:val="en-US" w:eastAsia="zh-CN"/>
        </w:rPr>
        <w:t>以下简称保护区</w:t>
      </w:r>
      <w:r>
        <w:rPr>
          <w:rFonts w:hint="eastAsia" w:ascii="仿宋_GB2312" w:hAnsi="仿宋_GB2312" w:eastAsia="仿宋_GB2312" w:cs="仿宋_GB2312"/>
          <w:color w:val="000000"/>
          <w:kern w:val="0"/>
          <w:sz w:val="32"/>
          <w:szCs w:val="32"/>
          <w:highlight w:val="none"/>
          <w:lang w:val="zh-CN" w:eastAsia="zh-CN"/>
        </w:rPr>
        <w:t>）</w:t>
      </w:r>
      <w:r>
        <w:rPr>
          <w:rFonts w:hint="eastAsia" w:ascii="仿宋_GB2312" w:hAnsi="仿宋_GB2312" w:eastAsia="仿宋_GB2312" w:cs="仿宋_GB2312"/>
          <w:color w:val="000000"/>
          <w:kern w:val="0"/>
          <w:sz w:val="32"/>
          <w:szCs w:val="32"/>
          <w:highlight w:val="none"/>
          <w:lang w:val="zh-CN"/>
        </w:rPr>
        <w:t>内水生生物资源及其生存环境的监测、资源养护和生态修复等工作，并协助有关部门开展保护区的科学研究工作。</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zh-CN" w:eastAsia="zh-CN"/>
        </w:rPr>
      </w:pPr>
      <w:r>
        <w:rPr>
          <w:rFonts w:hint="eastAsia" w:ascii="仿宋_GB2312" w:hAnsi="仿宋_GB2312" w:eastAsia="仿宋_GB2312" w:cs="仿宋_GB2312"/>
          <w:color w:val="000000"/>
          <w:kern w:val="0"/>
          <w:sz w:val="32"/>
          <w:szCs w:val="32"/>
          <w:highlight w:val="none"/>
          <w:lang w:val="en-US" w:eastAsia="zh-CN"/>
        </w:rPr>
        <w:t>2、</w:t>
      </w:r>
      <w:r>
        <w:rPr>
          <w:rFonts w:hint="eastAsia" w:ascii="仿宋_GB2312" w:hAnsi="仿宋_GB2312" w:eastAsia="仿宋_GB2312" w:cs="仿宋_GB2312"/>
          <w:color w:val="000000"/>
          <w:kern w:val="0"/>
          <w:sz w:val="32"/>
          <w:szCs w:val="32"/>
          <w:highlight w:val="none"/>
          <w:lang w:val="zh-CN"/>
        </w:rPr>
        <w:t>承担保护区</w:t>
      </w:r>
      <w:r>
        <w:rPr>
          <w:rFonts w:hint="eastAsia" w:ascii="仿宋_GB2312" w:hAnsi="仿宋_GB2312" w:eastAsia="仿宋_GB2312" w:cs="仿宋_GB2312"/>
          <w:color w:val="000000"/>
          <w:kern w:val="0"/>
          <w:sz w:val="32"/>
          <w:szCs w:val="32"/>
          <w:highlight w:val="none"/>
          <w:lang w:val="en-US" w:eastAsia="zh-CN"/>
        </w:rPr>
        <w:t>及长江岳阳段范围</w:t>
      </w:r>
      <w:r>
        <w:rPr>
          <w:rFonts w:hint="eastAsia" w:ascii="仿宋_GB2312" w:hAnsi="仿宋_GB2312" w:eastAsia="仿宋_GB2312" w:cs="仿宋_GB2312"/>
          <w:color w:val="000000"/>
          <w:kern w:val="0"/>
          <w:sz w:val="32"/>
          <w:szCs w:val="32"/>
          <w:highlight w:val="none"/>
          <w:lang w:val="zh-CN"/>
        </w:rPr>
        <w:t>内珍贵、濒危水生野生动物保护工作</w:t>
      </w:r>
      <w:r>
        <w:rPr>
          <w:rFonts w:hint="eastAsia" w:ascii="仿宋_GB2312" w:hAnsi="仿宋_GB2312" w:eastAsia="仿宋_GB2312" w:cs="仿宋_GB2312"/>
          <w:color w:val="000000"/>
          <w:kern w:val="0"/>
          <w:sz w:val="32"/>
          <w:szCs w:val="32"/>
          <w:highlight w:val="none"/>
          <w:lang w:val="zh-CN" w:eastAsia="zh-CN"/>
        </w:rPr>
        <w:t>；</w:t>
      </w:r>
      <w:r>
        <w:rPr>
          <w:rFonts w:hint="eastAsia" w:ascii="仿宋_GB2312" w:hAnsi="仿宋_GB2312" w:eastAsia="仿宋_GB2312" w:cs="仿宋_GB2312"/>
          <w:color w:val="000000"/>
          <w:kern w:val="0"/>
          <w:sz w:val="32"/>
          <w:szCs w:val="32"/>
          <w:highlight w:val="none"/>
          <w:lang w:val="en-US" w:eastAsia="zh-CN"/>
        </w:rPr>
        <w:t>承担</w:t>
      </w:r>
      <w:r>
        <w:rPr>
          <w:rFonts w:hint="eastAsia" w:ascii="仿宋_GB2312" w:hAnsi="仿宋_GB2312" w:eastAsia="仿宋_GB2312" w:cs="仿宋_GB2312"/>
          <w:color w:val="000000"/>
          <w:kern w:val="0"/>
          <w:sz w:val="32"/>
          <w:szCs w:val="32"/>
          <w:highlight w:val="none"/>
          <w:lang w:val="zh-CN"/>
        </w:rPr>
        <w:t>长江江豚的救护和驯养繁殖研究工作</w:t>
      </w:r>
      <w:r>
        <w:rPr>
          <w:rFonts w:hint="eastAsia" w:ascii="仿宋_GB2312" w:hAnsi="仿宋_GB2312" w:eastAsia="仿宋_GB2312" w:cs="仿宋_GB2312"/>
          <w:color w:val="000000"/>
          <w:kern w:val="0"/>
          <w:sz w:val="32"/>
          <w:szCs w:val="32"/>
          <w:highlight w:val="none"/>
          <w:lang w:val="zh-CN" w:eastAsia="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zh-CN"/>
        </w:rPr>
      </w:pPr>
      <w:r>
        <w:rPr>
          <w:rFonts w:hint="eastAsia" w:ascii="仿宋_GB2312" w:hAnsi="仿宋_GB2312" w:eastAsia="仿宋_GB2312" w:cs="仿宋_GB2312"/>
          <w:color w:val="000000"/>
          <w:kern w:val="0"/>
          <w:sz w:val="32"/>
          <w:szCs w:val="32"/>
          <w:highlight w:val="none"/>
          <w:lang w:val="en-US" w:eastAsia="zh-CN"/>
        </w:rPr>
        <w:t>3、</w:t>
      </w:r>
      <w:r>
        <w:rPr>
          <w:rFonts w:hint="eastAsia" w:ascii="仿宋_GB2312" w:hAnsi="仿宋_GB2312" w:eastAsia="仿宋_GB2312" w:cs="仿宋_GB2312"/>
          <w:color w:val="000000"/>
          <w:kern w:val="0"/>
          <w:sz w:val="32"/>
          <w:szCs w:val="32"/>
          <w:highlight w:val="none"/>
          <w:lang w:val="zh-CN"/>
        </w:rPr>
        <w:t>承担市本级水产种质资源</w:t>
      </w:r>
      <w:r>
        <w:rPr>
          <w:rFonts w:hint="eastAsia" w:ascii="仿宋_GB2312" w:hAnsi="仿宋_GB2312" w:eastAsia="仿宋_GB2312" w:cs="仿宋_GB2312"/>
          <w:color w:val="000000"/>
          <w:kern w:val="0"/>
          <w:sz w:val="32"/>
          <w:szCs w:val="32"/>
          <w:highlight w:val="none"/>
          <w:lang w:val="en-US" w:eastAsia="zh-CN"/>
        </w:rPr>
        <w:t>保护、国家级水产种质资源保护区的相关</w:t>
      </w:r>
      <w:r>
        <w:rPr>
          <w:rFonts w:hint="eastAsia" w:ascii="仿宋_GB2312" w:hAnsi="仿宋_GB2312" w:eastAsia="仿宋_GB2312" w:cs="仿宋_GB2312"/>
          <w:color w:val="000000"/>
          <w:kern w:val="0"/>
          <w:sz w:val="32"/>
          <w:szCs w:val="32"/>
          <w:highlight w:val="none"/>
          <w:lang w:val="zh-CN"/>
        </w:rPr>
        <w:t>管理工作</w:t>
      </w:r>
      <w:r>
        <w:rPr>
          <w:rFonts w:hint="eastAsia" w:ascii="仿宋_GB2312" w:hAnsi="仿宋_GB2312" w:eastAsia="仿宋_GB2312" w:cs="仿宋_GB2312"/>
          <w:color w:val="000000"/>
          <w:kern w:val="0"/>
          <w:sz w:val="32"/>
          <w:szCs w:val="32"/>
          <w:highlight w:val="none"/>
          <w:lang w:val="zh-CN" w:eastAsia="zh-CN"/>
        </w:rPr>
        <w:t>，</w:t>
      </w:r>
      <w:r>
        <w:rPr>
          <w:rFonts w:hint="eastAsia" w:ascii="仿宋_GB2312" w:hAnsi="仿宋_GB2312" w:eastAsia="仿宋_GB2312" w:cs="仿宋_GB2312"/>
          <w:color w:val="000000"/>
          <w:kern w:val="0"/>
          <w:sz w:val="32"/>
          <w:szCs w:val="32"/>
          <w:highlight w:val="none"/>
          <w:lang w:val="en-US" w:eastAsia="zh-CN"/>
        </w:rPr>
        <w:t>以及</w:t>
      </w:r>
      <w:r>
        <w:rPr>
          <w:rFonts w:hint="eastAsia" w:ascii="仿宋_GB2312" w:hAnsi="仿宋_GB2312" w:eastAsia="仿宋_GB2312" w:cs="仿宋_GB2312"/>
          <w:color w:val="000000"/>
          <w:kern w:val="0"/>
          <w:sz w:val="32"/>
          <w:szCs w:val="32"/>
          <w:highlight w:val="none"/>
          <w:lang w:val="zh-CN"/>
        </w:rPr>
        <w:t>全市水产种质资源保护区的业务指导</w:t>
      </w:r>
      <w:r>
        <w:rPr>
          <w:rFonts w:hint="eastAsia" w:ascii="仿宋_GB2312" w:hAnsi="仿宋_GB2312" w:eastAsia="仿宋_GB2312" w:cs="仿宋_GB2312"/>
          <w:color w:val="000000"/>
          <w:kern w:val="0"/>
          <w:sz w:val="32"/>
          <w:szCs w:val="32"/>
          <w:highlight w:val="none"/>
          <w:lang w:val="en-US" w:eastAsia="zh-CN"/>
        </w:rPr>
        <w:t>工作</w:t>
      </w:r>
      <w:r>
        <w:rPr>
          <w:rFonts w:hint="eastAsia" w:ascii="仿宋_GB2312" w:hAnsi="仿宋_GB2312" w:eastAsia="仿宋_GB2312" w:cs="仿宋_GB2312"/>
          <w:color w:val="000000"/>
          <w:kern w:val="0"/>
          <w:sz w:val="32"/>
          <w:szCs w:val="32"/>
          <w:highlight w:val="none"/>
          <w:lang w:val="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4、根据授权，</w:t>
      </w:r>
      <w:r>
        <w:rPr>
          <w:rFonts w:hint="eastAsia" w:ascii="仿宋_GB2312" w:hAnsi="仿宋_GB2312" w:eastAsia="仿宋_GB2312" w:cs="仿宋_GB2312"/>
          <w:color w:val="000000"/>
          <w:kern w:val="0"/>
          <w:sz w:val="32"/>
          <w:szCs w:val="32"/>
          <w:highlight w:val="none"/>
          <w:lang w:val="zh-CN"/>
        </w:rPr>
        <w:t>承担保护区范围内涉水涉渔工程项目监管及生态补偿资金和生态补偿措施落</w:t>
      </w:r>
      <w:r>
        <w:rPr>
          <w:rFonts w:hint="eastAsia" w:ascii="仿宋_GB2312" w:hAnsi="仿宋_GB2312" w:eastAsia="仿宋_GB2312" w:cs="仿宋_GB2312"/>
          <w:color w:val="000000"/>
          <w:kern w:val="0"/>
          <w:sz w:val="32"/>
          <w:szCs w:val="32"/>
          <w:highlight w:val="none"/>
          <w:lang w:val="en-US" w:eastAsia="zh-CN"/>
        </w:rPr>
        <w:t>实的行政辅助工作。</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zh-CN"/>
        </w:rPr>
      </w:pPr>
      <w:r>
        <w:rPr>
          <w:rFonts w:hint="eastAsia" w:ascii="仿宋_GB2312" w:hAnsi="仿宋_GB2312" w:eastAsia="仿宋_GB2312" w:cs="仿宋_GB2312"/>
          <w:color w:val="000000"/>
          <w:kern w:val="0"/>
          <w:sz w:val="32"/>
          <w:szCs w:val="32"/>
          <w:highlight w:val="none"/>
          <w:lang w:val="en-US" w:eastAsia="zh-CN"/>
        </w:rPr>
        <w:t>5、协助</w:t>
      </w:r>
      <w:r>
        <w:rPr>
          <w:rFonts w:hint="eastAsia" w:ascii="仿宋_GB2312" w:hAnsi="仿宋_GB2312" w:eastAsia="仿宋_GB2312" w:cs="仿宋_GB2312"/>
          <w:color w:val="000000"/>
          <w:kern w:val="0"/>
          <w:sz w:val="32"/>
          <w:szCs w:val="32"/>
          <w:highlight w:val="none"/>
          <w:lang w:val="zh-CN"/>
        </w:rPr>
        <w:t>查处保护区范围内违反水生野生动物资源管理的各类违法违规</w:t>
      </w:r>
      <w:r>
        <w:rPr>
          <w:rFonts w:hint="eastAsia" w:ascii="仿宋_GB2312" w:hAnsi="仿宋_GB2312" w:eastAsia="仿宋_GB2312" w:cs="仿宋_GB2312"/>
          <w:color w:val="000000"/>
          <w:kern w:val="0"/>
          <w:sz w:val="32"/>
          <w:szCs w:val="32"/>
          <w:highlight w:val="none"/>
          <w:lang w:val="en-US" w:eastAsia="zh-CN"/>
        </w:rPr>
        <w:t>行为</w:t>
      </w:r>
      <w:r>
        <w:rPr>
          <w:rFonts w:hint="eastAsia" w:ascii="仿宋_GB2312" w:hAnsi="仿宋_GB2312" w:eastAsia="仿宋_GB2312" w:cs="仿宋_GB2312"/>
          <w:color w:val="000000"/>
          <w:kern w:val="0"/>
          <w:sz w:val="32"/>
          <w:szCs w:val="32"/>
          <w:highlight w:val="none"/>
          <w:lang w:val="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zh-CN"/>
        </w:rPr>
      </w:pPr>
      <w:r>
        <w:rPr>
          <w:rFonts w:hint="eastAsia" w:ascii="仿宋_GB2312" w:hAnsi="仿宋_GB2312" w:eastAsia="仿宋_GB2312" w:cs="仿宋_GB2312"/>
          <w:color w:val="000000"/>
          <w:kern w:val="0"/>
          <w:sz w:val="32"/>
          <w:szCs w:val="32"/>
          <w:highlight w:val="none"/>
          <w:lang w:val="en-US" w:eastAsia="zh-CN"/>
        </w:rPr>
        <w:t>6、承担</w:t>
      </w:r>
      <w:r>
        <w:rPr>
          <w:rFonts w:hint="eastAsia" w:ascii="仿宋_GB2312" w:hAnsi="仿宋_GB2312" w:eastAsia="仿宋_GB2312" w:cs="仿宋_GB2312"/>
          <w:color w:val="000000"/>
          <w:kern w:val="0"/>
          <w:sz w:val="32"/>
          <w:szCs w:val="32"/>
          <w:highlight w:val="none"/>
          <w:lang w:val="zh-CN"/>
        </w:rPr>
        <w:t>保护长江江豚和其他珍贵、濒危水生野生动物</w:t>
      </w:r>
      <w:r>
        <w:rPr>
          <w:rFonts w:hint="eastAsia" w:ascii="仿宋_GB2312" w:hAnsi="仿宋_GB2312" w:eastAsia="仿宋_GB2312" w:cs="仿宋_GB2312"/>
          <w:color w:val="000000"/>
          <w:kern w:val="0"/>
          <w:sz w:val="32"/>
          <w:szCs w:val="32"/>
          <w:highlight w:val="none"/>
          <w:lang w:val="en-US" w:eastAsia="zh-CN"/>
        </w:rPr>
        <w:t>及水产种质资源保护区</w:t>
      </w:r>
      <w:r>
        <w:rPr>
          <w:rFonts w:hint="eastAsia" w:ascii="仿宋_GB2312" w:hAnsi="仿宋_GB2312" w:eastAsia="仿宋_GB2312" w:cs="仿宋_GB2312"/>
          <w:color w:val="000000"/>
          <w:kern w:val="0"/>
          <w:sz w:val="32"/>
          <w:szCs w:val="32"/>
          <w:highlight w:val="none"/>
          <w:lang w:val="zh-CN"/>
        </w:rPr>
        <w:t>的宣传教育</w:t>
      </w:r>
      <w:r>
        <w:rPr>
          <w:rFonts w:hint="eastAsia" w:ascii="仿宋_GB2312" w:hAnsi="仿宋_GB2312" w:eastAsia="仿宋_GB2312" w:cs="仿宋_GB2312"/>
          <w:color w:val="000000"/>
          <w:kern w:val="0"/>
          <w:sz w:val="32"/>
          <w:szCs w:val="32"/>
          <w:highlight w:val="none"/>
          <w:lang w:val="en-US" w:eastAsia="zh-CN"/>
        </w:rPr>
        <w:t>工作</w:t>
      </w:r>
      <w:r>
        <w:rPr>
          <w:rFonts w:hint="eastAsia" w:ascii="仿宋_GB2312" w:hAnsi="仿宋_GB2312" w:eastAsia="仿宋_GB2312" w:cs="仿宋_GB2312"/>
          <w:color w:val="000000"/>
          <w:kern w:val="0"/>
          <w:sz w:val="32"/>
          <w:szCs w:val="32"/>
          <w:highlight w:val="none"/>
          <w:lang w:val="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7、接受国内外组织和个人的捐赠，用于保护区的建设和管理。</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zh-CN"/>
        </w:rPr>
      </w:pPr>
      <w:r>
        <w:rPr>
          <w:rFonts w:hint="eastAsia" w:ascii="仿宋_GB2312" w:hAnsi="仿宋_GB2312" w:eastAsia="仿宋_GB2312" w:cs="仿宋_GB2312"/>
          <w:color w:val="000000"/>
          <w:kern w:val="0"/>
          <w:sz w:val="32"/>
          <w:szCs w:val="32"/>
          <w:highlight w:val="none"/>
          <w:lang w:val="en-US" w:eastAsia="zh-CN"/>
        </w:rPr>
        <w:t>8、</w:t>
      </w:r>
      <w:r>
        <w:rPr>
          <w:rFonts w:hint="eastAsia" w:ascii="仿宋_GB2312" w:hAnsi="仿宋_GB2312" w:eastAsia="仿宋_GB2312" w:cs="仿宋_GB2312"/>
          <w:color w:val="000000"/>
          <w:kern w:val="0"/>
          <w:sz w:val="32"/>
          <w:szCs w:val="32"/>
          <w:highlight w:val="none"/>
          <w:lang w:val="zh-CN"/>
        </w:rPr>
        <w:t>在不影响保护自然保护区的自然环境和自然资源的前提下，</w:t>
      </w:r>
      <w:r>
        <w:rPr>
          <w:rFonts w:hint="eastAsia" w:ascii="仿宋_GB2312" w:hAnsi="仿宋_GB2312" w:eastAsia="仿宋_GB2312" w:cs="仿宋_GB2312"/>
          <w:color w:val="000000"/>
          <w:kern w:val="0"/>
          <w:sz w:val="32"/>
          <w:szCs w:val="32"/>
          <w:highlight w:val="none"/>
          <w:lang w:val="en-US" w:eastAsia="zh-CN"/>
        </w:rPr>
        <w:t>协助</w:t>
      </w:r>
      <w:r>
        <w:rPr>
          <w:rFonts w:hint="eastAsia" w:ascii="仿宋_GB2312" w:hAnsi="仿宋_GB2312" w:eastAsia="仿宋_GB2312" w:cs="仿宋_GB2312"/>
          <w:color w:val="000000"/>
          <w:kern w:val="0"/>
          <w:sz w:val="32"/>
          <w:szCs w:val="32"/>
          <w:highlight w:val="none"/>
          <w:lang w:val="zh-CN"/>
        </w:rPr>
        <w:t>开展参观、旅游等活动。</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000000"/>
          <w:kern w:val="0"/>
          <w:sz w:val="32"/>
          <w:szCs w:val="24"/>
        </w:rPr>
      </w:pPr>
      <w:r>
        <w:rPr>
          <w:rFonts w:hint="eastAsia" w:ascii="黑体" w:hAnsi="黑体" w:eastAsia="黑体" w:cs="黑体"/>
          <w:color w:val="000000"/>
          <w:kern w:val="0"/>
          <w:sz w:val="32"/>
          <w:szCs w:val="24"/>
        </w:rPr>
        <w:t>二、年度重点工作</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 部署推进水生生物资源保护工作。我单位高度重视全市水产种质资源保护及以长江江豚为代表的珍贵、濒危水生野生动物保护工作，要求各县市区在思想上对长江江豚及水产种质资源保护工作要高度重视；要进一步加强水生生物保护队伍建设，认真做好日常巡护救护、打击非法捕捞、涉水工程监管、禁捕区社会船舶清理、物种监测及宣传工作等相关工作。</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2. 做好水生生物保护宣传工作。我单位通过发放宣传资料、悬挂标语横幅、设置广告宣传牌、公布长江江豚保护救护电话，更换宣传牌、印制宣传手册等方式，广泛宣传水产种质资源保护及长江江豚保护的重要性，加强了与媒体的合作与联系，主动提供新闻素材，积极邀请媒体进行宣传报道，对舆论进行正面引导。</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3. 常态化开展保护区日常巡查救护工作。全年共开展保护区巡查150余次。通过日常巡查，成功救护长江江豚2头。</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 针对长江江豚活动区域的锚鱼、路亚、海钓、丝网等危害长江江豚的非法捕捞行为，参与相关部门的多次联合专项行动，严厉打击涉水生生物保护区非法捕捞行为。用技术支撑相关执法部门的行政执法活动，核查、核准非法捕捞案发地是否在保护区范围，全年共出具证明文书50余份。</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5. 开展了水生生物人工增殖放流活动，在保护区水域投放了鲴鱼苗约5万尾，5月和9月，我单位联合省水产科学研究所开展洞庭湖枯水期水生生物监测工作，评价禁捕退捕及水生生物增殖放流效果。同时组织了两次农业水生野生植物暨外来物种的监测、实地勘察、调研活动。9月我单位参加农业农村部组织的长江流域宜昌至城陵矶段的长江江豚科学考察工作，并全程协助完成2022年洞庭湖区域长江江豚科学考察活动。</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000000"/>
          <w:kern w:val="0"/>
          <w:sz w:val="32"/>
          <w:szCs w:val="24"/>
        </w:rPr>
      </w:pPr>
      <w:r>
        <w:rPr>
          <w:rFonts w:hint="eastAsia" w:ascii="黑体" w:hAnsi="黑体" w:eastAsia="黑体" w:cs="黑体"/>
          <w:color w:val="000000"/>
          <w:kern w:val="0"/>
          <w:sz w:val="32"/>
          <w:szCs w:val="24"/>
        </w:rPr>
        <w:t>三、单位整体收支情况</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（一）收入情况：我单位全年收入276.02万元，其中：财政拨款收入276.02万元，占总收入的100%。</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（二）支出情况：全年支出276.16万元，其中：基本支出98.30万元（其中，工资福利支出91.28万元，商品和服务支出7.02万元），项目支出177.86万元。</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000000"/>
          <w:kern w:val="0"/>
          <w:sz w:val="32"/>
          <w:szCs w:val="24"/>
        </w:rPr>
      </w:pPr>
      <w:r>
        <w:rPr>
          <w:rFonts w:hint="eastAsia" w:ascii="黑体" w:hAnsi="黑体" w:eastAsia="黑体" w:cs="黑体"/>
          <w:color w:val="000000"/>
          <w:kern w:val="0"/>
          <w:sz w:val="32"/>
          <w:szCs w:val="24"/>
        </w:rPr>
        <w:t>四、部门（单位）整体支出管理及绩效情况</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（一）部门整体支出情况分析</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1、2022年我单位支出合计276.16万元，其中：基本支出98.30万元，占总支出35.60% ；项目支出177.86万元，占总支出的64.40%。</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2、2022年我单位“三公”经费支出预算为2.06万元，支出决算为2.06万元，完成预算的100%，与上年相比减少1.30万元，减少38.70%，主要原因是认真贯彻落实中央“八项规定”精神和厉行节约要求，控制“三公”经费开支。其中：公务接待费2.06万元，公务用车购置费及运行维护费0万元，因公出国费用0万元。</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专项资金使用情况分析。专项资金年初预算数为0，全年预算数202.32万元，全年共支出177.86万元。</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4、固定资产管理情况分析。我单位建立固定资产管理台账，坚持厉行节约、物尽其用的原则，按时对固定资产进行了盘点清理，资产使用率100%。截止2022年12月31日，固定资产原值总额236.68万元。</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5、年末结转结余资金分析。截止2022年12月31日，累计结转结余0万元。</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（二）部门整体支出管理情况分析</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1、严格预算支出管理。人员经费按照配置定额，公用经费按定额编制，从严控制“三公”经费，压缩公务费开支，按照预算科目和项目资金的规定使用财政资金，保障单位支出的规范化、制度化。</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2、财务管理按制度运行。依据有关法律法规，我单位制定了相关财务管理制度，并按照制度管理和执行，防范风险，保证财政资金的安全和高效运行。</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000000"/>
          <w:kern w:val="0"/>
          <w:sz w:val="32"/>
          <w:szCs w:val="24"/>
        </w:rPr>
      </w:pPr>
      <w:r>
        <w:rPr>
          <w:rFonts w:hint="eastAsia" w:ascii="黑体" w:hAnsi="黑体" w:eastAsia="黑体" w:cs="黑体"/>
          <w:color w:val="000000"/>
          <w:kern w:val="0"/>
          <w:sz w:val="32"/>
          <w:szCs w:val="24"/>
        </w:rPr>
        <w:t>五、存在的问题及工作努力的方向</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预算编制有待更严格执行，专项支出有待进一步加强。今后将借助岗位培训学习等途径，强化预算人员的素质能力，以提高预算管理的质量水平，在以后的工作更加严格按照预算规定支出，加强内控管理，把有限的资金用在刀刃上，切实发挥资金使用效益。</w:t>
      </w:r>
    </w:p>
    <w:p>
      <w:pPr>
        <w:widowControl/>
        <w:spacing w:after="120" w:afterLines="50"/>
        <w:jc w:val="center"/>
        <w:rPr>
          <w:rFonts w:hint="eastAsia" w:ascii="方正小标宋简体" w:hAnsi="方正小标宋简体" w:eastAsia="方正小标宋简体" w:cs="方正小标宋简体"/>
          <w:color w:val="000000"/>
          <w:sz w:val="36"/>
          <w:szCs w:val="36"/>
        </w:rPr>
      </w:pPr>
    </w:p>
    <w:p>
      <w:pPr>
        <w:widowControl/>
        <w:spacing w:after="120" w:afterLines="50"/>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w:t>
      </w:r>
      <w:r>
        <w:rPr>
          <w:rFonts w:hint="eastAsia" w:ascii="方正小标宋简体" w:hAnsi="方正小标宋简体" w:eastAsia="方正小标宋简体" w:cs="方正小标宋简体"/>
          <w:color w:val="000000"/>
          <w:sz w:val="36"/>
          <w:szCs w:val="36"/>
          <w:lang w:val="en-US" w:eastAsia="zh-CN"/>
        </w:rPr>
        <w:t>2</w:t>
      </w:r>
      <w:r>
        <w:rPr>
          <w:rFonts w:hint="eastAsia" w:ascii="方正小标宋简体" w:hAnsi="方正小标宋简体" w:eastAsia="方正小标宋简体" w:cs="方正小标宋简体"/>
          <w:color w:val="000000"/>
          <w:sz w:val="36"/>
          <w:szCs w:val="36"/>
        </w:rPr>
        <w:t>年度部门整体支出绩效自评表</w:t>
      </w:r>
    </w:p>
    <w:tbl>
      <w:tblPr>
        <w:tblStyle w:val="6"/>
        <w:tblW w:w="10000" w:type="dxa"/>
        <w:jc w:val="center"/>
        <w:tblLayout w:type="fixed"/>
        <w:tblCellMar>
          <w:top w:w="0" w:type="dxa"/>
          <w:left w:w="108" w:type="dxa"/>
          <w:bottom w:w="0" w:type="dxa"/>
          <w:right w:w="108" w:type="dxa"/>
        </w:tblCellMar>
      </w:tblPr>
      <w:tblGrid>
        <w:gridCol w:w="1056"/>
        <w:gridCol w:w="1131"/>
        <w:gridCol w:w="1031"/>
        <w:gridCol w:w="1275"/>
        <w:gridCol w:w="1238"/>
        <w:gridCol w:w="1331"/>
        <w:gridCol w:w="731"/>
        <w:gridCol w:w="919"/>
        <w:gridCol w:w="1288"/>
      </w:tblGrid>
      <w:tr>
        <w:tblPrEx>
          <w:tblCellMar>
            <w:top w:w="0" w:type="dxa"/>
            <w:left w:w="108" w:type="dxa"/>
            <w:bottom w:w="0" w:type="dxa"/>
            <w:right w:w="108" w:type="dxa"/>
          </w:tblCellMar>
        </w:tblPrEx>
        <w:trPr>
          <w:jc w:val="center"/>
        </w:trPr>
        <w:tc>
          <w:tcPr>
            <w:tcW w:w="105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部门名称</w:t>
            </w:r>
          </w:p>
        </w:tc>
        <w:tc>
          <w:tcPr>
            <w:tcW w:w="8944" w:type="dxa"/>
            <w:gridSpan w:val="8"/>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岳阳市洞庭湖江豚保护中心</w:t>
            </w: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56" w:type="dxa"/>
            <w:vMerge w:val="restart"/>
            <w:tcBorders>
              <w:top w:val="nil"/>
              <w:left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年度预算申请</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2"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p>
        </w:tc>
        <w:tc>
          <w:tcPr>
            <w:tcW w:w="1275"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年初预算数</w:t>
            </w:r>
          </w:p>
        </w:tc>
        <w:tc>
          <w:tcPr>
            <w:tcW w:w="1238"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全年预算数</w:t>
            </w:r>
          </w:p>
        </w:tc>
        <w:tc>
          <w:tcPr>
            <w:tcW w:w="1331"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全年执行数</w:t>
            </w:r>
          </w:p>
        </w:tc>
        <w:tc>
          <w:tcPr>
            <w:tcW w:w="731"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919"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288"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56"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2162" w:type="dxa"/>
            <w:gridSpan w:val="2"/>
            <w:tcBorders>
              <w:top w:val="nil"/>
              <w:left w:val="nil"/>
              <w:bottom w:val="single" w:color="auto" w:sz="4" w:space="0"/>
              <w:right w:val="single" w:color="auto" w:sz="4" w:space="0"/>
            </w:tcBorders>
            <w:noWrap w:val="0"/>
            <w:vAlign w:val="center"/>
          </w:tcPr>
          <w:p>
            <w:pPr>
              <w:spacing w:line="240" w:lineRule="exact"/>
              <w:ind w:left="0" w:leftChars="0" w:firstLine="0" w:firstLineChars="0"/>
              <w:jc w:val="both"/>
              <w:rPr>
                <w:rFonts w:hint="eastAsia" w:ascii="仿宋_GB2312" w:hAnsi="仿宋_GB2312" w:eastAsia="仿宋_GB2312" w:cs="仿宋_GB2312"/>
                <w:sz w:val="20"/>
                <w:szCs w:val="20"/>
              </w:rPr>
            </w:pPr>
            <w:r>
              <w:rPr>
                <w:rFonts w:hint="eastAsia" w:ascii="仿宋_GB2312" w:hAnsi="仿宋_GB2312" w:eastAsia="仿宋_GB2312" w:cs="仿宋_GB2312"/>
                <w:color w:val="000000"/>
                <w:sz w:val="20"/>
                <w:szCs w:val="20"/>
              </w:rPr>
              <w:t>年度资金总额</w:t>
            </w:r>
          </w:p>
        </w:tc>
        <w:tc>
          <w:tcPr>
            <w:tcW w:w="1275"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81.30</w:t>
            </w:r>
          </w:p>
        </w:tc>
        <w:tc>
          <w:tcPr>
            <w:tcW w:w="1238"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default" w:ascii="仿宋_GB2312" w:hAnsi="仿宋_GB2312" w:eastAsia="仿宋_GB2312" w:cs="仿宋_GB2312"/>
                <w:sz w:val="20"/>
                <w:szCs w:val="20"/>
                <w:lang w:val="en-US" w:eastAsia="zh-CN"/>
              </w:rPr>
            </w:pPr>
            <w:r>
              <w:rPr>
                <w:rFonts w:hint="eastAsia" w:ascii="仿宋_GB2312" w:hAnsi="仿宋_GB2312" w:cs="仿宋_GB2312"/>
                <w:sz w:val="20"/>
                <w:szCs w:val="20"/>
                <w:lang w:val="en-US" w:eastAsia="zh-CN"/>
              </w:rPr>
              <w:t>300.62</w:t>
            </w:r>
          </w:p>
        </w:tc>
        <w:tc>
          <w:tcPr>
            <w:tcW w:w="1331"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276.16</w:t>
            </w:r>
          </w:p>
        </w:tc>
        <w:tc>
          <w:tcPr>
            <w:tcW w:w="731"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919"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default" w:ascii="仿宋_GB2312" w:hAnsi="仿宋_GB2312" w:eastAsia="仿宋_GB2312" w:cs="仿宋_GB2312"/>
                <w:sz w:val="20"/>
                <w:szCs w:val="20"/>
                <w:lang w:val="en-US" w:eastAsia="zh-CN"/>
              </w:rPr>
            </w:pPr>
            <w:r>
              <w:rPr>
                <w:rFonts w:hint="eastAsia" w:ascii="仿宋_GB2312" w:hAnsi="仿宋_GB2312" w:cs="仿宋_GB2312"/>
                <w:sz w:val="20"/>
                <w:szCs w:val="20"/>
                <w:lang w:val="en-US" w:eastAsia="zh-CN"/>
              </w:rPr>
              <w:t>91.91%</w:t>
            </w:r>
          </w:p>
        </w:tc>
        <w:tc>
          <w:tcPr>
            <w:tcW w:w="1288" w:type="dxa"/>
            <w:tcBorders>
              <w:top w:val="nil"/>
              <w:left w:val="nil"/>
              <w:bottom w:val="single" w:color="auto" w:sz="4" w:space="0"/>
              <w:right w:val="single" w:color="auto" w:sz="4" w:space="0"/>
            </w:tcBorders>
            <w:noWrap w:val="0"/>
            <w:vAlign w:val="center"/>
          </w:tcPr>
          <w:p>
            <w:pPr>
              <w:spacing w:line="240" w:lineRule="exact"/>
              <w:ind w:left="0" w:leftChars="0" w:firstLine="0" w:firstLineChars="0"/>
              <w:jc w:val="center"/>
              <w:rPr>
                <w:rFonts w:hint="default" w:ascii="仿宋_GB2312" w:hAnsi="仿宋_GB2312" w:eastAsia="仿宋_GB2312" w:cs="仿宋_GB2312"/>
                <w:sz w:val="20"/>
                <w:szCs w:val="20"/>
                <w:lang w:val="en-US" w:eastAsia="zh-CN"/>
              </w:rPr>
            </w:pPr>
            <w:r>
              <w:rPr>
                <w:rFonts w:hint="eastAsia" w:ascii="仿宋_GB2312" w:hAnsi="仿宋_GB2312" w:cs="仿宋_GB2312"/>
                <w:sz w:val="20"/>
                <w:szCs w:val="20"/>
                <w:lang w:val="en-US" w:eastAsia="zh-CN"/>
              </w:rPr>
              <w:t>9.2</w:t>
            </w: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7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按收入性质分：</w:t>
            </w:r>
          </w:p>
        </w:tc>
        <w:tc>
          <w:tcPr>
            <w:tcW w:w="42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按支出性质分：</w:t>
            </w: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7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其中：  一般公共预算：</w:t>
            </w:r>
            <w:r>
              <w:rPr>
                <w:rFonts w:hint="eastAsia" w:ascii="仿宋_GB2312" w:hAnsi="仿宋_GB2312" w:cs="仿宋_GB2312"/>
                <w:color w:val="000000"/>
                <w:sz w:val="20"/>
                <w:szCs w:val="20"/>
                <w:lang w:val="en-US" w:eastAsia="zh-CN"/>
              </w:rPr>
              <w:t>276.02</w:t>
            </w:r>
          </w:p>
        </w:tc>
        <w:tc>
          <w:tcPr>
            <w:tcW w:w="42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其中：</w:t>
            </w: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75" w:type="dxa"/>
            <w:gridSpan w:val="4"/>
            <w:tcBorders>
              <w:top w:val="nil"/>
              <w:left w:val="nil"/>
              <w:bottom w:val="single" w:color="auto" w:sz="4" w:space="0"/>
              <w:right w:val="single" w:color="auto" w:sz="4" w:space="0"/>
            </w:tcBorders>
            <w:noWrap w:val="0"/>
            <w:vAlign w:val="center"/>
          </w:tcPr>
          <w:p>
            <w:pPr>
              <w:widowControl/>
              <w:spacing w:line="240" w:lineRule="exact"/>
              <w:ind w:firstLine="1200" w:firstLineChars="6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政府性基金拨款：</w:t>
            </w:r>
          </w:p>
        </w:tc>
        <w:tc>
          <w:tcPr>
            <w:tcW w:w="4269" w:type="dxa"/>
            <w:gridSpan w:val="4"/>
            <w:tcBorders>
              <w:top w:val="nil"/>
              <w:left w:val="nil"/>
              <w:bottom w:val="single" w:color="auto" w:sz="4" w:space="0"/>
              <w:right w:val="single" w:color="auto" w:sz="4" w:space="0"/>
            </w:tcBorders>
            <w:noWrap w:val="0"/>
            <w:vAlign w:val="center"/>
          </w:tcPr>
          <w:p>
            <w:pPr>
              <w:widowControl/>
              <w:spacing w:line="240" w:lineRule="exact"/>
              <w:ind w:firstLine="1000" w:firstLineChars="500"/>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基本支出：</w:t>
            </w:r>
            <w:r>
              <w:rPr>
                <w:rFonts w:hint="eastAsia" w:ascii="仿宋_GB2312" w:hAnsi="仿宋_GB2312" w:eastAsia="仿宋_GB2312" w:cs="仿宋_GB2312"/>
                <w:color w:val="000000"/>
                <w:sz w:val="20"/>
                <w:szCs w:val="20"/>
                <w:lang w:val="en-US" w:eastAsia="zh-CN"/>
              </w:rPr>
              <w:t>98.30</w:t>
            </w: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75" w:type="dxa"/>
            <w:gridSpan w:val="4"/>
            <w:tcBorders>
              <w:top w:val="nil"/>
              <w:left w:val="nil"/>
              <w:bottom w:val="single" w:color="auto" w:sz="4" w:space="0"/>
              <w:right w:val="single" w:color="auto" w:sz="4" w:space="0"/>
            </w:tcBorders>
            <w:noWrap w:val="0"/>
            <w:vAlign w:val="center"/>
          </w:tcPr>
          <w:p>
            <w:pPr>
              <w:widowControl/>
              <w:spacing w:line="240" w:lineRule="exact"/>
              <w:ind w:firstLine="1200" w:firstLineChars="6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纳入专户管理的非税收入拨款：</w:t>
            </w:r>
          </w:p>
        </w:tc>
        <w:tc>
          <w:tcPr>
            <w:tcW w:w="42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 xml:space="preserve">      </w:t>
            </w:r>
            <w:r>
              <w:rPr>
                <w:rFonts w:hint="eastAsia" w:ascii="仿宋_GB2312" w:hAnsi="仿宋_GB2312" w:eastAsia="仿宋_GB2312" w:cs="仿宋_GB2312"/>
                <w:color w:val="000000"/>
                <w:sz w:val="20"/>
                <w:szCs w:val="20"/>
              </w:rPr>
              <w:t>项目支出：</w:t>
            </w:r>
            <w:r>
              <w:rPr>
                <w:rFonts w:hint="eastAsia" w:ascii="仿宋_GB2312" w:hAnsi="仿宋_GB2312" w:eastAsia="仿宋_GB2312" w:cs="仿宋_GB2312"/>
                <w:color w:val="000000"/>
                <w:sz w:val="20"/>
                <w:szCs w:val="20"/>
                <w:lang w:val="en-US" w:eastAsia="zh-CN"/>
              </w:rPr>
              <w:t>177.86</w:t>
            </w:r>
          </w:p>
        </w:tc>
      </w:tr>
      <w:tr>
        <w:tblPrEx>
          <w:tblCellMar>
            <w:top w:w="0" w:type="dxa"/>
            <w:left w:w="108" w:type="dxa"/>
            <w:bottom w:w="0" w:type="dxa"/>
            <w:right w:w="108" w:type="dxa"/>
          </w:tblCellMar>
        </w:tblPrEx>
        <w:trPr>
          <w:jc w:val="center"/>
        </w:trPr>
        <w:tc>
          <w:tcPr>
            <w:tcW w:w="105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75" w:type="dxa"/>
            <w:gridSpan w:val="4"/>
            <w:tcBorders>
              <w:top w:val="nil"/>
              <w:left w:val="nil"/>
              <w:bottom w:val="single" w:color="auto" w:sz="4" w:space="0"/>
              <w:right w:val="single" w:color="auto" w:sz="4" w:space="0"/>
            </w:tcBorders>
            <w:noWrap w:val="0"/>
            <w:vAlign w:val="center"/>
          </w:tcPr>
          <w:p>
            <w:pPr>
              <w:widowControl/>
              <w:spacing w:line="240" w:lineRule="exact"/>
              <w:ind w:firstLine="1200" w:firstLineChars="600"/>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其他资金：</w:t>
            </w:r>
            <w:r>
              <w:rPr>
                <w:rFonts w:hint="eastAsia" w:ascii="仿宋_GB2312" w:hAnsi="仿宋_GB2312" w:eastAsia="仿宋_GB2312" w:cs="仿宋_GB2312"/>
                <w:color w:val="000000"/>
                <w:sz w:val="20"/>
                <w:szCs w:val="20"/>
                <w:lang w:val="en-US" w:eastAsia="zh-CN"/>
              </w:rPr>
              <w:t>0.14</w:t>
            </w:r>
          </w:p>
        </w:tc>
        <w:tc>
          <w:tcPr>
            <w:tcW w:w="4269" w:type="dxa"/>
            <w:gridSpan w:val="4"/>
            <w:tcBorders>
              <w:top w:val="nil"/>
              <w:left w:val="nil"/>
              <w:bottom w:val="single" w:color="auto" w:sz="4" w:space="0"/>
              <w:right w:val="single" w:color="auto" w:sz="4" w:space="0"/>
            </w:tcBorders>
            <w:noWrap w:val="0"/>
            <w:vAlign w:val="center"/>
          </w:tcPr>
          <w:p>
            <w:pPr>
              <w:widowControl/>
              <w:spacing w:line="240" w:lineRule="exact"/>
              <w:ind w:firstLine="1000" w:firstLineChars="500"/>
              <w:jc w:val="left"/>
              <w:rPr>
                <w:rFonts w:hint="eastAsia" w:ascii="仿宋_GB2312" w:hAnsi="仿宋_GB2312" w:eastAsia="仿宋_GB2312" w:cs="仿宋_GB2312"/>
                <w:color w:val="000000"/>
                <w:sz w:val="20"/>
                <w:szCs w:val="20"/>
              </w:rPr>
            </w:pPr>
            <w:r>
              <w:rPr>
                <w:rFonts w:hint="eastAsia" w:ascii="仿宋_GB2312" w:hAnsi="仿宋_GB2312" w:cs="仿宋_GB2312"/>
                <w:color w:val="000000"/>
                <w:sz w:val="20"/>
                <w:szCs w:val="20"/>
                <w:lang w:val="en-US" w:eastAsia="zh-CN"/>
              </w:rPr>
              <w:t>经营支出 ：</w:t>
            </w:r>
          </w:p>
        </w:tc>
      </w:tr>
      <w:tr>
        <w:tblPrEx>
          <w:tblCellMar>
            <w:top w:w="0" w:type="dxa"/>
            <w:left w:w="108" w:type="dxa"/>
            <w:bottom w:w="0" w:type="dxa"/>
            <w:right w:w="108" w:type="dxa"/>
          </w:tblCellMar>
        </w:tblPrEx>
        <w:trPr>
          <w:jc w:val="center"/>
        </w:trPr>
        <w:tc>
          <w:tcPr>
            <w:tcW w:w="105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67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cs="仿宋_GB2312"/>
                <w:color w:val="000000"/>
                <w:sz w:val="20"/>
                <w:szCs w:val="20"/>
                <w:lang w:eastAsia="zh-CN"/>
              </w:rPr>
              <w:t>年初设定</w:t>
            </w:r>
            <w:r>
              <w:rPr>
                <w:rFonts w:hint="eastAsia" w:ascii="仿宋_GB2312" w:hAnsi="仿宋_GB2312" w:eastAsia="仿宋_GB2312" w:cs="仿宋_GB2312"/>
                <w:color w:val="000000"/>
                <w:sz w:val="20"/>
                <w:szCs w:val="20"/>
              </w:rPr>
              <w:t>目标</w:t>
            </w:r>
          </w:p>
        </w:tc>
        <w:tc>
          <w:tcPr>
            <w:tcW w:w="4269"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cs="仿宋_GB2312"/>
                <w:color w:val="000000"/>
                <w:sz w:val="20"/>
                <w:szCs w:val="20"/>
                <w:lang w:eastAsia="zh-CN"/>
              </w:rPr>
              <w:t>全年</w:t>
            </w: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5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75"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firstLine="400" w:firstLineChars="200"/>
              <w:jc w:val="both"/>
              <w:textAlignment w:val="auto"/>
              <w:rPr>
                <w:rFonts w:hint="eastAsia" w:ascii="仿宋_GB2312" w:hAnsi="仿宋_GB2312" w:eastAsia="仿宋_GB2312" w:cs="仿宋_GB2312"/>
                <w:b w:val="0"/>
                <w:bCs w:val="0"/>
                <w:sz w:val="20"/>
                <w:szCs w:val="20"/>
                <w:lang w:val="en-US" w:eastAsia="zh-CN"/>
              </w:rPr>
            </w:pPr>
            <w:r>
              <w:rPr>
                <w:rFonts w:hint="eastAsia" w:ascii="仿宋_GB2312" w:hAnsi="仿宋_GB2312" w:eastAsia="仿宋_GB2312" w:cs="仿宋_GB2312"/>
                <w:b w:val="0"/>
                <w:bCs w:val="0"/>
                <w:sz w:val="20"/>
                <w:szCs w:val="20"/>
                <w:lang w:val="en-US" w:eastAsia="zh-CN"/>
              </w:rPr>
              <w:t xml:space="preserve">1、完成水产种质资源保护区内水生生物资源及其生存环境的监测、资源养护和生态修复等工作；   </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b w:val="0"/>
                <w:bCs w:val="0"/>
                <w:sz w:val="20"/>
                <w:szCs w:val="20"/>
                <w:lang w:val="en-US" w:eastAsia="zh-CN"/>
              </w:rPr>
            </w:pPr>
            <w:r>
              <w:rPr>
                <w:rFonts w:hint="eastAsia" w:ascii="仿宋_GB2312" w:hAnsi="仿宋_GB2312" w:eastAsia="仿宋_GB2312" w:cs="仿宋_GB2312"/>
                <w:b w:val="0"/>
                <w:bCs w:val="0"/>
                <w:sz w:val="20"/>
                <w:szCs w:val="20"/>
                <w:lang w:val="en-US" w:eastAsia="zh-CN"/>
              </w:rPr>
              <w:t xml:space="preserve">2、完成保护区及长江岳阳段范围内珍贵、濒危水生野生动物保护及长江江豚的救护工作；     </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仿宋_GB2312" w:hAnsi="仿宋_GB2312" w:cs="仿宋_GB2312"/>
                <w:b w:val="0"/>
                <w:bCs w:val="0"/>
                <w:sz w:val="20"/>
                <w:szCs w:val="20"/>
                <w:lang w:val="en-US" w:eastAsia="zh-CN"/>
              </w:rPr>
            </w:pPr>
            <w:r>
              <w:rPr>
                <w:rFonts w:hint="eastAsia" w:ascii="仿宋_GB2312" w:hAnsi="仿宋_GB2312" w:eastAsia="仿宋_GB2312" w:cs="仿宋_GB2312"/>
                <w:b w:val="0"/>
                <w:bCs w:val="0"/>
                <w:sz w:val="20"/>
                <w:szCs w:val="20"/>
                <w:lang w:val="en-US" w:eastAsia="zh-CN"/>
              </w:rPr>
              <w:t xml:space="preserve">3、完成保护区范围内涉水涉渔工程项目及生态补偿资源和生态补偿措施落实的行政辅助工作；                                            </w:t>
            </w:r>
            <w:r>
              <w:rPr>
                <w:rFonts w:hint="eastAsia" w:ascii="仿宋_GB2312" w:hAnsi="仿宋_GB2312" w:cs="仿宋_GB2312"/>
                <w:b w:val="0"/>
                <w:bCs w:val="0"/>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b w:val="0"/>
                <w:bCs w:val="0"/>
                <w:sz w:val="20"/>
                <w:szCs w:val="20"/>
                <w:lang w:val="en-US" w:eastAsia="zh-CN"/>
              </w:rPr>
              <w:t>4、完成保护长江江豚和其他珍贵、濒危水生野生动物及水产种质资源保护区的宣传教育工作。</w:t>
            </w:r>
          </w:p>
        </w:tc>
        <w:tc>
          <w:tcPr>
            <w:tcW w:w="4269"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left="0" w:leftChars="0" w:firstLine="0" w:firstLineChars="0"/>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1.</w:t>
            </w:r>
            <w:r>
              <w:rPr>
                <w:rFonts w:hint="eastAsia" w:ascii="仿宋_GB2312" w:hAnsi="仿宋_GB2312" w:eastAsia="仿宋_GB2312" w:cs="仿宋_GB2312"/>
                <w:color w:val="000000"/>
                <w:sz w:val="20"/>
                <w:szCs w:val="20"/>
                <w:lang w:val="en-US" w:eastAsia="zh-CN"/>
              </w:rPr>
              <w:t>完成</w:t>
            </w:r>
            <w:r>
              <w:rPr>
                <w:rFonts w:hint="eastAsia" w:ascii="仿宋_GB2312" w:hAnsi="仿宋_GB2312" w:eastAsia="仿宋_GB2312" w:cs="仿宋_GB2312"/>
                <w:color w:val="000000"/>
                <w:sz w:val="20"/>
                <w:szCs w:val="20"/>
              </w:rPr>
              <w:t>水产种质资源保护区内水生生物资源及生存环境的监测1次，长江江豚生态科学考察1次，保护区内外来物种调查1次。</w:t>
            </w:r>
            <w:r>
              <w:rPr>
                <w:rFonts w:hint="eastAsia" w:ascii="仿宋_GB2312" w:hAnsi="仿宋_GB2312" w:eastAsia="仿宋_GB2312" w:cs="仿宋_GB2312"/>
                <w:color w:val="000000"/>
                <w:sz w:val="20"/>
                <w:szCs w:val="20"/>
                <w:lang w:val="en-US" w:eastAsia="zh-CN"/>
              </w:rPr>
              <w:t>合计3次。</w:t>
            </w:r>
            <w:r>
              <w:rPr>
                <w:rFonts w:hint="eastAsia" w:ascii="仿宋_GB2312" w:hAnsi="仿宋_GB2312" w:eastAsia="仿宋_GB2312" w:cs="仿宋_GB2312"/>
                <w:color w:val="000000"/>
                <w:sz w:val="20"/>
                <w:szCs w:val="20"/>
              </w:rPr>
              <w:t>2.开展资源养护行动，人工增殖放流1次，共放流鲴鱼苗</w:t>
            </w:r>
            <w:r>
              <w:rPr>
                <w:rFonts w:hint="eastAsia" w:ascii="仿宋_GB2312" w:hAnsi="仿宋_GB2312" w:eastAsia="仿宋_GB2312" w:cs="仿宋_GB2312"/>
                <w:color w:val="000000"/>
                <w:sz w:val="20"/>
                <w:szCs w:val="20"/>
                <w:lang w:val="en-US" w:eastAsia="zh-CN"/>
              </w:rPr>
              <w:t>4.8</w:t>
            </w:r>
            <w:r>
              <w:rPr>
                <w:rFonts w:hint="eastAsia" w:ascii="仿宋_GB2312" w:hAnsi="仿宋_GB2312" w:eastAsia="仿宋_GB2312" w:cs="仿宋_GB2312"/>
                <w:color w:val="000000"/>
                <w:sz w:val="20"/>
                <w:szCs w:val="20"/>
              </w:rPr>
              <w:t>万尾。3.</w:t>
            </w:r>
            <w:r>
              <w:rPr>
                <w:rFonts w:hint="eastAsia" w:ascii="仿宋_GB2312" w:hAnsi="仿宋_GB2312" w:eastAsia="仿宋_GB2312" w:cs="仿宋_GB2312"/>
                <w:color w:val="000000"/>
                <w:sz w:val="20"/>
                <w:szCs w:val="20"/>
                <w:lang w:val="en-US" w:eastAsia="zh-CN"/>
              </w:rPr>
              <w:t>完成</w:t>
            </w:r>
            <w:r>
              <w:rPr>
                <w:rFonts w:hint="eastAsia" w:ascii="仿宋_GB2312" w:hAnsi="仿宋_GB2312" w:eastAsia="仿宋_GB2312" w:cs="仿宋_GB2312"/>
                <w:color w:val="000000"/>
                <w:sz w:val="20"/>
                <w:szCs w:val="20"/>
              </w:rPr>
              <w:t>“东洞庭湖长江江豚等水生野生动植物生态修复工程项目”</w:t>
            </w:r>
            <w:r>
              <w:rPr>
                <w:rFonts w:hint="eastAsia" w:ascii="仿宋_GB2312" w:hAnsi="仿宋_GB2312" w:eastAsia="仿宋_GB2312" w:cs="仿宋_GB2312"/>
                <w:color w:val="000000"/>
                <w:sz w:val="20"/>
                <w:szCs w:val="20"/>
                <w:lang w:val="en-US" w:eastAsia="zh-CN"/>
              </w:rPr>
              <w:t>的申报，并</w:t>
            </w:r>
            <w:r>
              <w:rPr>
                <w:rFonts w:hint="eastAsia" w:ascii="仿宋_GB2312" w:hAnsi="仿宋_GB2312" w:eastAsia="仿宋_GB2312" w:cs="仿宋_GB2312"/>
                <w:color w:val="000000"/>
                <w:sz w:val="20"/>
                <w:szCs w:val="20"/>
              </w:rPr>
              <w:t>获批。4.开展长江江豚等水生野生动物救护工作。通过加强保护区巡查，对长江江豚主要活动区域坚持每天开展一到两次的巡湖活动，已成功救护长江江豚</w:t>
            </w:r>
            <w:r>
              <w:rPr>
                <w:rFonts w:hint="eastAsia" w:ascii="仿宋_GB2312" w:hAnsi="仿宋_GB2312" w:eastAsia="仿宋_GB2312" w:cs="仿宋_GB2312"/>
                <w:color w:val="000000"/>
                <w:sz w:val="20"/>
                <w:szCs w:val="20"/>
                <w:lang w:val="en-US" w:eastAsia="zh-CN"/>
              </w:rPr>
              <w:t>2</w:t>
            </w:r>
            <w:r>
              <w:rPr>
                <w:rFonts w:hint="eastAsia" w:ascii="仿宋_GB2312" w:hAnsi="仿宋_GB2312" w:eastAsia="仿宋_GB2312" w:cs="仿宋_GB2312"/>
                <w:color w:val="000000"/>
                <w:sz w:val="20"/>
                <w:szCs w:val="20"/>
              </w:rPr>
              <w:t>头。</w:t>
            </w:r>
            <w:r>
              <w:rPr>
                <w:rFonts w:hint="eastAsia" w:ascii="仿宋_GB2312" w:hAnsi="仿宋_GB2312" w:eastAsia="仿宋_GB2312" w:cs="仿宋_GB2312"/>
                <w:color w:val="000000"/>
                <w:sz w:val="20"/>
                <w:szCs w:val="20"/>
                <w:lang w:val="en-US" w:eastAsia="zh-CN"/>
              </w:rPr>
              <w:t>5.通过</w:t>
            </w:r>
            <w:r>
              <w:rPr>
                <w:rFonts w:hint="eastAsia" w:ascii="仿宋_GB2312" w:hAnsi="仿宋_GB2312" w:eastAsia="仿宋_GB2312" w:cs="仿宋_GB2312"/>
                <w:color w:val="000000"/>
                <w:sz w:val="20"/>
                <w:szCs w:val="20"/>
              </w:rPr>
              <w:t>发放宣传资料、悬挂标语横幅、设置广告宣传牌、公布长江江豚保护救护电话，更换宣传牌、印制宣传手册等方式，广泛宣传水产种质资源保护及长江江豚保护的重要性</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lang w:val="en-US" w:eastAsia="zh-CN"/>
              </w:rPr>
              <w:t>6.</w:t>
            </w:r>
            <w:r>
              <w:rPr>
                <w:rFonts w:hint="eastAsia" w:ascii="仿宋_GB2312" w:hAnsi="仿宋_GB2312" w:eastAsia="仿宋_GB2312" w:cs="仿宋_GB2312"/>
                <w:color w:val="000000"/>
                <w:sz w:val="20"/>
                <w:szCs w:val="20"/>
              </w:rPr>
              <w:t>落实生态补偿资金</w:t>
            </w:r>
            <w:r>
              <w:rPr>
                <w:rFonts w:hint="eastAsia" w:ascii="仿宋_GB2312" w:hAnsi="仿宋_GB2312" w:eastAsia="仿宋_GB2312" w:cs="仿宋_GB2312"/>
                <w:color w:val="000000"/>
                <w:sz w:val="20"/>
                <w:szCs w:val="20"/>
                <w:lang w:val="en-US" w:eastAsia="zh-CN"/>
              </w:rPr>
              <w:t>319万元。</w:t>
            </w:r>
          </w:p>
          <w:p>
            <w:pPr>
              <w:widowControl/>
              <w:spacing w:line="240" w:lineRule="exact"/>
              <w:jc w:val="left"/>
              <w:rPr>
                <w:rFonts w:hint="default" w:ascii="仿宋_GB2312" w:hAnsi="仿宋_GB2312" w:eastAsia="仿宋_GB2312" w:cs="仿宋_GB2312"/>
                <w:color w:val="000000"/>
                <w:sz w:val="20"/>
                <w:szCs w:val="20"/>
                <w:lang w:val="en-US" w:eastAsia="zh-CN"/>
              </w:rPr>
            </w:pPr>
          </w:p>
        </w:tc>
      </w:tr>
      <w:tr>
        <w:tblPrEx>
          <w:tblCellMar>
            <w:top w:w="0" w:type="dxa"/>
            <w:left w:w="108" w:type="dxa"/>
            <w:bottom w:w="0" w:type="dxa"/>
            <w:right w:w="108" w:type="dxa"/>
          </w:tblCellMar>
        </w:tblPrEx>
        <w:trPr>
          <w:trHeight w:val="458" w:hRule="atLeast"/>
          <w:jc w:val="center"/>
        </w:trPr>
        <w:tc>
          <w:tcPr>
            <w:tcW w:w="1056" w:type="dxa"/>
            <w:vMerge w:val="restart"/>
            <w:tcBorders>
              <w:top w:val="nil"/>
              <w:left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绩效指标</w:t>
            </w:r>
          </w:p>
          <w:p>
            <w:pPr>
              <w:widowControl/>
              <w:spacing w:line="240" w:lineRule="exact"/>
              <w:jc w:val="center"/>
              <w:rPr>
                <w:rFonts w:hint="eastAsia" w:ascii="仿宋_GB2312" w:hAnsi="仿宋_GB2312" w:eastAsia="仿宋_GB2312" w:cs="仿宋_GB2312"/>
                <w:color w:val="000000"/>
                <w:sz w:val="20"/>
                <w:szCs w:val="20"/>
              </w:rPr>
            </w:pPr>
          </w:p>
        </w:tc>
        <w:tc>
          <w:tcPr>
            <w:tcW w:w="11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75"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238"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年度指标值</w:t>
            </w:r>
          </w:p>
        </w:tc>
        <w:tc>
          <w:tcPr>
            <w:tcW w:w="13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实际完成值</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288"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40" w:lineRule="exact"/>
              <w:jc w:val="center"/>
              <w:rPr>
                <w:rFonts w:hint="eastAsia" w:ascii="仿宋_GB2312" w:hAnsi="仿宋_GB2312" w:eastAsia="仿宋_GB2312" w:cs="仿宋_GB2312"/>
                <w:color w:val="000000"/>
                <w:sz w:val="20"/>
                <w:szCs w:val="20"/>
              </w:rPr>
            </w:pPr>
          </w:p>
          <w:p>
            <w:pPr>
              <w:widowControl/>
              <w:spacing w:line="240" w:lineRule="exact"/>
              <w:ind w:left="0" w:leftChars="0" w:firstLine="0" w:firstLineChars="0"/>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3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配合科研单位开展江豚种群调查</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调查不少于1次</w:t>
            </w:r>
          </w:p>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eastAsia="仿宋_GB2312"/>
                <w:kern w:val="0"/>
                <w:sz w:val="20"/>
                <w:szCs w:val="20"/>
              </w:rPr>
            </w:pPr>
          </w:p>
        </w:tc>
        <w:tc>
          <w:tcPr>
            <w:tcW w:w="13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2次</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2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对保护区进行常态化巡查</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lang w:eastAsia="zh-CN"/>
              </w:rPr>
              <w:t>适航条件下</w:t>
            </w:r>
            <w:r>
              <w:rPr>
                <w:rFonts w:hint="eastAsia" w:eastAsia="仿宋_GB2312"/>
                <w:kern w:val="0"/>
                <w:sz w:val="20"/>
                <w:szCs w:val="20"/>
              </w:rPr>
              <w:t>做到每日巡查</w:t>
            </w:r>
          </w:p>
        </w:tc>
        <w:tc>
          <w:tcPr>
            <w:tcW w:w="13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95%以上</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9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cs="仿宋_GB2312"/>
                <w:color w:val="000000"/>
                <w:sz w:val="20"/>
                <w:szCs w:val="20"/>
                <w:lang w:val="en-US" w:eastAsia="zh-CN"/>
              </w:rPr>
              <w:t>10</w:t>
            </w:r>
          </w:p>
        </w:tc>
        <w:tc>
          <w:tcPr>
            <w:tcW w:w="128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kern w:val="0"/>
                <w:sz w:val="20"/>
                <w:szCs w:val="20"/>
                <w:lang w:val="en-US" w:eastAsia="zh-CN" w:bidi="ar-SA"/>
              </w:rPr>
            </w:pP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质量指标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highlight w:val="yellow"/>
              </w:rPr>
            </w:pPr>
            <w:r>
              <w:rPr>
                <w:rFonts w:hint="eastAsia" w:eastAsia="仿宋_GB2312"/>
                <w:color w:val="auto"/>
                <w:kern w:val="0"/>
                <w:sz w:val="20"/>
                <w:szCs w:val="20"/>
                <w:highlight w:val="none"/>
              </w:rPr>
              <w:t>提升保护区工作人员的法律意识</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highlight w:val="yellow"/>
              </w:rPr>
            </w:pPr>
            <w:r>
              <w:rPr>
                <w:rFonts w:hint="eastAsia" w:eastAsia="仿宋_GB2312"/>
                <w:kern w:val="0"/>
                <w:sz w:val="20"/>
                <w:szCs w:val="20"/>
                <w:highlight w:val="none"/>
              </w:rPr>
              <w:t>开展</w:t>
            </w:r>
            <w:r>
              <w:rPr>
                <w:rFonts w:hint="eastAsia" w:eastAsia="仿宋_GB2312"/>
                <w:kern w:val="0"/>
                <w:sz w:val="20"/>
                <w:szCs w:val="20"/>
                <w:highlight w:val="none"/>
                <w:lang w:val="en-US" w:eastAsia="zh-CN"/>
              </w:rPr>
              <w:t>1</w:t>
            </w:r>
            <w:r>
              <w:rPr>
                <w:rFonts w:hint="eastAsia" w:eastAsia="仿宋_GB2312"/>
                <w:kern w:val="0"/>
                <w:sz w:val="20"/>
                <w:szCs w:val="20"/>
                <w:highlight w:val="none"/>
              </w:rPr>
              <w:t>次以上的法律知识培训　</w:t>
            </w:r>
          </w:p>
        </w:tc>
        <w:tc>
          <w:tcPr>
            <w:tcW w:w="13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highlight w:val="yellow"/>
                <w:lang w:val="en-US" w:eastAsia="zh-CN"/>
              </w:rPr>
            </w:pPr>
            <w:r>
              <w:rPr>
                <w:rFonts w:hint="eastAsia" w:ascii="仿宋_GB2312" w:hAnsi="仿宋_GB2312" w:eastAsia="仿宋_GB2312" w:cs="仿宋_GB2312"/>
                <w:color w:val="000000"/>
                <w:sz w:val="20"/>
                <w:szCs w:val="20"/>
                <w:highlight w:val="none"/>
                <w:lang w:val="en-US" w:eastAsia="zh-CN"/>
              </w:rPr>
              <w:t>1次</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2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按工作计划完成各项任务</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lang w:val="en-US" w:eastAsia="zh-CN"/>
              </w:rPr>
            </w:pPr>
            <w:r>
              <w:rPr>
                <w:rFonts w:hint="eastAsia" w:eastAsia="仿宋_GB2312"/>
                <w:kern w:val="0"/>
                <w:sz w:val="20"/>
                <w:szCs w:val="20"/>
              </w:rPr>
              <w:t>202</w:t>
            </w:r>
            <w:r>
              <w:rPr>
                <w:rFonts w:hint="eastAsia" w:eastAsia="仿宋_GB2312"/>
                <w:kern w:val="0"/>
                <w:sz w:val="20"/>
                <w:szCs w:val="20"/>
                <w:lang w:val="en-US" w:eastAsia="zh-CN"/>
              </w:rPr>
              <w:t>2</w:t>
            </w:r>
            <w:r>
              <w:rPr>
                <w:rFonts w:hint="eastAsia" w:eastAsia="仿宋_GB2312"/>
                <w:kern w:val="0"/>
                <w:sz w:val="20"/>
                <w:szCs w:val="20"/>
              </w:rPr>
              <w:t>年</w:t>
            </w:r>
            <w:r>
              <w:rPr>
                <w:rFonts w:hint="eastAsia" w:eastAsia="仿宋_GB2312"/>
                <w:kern w:val="0"/>
                <w:sz w:val="20"/>
                <w:szCs w:val="20"/>
                <w:lang w:val="en-US" w:eastAsia="zh-CN"/>
              </w:rPr>
              <w:t>12月31日前</w:t>
            </w:r>
            <w:r>
              <w:rPr>
                <w:rFonts w:hint="eastAsia" w:eastAsia="仿宋_GB2312"/>
                <w:kern w:val="0"/>
                <w:sz w:val="20"/>
                <w:szCs w:val="20"/>
              </w:rPr>
              <w:t>完成</w:t>
            </w:r>
            <w:r>
              <w:rPr>
                <w:rFonts w:hint="eastAsia" w:eastAsia="仿宋_GB2312"/>
                <w:kern w:val="0"/>
                <w:sz w:val="20"/>
                <w:szCs w:val="20"/>
                <w:lang w:val="en-US" w:eastAsia="zh-CN"/>
              </w:rPr>
              <w:t>。</w:t>
            </w:r>
          </w:p>
        </w:tc>
        <w:tc>
          <w:tcPr>
            <w:tcW w:w="13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已完成</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2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压缩巡护成本，提高巡护效</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成本控制在预算内</w:t>
            </w:r>
          </w:p>
        </w:tc>
        <w:tc>
          <w:tcPr>
            <w:tcW w:w="13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已完成</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2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40" w:lineRule="exact"/>
              <w:jc w:val="left"/>
              <w:rPr>
                <w:rFonts w:hint="eastAsia" w:ascii="仿宋_GB2312" w:hAnsi="仿宋_GB2312" w:eastAsia="仿宋_GB2312" w:cs="仿宋_GB2312"/>
                <w:color w:val="000000"/>
                <w:sz w:val="20"/>
                <w:szCs w:val="20"/>
              </w:rPr>
            </w:pPr>
          </w:p>
          <w:p>
            <w:pPr>
              <w:widowControl/>
              <w:spacing w:line="240" w:lineRule="exact"/>
              <w:ind w:left="0" w:leftChars="0" w:firstLine="0" w:firstLineChars="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3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经济效益指标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eastAsia="仿宋_GB2312"/>
                <w:kern w:val="0"/>
                <w:sz w:val="20"/>
                <w:szCs w:val="20"/>
                <w:lang w:eastAsia="zh-CN"/>
              </w:rPr>
            </w:pPr>
            <w:r>
              <w:rPr>
                <w:rFonts w:hint="eastAsia" w:eastAsia="仿宋_GB2312"/>
                <w:kern w:val="0"/>
                <w:sz w:val="20"/>
                <w:szCs w:val="20"/>
                <w:lang w:eastAsia="zh-CN"/>
              </w:rPr>
              <w:t>无</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eastAsia="仿宋_GB2312"/>
                <w:kern w:val="0"/>
                <w:sz w:val="20"/>
                <w:szCs w:val="20"/>
              </w:rPr>
            </w:pPr>
            <w:r>
              <w:rPr>
                <w:rFonts w:hint="eastAsia" w:eastAsia="仿宋_GB2312"/>
                <w:kern w:val="0"/>
                <w:sz w:val="20"/>
                <w:szCs w:val="20"/>
                <w:lang w:eastAsia="zh-CN"/>
              </w:rPr>
              <w:t>无</w:t>
            </w:r>
            <w:r>
              <w:rPr>
                <w:rFonts w:hint="eastAsia" w:eastAsia="仿宋_GB2312"/>
                <w:kern w:val="0"/>
                <w:sz w:val="20"/>
                <w:szCs w:val="20"/>
              </w:rPr>
              <w:t>　</w:t>
            </w:r>
          </w:p>
        </w:tc>
        <w:tc>
          <w:tcPr>
            <w:tcW w:w="133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3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91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2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1" w:type="dxa"/>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社会效益指标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提升生态保护的社会参与度和认可度。</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社会认可度提升至95%　</w:t>
            </w:r>
          </w:p>
        </w:tc>
        <w:tc>
          <w:tcPr>
            <w:tcW w:w="133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kern w:val="0"/>
                <w:sz w:val="20"/>
                <w:szCs w:val="20"/>
              </w:rPr>
              <w:t>≥</w:t>
            </w:r>
            <w:r>
              <w:rPr>
                <w:rFonts w:hint="eastAsia" w:eastAsia="仿宋_GB2312"/>
                <w:kern w:val="0"/>
                <w:sz w:val="20"/>
                <w:szCs w:val="20"/>
              </w:rPr>
              <w:t>95%</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2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1" w:type="dxa"/>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生态效益指标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优化江豚等水生生物的生存环境，洞庭湖生态环境向好发展。</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协调相关职能部门遏制保护区范围内的非法采砂和非法捕捞</w:t>
            </w:r>
          </w:p>
        </w:tc>
        <w:tc>
          <w:tcPr>
            <w:tcW w:w="13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基本</w:t>
            </w:r>
            <w:r>
              <w:rPr>
                <w:rFonts w:hint="eastAsia" w:ascii="仿宋_GB2312" w:hAnsi="仿宋_GB2312" w:eastAsia="仿宋_GB2312" w:cs="仿宋_GB2312"/>
                <w:color w:val="000000"/>
                <w:sz w:val="20"/>
                <w:szCs w:val="20"/>
                <w:lang w:eastAsia="zh-CN"/>
              </w:rPr>
              <w:t>完成</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10</w:t>
            </w:r>
          </w:p>
        </w:tc>
        <w:tc>
          <w:tcPr>
            <w:tcW w:w="1288"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default" w:ascii="仿宋_GB2312" w:hAnsi="仿宋_GB2312" w:eastAsia="仿宋_GB2312" w:cs="仿宋_GB2312"/>
                <w:color w:val="000000"/>
                <w:sz w:val="20"/>
                <w:szCs w:val="20"/>
                <w:lang w:val="en-US" w:eastAsia="zh-CN"/>
              </w:rPr>
            </w:pPr>
          </w:p>
        </w:tc>
      </w:tr>
      <w:tr>
        <w:tblPrEx>
          <w:tblCellMar>
            <w:top w:w="0" w:type="dxa"/>
            <w:left w:w="108" w:type="dxa"/>
            <w:bottom w:w="0" w:type="dxa"/>
            <w:right w:w="108" w:type="dxa"/>
          </w:tblCellMar>
        </w:tblPrEx>
        <w:trPr>
          <w:trHeight w:val="290" w:hRule="atLeast"/>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13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03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实现</w:t>
            </w:r>
            <w:r>
              <w:rPr>
                <w:rFonts w:hint="eastAsia" w:eastAsia="仿宋_GB2312"/>
                <w:kern w:val="0"/>
                <w:sz w:val="20"/>
                <w:szCs w:val="20"/>
                <w:lang w:eastAsia="zh-CN"/>
              </w:rPr>
              <w:t>长江</w:t>
            </w:r>
            <w:r>
              <w:rPr>
                <w:rFonts w:hint="eastAsia" w:eastAsia="仿宋_GB2312"/>
                <w:kern w:val="0"/>
                <w:sz w:val="20"/>
                <w:szCs w:val="20"/>
              </w:rPr>
              <w:t>江豚种群可持续发展</w:t>
            </w:r>
          </w:p>
        </w:tc>
        <w:tc>
          <w:tcPr>
            <w:tcW w:w="12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力争</w:t>
            </w:r>
            <w:r>
              <w:rPr>
                <w:rFonts w:hint="eastAsia" w:eastAsia="仿宋_GB2312"/>
                <w:kern w:val="0"/>
                <w:sz w:val="20"/>
                <w:szCs w:val="20"/>
                <w:lang w:eastAsia="zh-CN"/>
              </w:rPr>
              <w:t>长江</w:t>
            </w:r>
            <w:r>
              <w:rPr>
                <w:rFonts w:hint="eastAsia" w:eastAsia="仿宋_GB2312"/>
                <w:kern w:val="0"/>
                <w:sz w:val="20"/>
                <w:szCs w:val="20"/>
              </w:rPr>
              <w:t>江豚种群数量稳中有升　</w:t>
            </w:r>
          </w:p>
        </w:tc>
        <w:tc>
          <w:tcPr>
            <w:tcW w:w="133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已完成，数量显著增加</w:t>
            </w:r>
          </w:p>
        </w:tc>
        <w:tc>
          <w:tcPr>
            <w:tcW w:w="73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w:t>
            </w:r>
          </w:p>
        </w:tc>
        <w:tc>
          <w:tcPr>
            <w:tcW w:w="91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28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330" w:hRule="atLeast"/>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131" w:type="dxa"/>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满意度指标</w:t>
            </w:r>
          </w:p>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31" w:type="dxa"/>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firstLine="0" w:firstLineChars="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eastAsia="仿宋_GB2312"/>
                <w:kern w:val="0"/>
                <w:sz w:val="20"/>
                <w:szCs w:val="20"/>
              </w:rPr>
            </w:pPr>
            <w:r>
              <w:rPr>
                <w:rFonts w:hint="eastAsia" w:eastAsia="仿宋_GB2312"/>
                <w:kern w:val="0"/>
                <w:sz w:val="20"/>
                <w:szCs w:val="20"/>
              </w:rPr>
              <w:t>群众满意度</w:t>
            </w:r>
          </w:p>
        </w:tc>
        <w:tc>
          <w:tcPr>
            <w:tcW w:w="12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textAlignment w:val="auto"/>
              <w:rPr>
                <w:rFonts w:hint="eastAsia" w:eastAsia="仿宋_GB2312"/>
                <w:kern w:val="0"/>
                <w:sz w:val="20"/>
                <w:szCs w:val="20"/>
              </w:rPr>
            </w:pPr>
            <w:r>
              <w:rPr>
                <w:rFonts w:hint="eastAsia" w:ascii="仿宋_GB2312" w:hAnsi="仿宋_GB2312" w:eastAsia="仿宋_GB2312" w:cs="仿宋_GB2312"/>
                <w:kern w:val="0"/>
                <w:sz w:val="20"/>
                <w:szCs w:val="20"/>
              </w:rPr>
              <w:t>≥</w:t>
            </w:r>
            <w:r>
              <w:rPr>
                <w:rFonts w:hint="eastAsia" w:eastAsia="仿宋_GB2312"/>
                <w:kern w:val="0"/>
                <w:sz w:val="20"/>
                <w:szCs w:val="20"/>
              </w:rPr>
              <w:t>95%</w:t>
            </w:r>
          </w:p>
        </w:tc>
        <w:tc>
          <w:tcPr>
            <w:tcW w:w="133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kern w:val="0"/>
                <w:sz w:val="20"/>
                <w:szCs w:val="20"/>
              </w:rPr>
              <w:t>≥</w:t>
            </w:r>
            <w:r>
              <w:rPr>
                <w:rFonts w:hint="eastAsia" w:eastAsia="仿宋_GB2312"/>
                <w:kern w:val="0"/>
                <w:sz w:val="20"/>
                <w:szCs w:val="20"/>
              </w:rPr>
              <w:t>95%</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2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270" w:hRule="atLeast"/>
          <w:jc w:val="center"/>
        </w:trPr>
        <w:tc>
          <w:tcPr>
            <w:tcW w:w="7062"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731"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9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99.20</w:t>
            </w:r>
          </w:p>
        </w:tc>
        <w:tc>
          <w:tcPr>
            <w:tcW w:w="12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lang w:val="en-US"/>
              </w:rPr>
            </w:pPr>
          </w:p>
        </w:tc>
      </w:tr>
    </w:tbl>
    <w:p>
      <w:pPr>
        <w:pStyle w:val="2"/>
        <w:rPr>
          <w:rFonts w:hint="eastAsia" w:ascii="仿宋_GB2312" w:hAnsi="仿宋_GB2312" w:eastAsia="仿宋_GB2312" w:cs="仿宋_GB2312"/>
          <w:color w:val="000000"/>
          <w:kern w:val="0"/>
          <w:sz w:val="32"/>
          <w:szCs w:val="32"/>
          <w:highlight w:val="none"/>
          <w:lang w:val="en-US" w:eastAsia="zh-CN"/>
        </w:rPr>
      </w:pPr>
    </w:p>
    <w:p>
      <w:pPr>
        <w:adjustRightInd/>
        <w:spacing w:before="108" w:beforeLines="25" w:after="108" w:afterLines="25" w:line="500" w:lineRule="exact"/>
        <w:ind w:firstLine="0" w:firstLineChars="0"/>
        <w:jc w:val="center"/>
        <w:rPr>
          <w:rFonts w:ascii="方正小标宋简体" w:eastAsia="方正小标宋简体"/>
          <w:kern w:val="0"/>
          <w:sz w:val="36"/>
          <w:szCs w:val="36"/>
          <w:highlight w:val="none"/>
        </w:rPr>
      </w:pPr>
      <w:bookmarkStart w:id="0" w:name="_Hlk73626984"/>
      <w:r>
        <w:rPr>
          <w:rFonts w:ascii="方正小标宋简体" w:eastAsia="方正小标宋简体"/>
          <w:kern w:val="0"/>
          <w:sz w:val="36"/>
          <w:szCs w:val="36"/>
          <w:highlight w:val="none"/>
        </w:rPr>
        <w:t>202</w:t>
      </w:r>
      <w:r>
        <w:rPr>
          <w:rFonts w:hint="eastAsia" w:ascii="方正小标宋简体" w:eastAsia="方正小标宋简体"/>
          <w:kern w:val="0"/>
          <w:sz w:val="36"/>
          <w:szCs w:val="36"/>
          <w:highlight w:val="none"/>
          <w:lang w:val="en-US" w:eastAsia="zh-CN"/>
        </w:rPr>
        <w:t>2</w:t>
      </w:r>
      <w:r>
        <w:rPr>
          <w:rFonts w:ascii="方正小标宋简体" w:eastAsia="方正小标宋简体"/>
          <w:kern w:val="0"/>
          <w:sz w:val="36"/>
          <w:szCs w:val="36"/>
          <w:highlight w:val="none"/>
        </w:rPr>
        <w:t>年度</w:t>
      </w:r>
      <w:r>
        <w:rPr>
          <w:rFonts w:hint="eastAsia" w:ascii="方正小标宋简体" w:eastAsia="方正小标宋简体"/>
          <w:kern w:val="0"/>
          <w:sz w:val="36"/>
          <w:szCs w:val="36"/>
          <w:highlight w:val="none"/>
        </w:rPr>
        <w:t>项目支出</w:t>
      </w:r>
      <w:r>
        <w:rPr>
          <w:rFonts w:ascii="方正小标宋简体" w:eastAsia="方正小标宋简体"/>
          <w:kern w:val="0"/>
          <w:sz w:val="36"/>
          <w:szCs w:val="36"/>
          <w:highlight w:val="none"/>
        </w:rPr>
        <w:t>绩效自评表</w:t>
      </w:r>
      <w:bookmarkEnd w:id="0"/>
    </w:p>
    <w:tbl>
      <w:tblPr>
        <w:tblStyle w:val="6"/>
        <w:tblW w:w="9851" w:type="dxa"/>
        <w:jc w:val="center"/>
        <w:tblLayout w:type="fixed"/>
        <w:tblCellMar>
          <w:top w:w="0" w:type="dxa"/>
          <w:left w:w="108" w:type="dxa"/>
          <w:bottom w:w="0" w:type="dxa"/>
          <w:right w:w="108" w:type="dxa"/>
        </w:tblCellMar>
      </w:tblPr>
      <w:tblGrid>
        <w:gridCol w:w="1158"/>
        <w:gridCol w:w="1050"/>
        <w:gridCol w:w="1031"/>
        <w:gridCol w:w="1275"/>
        <w:gridCol w:w="1219"/>
        <w:gridCol w:w="1219"/>
        <w:gridCol w:w="692"/>
        <w:gridCol w:w="808"/>
        <w:gridCol w:w="1399"/>
      </w:tblGrid>
      <w:tr>
        <w:tblPrEx>
          <w:tblCellMar>
            <w:top w:w="0" w:type="dxa"/>
            <w:left w:w="108" w:type="dxa"/>
            <w:bottom w:w="0" w:type="dxa"/>
            <w:right w:w="108" w:type="dxa"/>
          </w:tblCellMar>
        </w:tblPrEx>
        <w:trPr>
          <w:jc w:val="center"/>
        </w:trPr>
        <w:tc>
          <w:tcPr>
            <w:tcW w:w="11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693"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cs="仿宋_GB2312"/>
                <w:sz w:val="20"/>
                <w:szCs w:val="20"/>
                <w:lang w:eastAsia="zh-CN"/>
              </w:rPr>
              <w:t>业务工作经费</w:t>
            </w:r>
          </w:p>
        </w:tc>
      </w:tr>
      <w:tr>
        <w:tblPrEx>
          <w:tblCellMar>
            <w:top w:w="0" w:type="dxa"/>
            <w:left w:w="108" w:type="dxa"/>
            <w:bottom w:w="0" w:type="dxa"/>
            <w:right w:w="108" w:type="dxa"/>
          </w:tblCellMar>
        </w:tblPrEx>
        <w:trPr>
          <w:jc w:val="center"/>
        </w:trPr>
        <w:tc>
          <w:tcPr>
            <w:tcW w:w="1158"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75"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岳阳市农业农村局</w:t>
            </w:r>
          </w:p>
        </w:tc>
        <w:tc>
          <w:tcPr>
            <w:tcW w:w="1219"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289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岳阳市洞庭湖江豚保护中心</w:t>
            </w:r>
          </w:p>
        </w:tc>
      </w:tr>
      <w:tr>
        <w:tblPrEx>
          <w:tblCellMar>
            <w:top w:w="0" w:type="dxa"/>
            <w:left w:w="108" w:type="dxa"/>
            <w:bottom w:w="0" w:type="dxa"/>
            <w:right w:w="108" w:type="dxa"/>
          </w:tblCellMar>
        </w:tblPrEx>
        <w:trPr>
          <w:jc w:val="center"/>
        </w:trPr>
        <w:tc>
          <w:tcPr>
            <w:tcW w:w="1158"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08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年初预算数</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全年预算数</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全年执行数</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ind w:left="0" w:leftChars="0" w:firstLine="200" w:firstLineChars="100"/>
              <w:jc w:val="both"/>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trHeight w:val="90" w:hRule="atLeast"/>
          <w:jc w:val="center"/>
        </w:trPr>
        <w:tc>
          <w:tcPr>
            <w:tcW w:w="11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08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0</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cs="仿宋_GB2312"/>
                <w:color w:val="000000"/>
                <w:sz w:val="20"/>
                <w:szCs w:val="20"/>
                <w:lang w:val="en-US" w:eastAsia="zh-CN"/>
              </w:rPr>
              <w:t>202.32</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cs="仿宋_GB2312"/>
                <w:sz w:val="20"/>
                <w:szCs w:val="20"/>
                <w:lang w:val="en-US" w:eastAsia="zh-CN"/>
              </w:rPr>
              <w:t>177.86</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rPr>
            </w:pPr>
            <w:r>
              <w:rPr>
                <w:rFonts w:hint="eastAsia" w:ascii="仿宋_GB2312" w:hAnsi="仿宋_GB2312" w:cs="仿宋_GB2312"/>
                <w:color w:val="000000"/>
                <w:sz w:val="20"/>
                <w:szCs w:val="20"/>
                <w:lang w:val="en-US" w:eastAsia="zh-CN"/>
              </w:rPr>
              <w:t>87.91%</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rPr>
            </w:pPr>
            <w:r>
              <w:rPr>
                <w:rFonts w:hint="eastAsia" w:ascii="仿宋_GB2312" w:hAnsi="仿宋_GB2312" w:cs="仿宋_GB2312"/>
                <w:color w:val="000000"/>
                <w:sz w:val="20"/>
                <w:szCs w:val="20"/>
                <w:lang w:val="en-US" w:eastAsia="zh-CN"/>
              </w:rPr>
              <w:t>8.8</w:t>
            </w:r>
          </w:p>
        </w:tc>
      </w:tr>
      <w:tr>
        <w:tblPrEx>
          <w:tblCellMar>
            <w:top w:w="0" w:type="dxa"/>
            <w:left w:w="108" w:type="dxa"/>
            <w:bottom w:w="0" w:type="dxa"/>
            <w:right w:w="108" w:type="dxa"/>
          </w:tblCellMar>
        </w:tblPrEx>
        <w:trPr>
          <w:jc w:val="center"/>
        </w:trPr>
        <w:tc>
          <w:tcPr>
            <w:tcW w:w="11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08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0</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cs="仿宋_GB2312"/>
                <w:color w:val="000000"/>
                <w:sz w:val="20"/>
                <w:szCs w:val="20"/>
                <w:lang w:val="en-US" w:eastAsia="zh-CN"/>
              </w:rPr>
              <w:t>202.32</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cs="仿宋_GB2312"/>
                <w:sz w:val="20"/>
                <w:szCs w:val="20"/>
                <w:lang w:val="en-US" w:eastAsia="zh-CN"/>
              </w:rPr>
              <w:t>177.86</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rPr>
            </w:pPr>
          </w:p>
        </w:tc>
      </w:tr>
      <w:tr>
        <w:tblPrEx>
          <w:tblCellMar>
            <w:top w:w="0" w:type="dxa"/>
            <w:left w:w="108" w:type="dxa"/>
            <w:bottom w:w="0" w:type="dxa"/>
            <w:right w:w="108" w:type="dxa"/>
          </w:tblCellMar>
        </w:tblPrEx>
        <w:trPr>
          <w:jc w:val="center"/>
        </w:trPr>
        <w:tc>
          <w:tcPr>
            <w:tcW w:w="11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08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lang w:val="en-US" w:eastAsia="zh-CN"/>
              </w:rPr>
            </w:pPr>
            <w:bookmarkStart w:id="1" w:name="_GoBack"/>
            <w:bookmarkEnd w:id="1"/>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1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08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158"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75"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1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1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4575" w:type="dxa"/>
            <w:gridSpan w:val="4"/>
            <w:tcBorders>
              <w:top w:val="single" w:color="auto" w:sz="4" w:space="0"/>
              <w:left w:val="nil"/>
              <w:bottom w:val="single" w:color="auto" w:sz="4" w:space="0"/>
              <w:right w:val="single" w:color="000000" w:sz="4" w:space="0"/>
            </w:tcBorders>
            <w:noWrap w:val="0"/>
            <w:vAlign w:val="center"/>
          </w:tcPr>
          <w:p>
            <w:pPr>
              <w:pStyle w:val="2"/>
              <w:keepNext w:val="0"/>
              <w:keepLines w:val="0"/>
              <w:pageBreakBefore w:val="0"/>
              <w:widowControl w:val="0"/>
              <w:kinsoku/>
              <w:wordWrap/>
              <w:overflowPunct/>
              <w:topLinePunct w:val="0"/>
              <w:autoSpaceDE/>
              <w:autoSpaceDN/>
              <w:bidi w:val="0"/>
              <w:adjustRightInd w:val="0"/>
              <w:snapToGrid w:val="0"/>
              <w:spacing w:line="260" w:lineRule="exact"/>
              <w:ind w:left="0" w:leftChars="0" w:firstLine="0" w:firstLineChars="0"/>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2"/>
                <w:sz w:val="20"/>
                <w:szCs w:val="20"/>
                <w:lang w:val="en-US" w:eastAsia="zh-CN" w:bidi="ar-SA"/>
              </w:rPr>
              <w:t>做好各观测站的日常管理工作，加强长江江豚保护区日常巡查，及时救护长江江豚等珍贵、濒危水生生物。做好长江江豚保护宣传工作</w:t>
            </w:r>
            <w:r>
              <w:rPr>
                <w:rFonts w:hint="eastAsia" w:ascii="仿宋_GB2312" w:hAnsi="仿宋_GB2312" w:cs="仿宋_GB2312"/>
                <w:color w:val="000000"/>
                <w:kern w:val="2"/>
                <w:sz w:val="20"/>
                <w:szCs w:val="20"/>
                <w:lang w:val="en-US" w:eastAsia="zh-CN" w:bidi="ar-SA"/>
              </w:rPr>
              <w:t>，以及</w:t>
            </w:r>
            <w:r>
              <w:rPr>
                <w:rFonts w:hint="eastAsia" w:ascii="仿宋_GB2312" w:hAnsi="仿宋_GB2312" w:eastAsia="仿宋_GB2312" w:cs="仿宋_GB2312"/>
                <w:b w:val="0"/>
                <w:bCs w:val="0"/>
                <w:sz w:val="20"/>
                <w:szCs w:val="20"/>
                <w:lang w:val="en-US" w:eastAsia="zh-CN"/>
              </w:rPr>
              <w:t>长江岳阳段范围内珍贵、濒危水生野生动物保护</w:t>
            </w:r>
            <w:r>
              <w:rPr>
                <w:rFonts w:hint="eastAsia" w:ascii="仿宋_GB2312" w:hAnsi="仿宋_GB2312" w:cs="仿宋_GB2312"/>
                <w:b w:val="0"/>
                <w:bCs w:val="0"/>
                <w:sz w:val="20"/>
                <w:szCs w:val="20"/>
                <w:lang w:val="en-US" w:eastAsia="zh-CN"/>
              </w:rPr>
              <w:t>、</w:t>
            </w:r>
            <w:r>
              <w:rPr>
                <w:rFonts w:hint="eastAsia" w:ascii="仿宋_GB2312" w:hAnsi="仿宋_GB2312" w:eastAsia="仿宋_GB2312" w:cs="仿宋_GB2312"/>
                <w:b w:val="0"/>
                <w:bCs w:val="0"/>
                <w:sz w:val="20"/>
                <w:szCs w:val="20"/>
                <w:lang w:val="en-US" w:eastAsia="zh-CN"/>
              </w:rPr>
              <w:t>宣传教育工作。完成市本级保护区内水生生物资源及其生存环境的监测工作。</w:t>
            </w:r>
            <w:r>
              <w:rPr>
                <w:rFonts w:hint="eastAsia" w:ascii="仿宋_GB2312" w:hAnsi="仿宋_GB2312" w:eastAsia="仿宋_GB2312" w:cs="仿宋_GB2312"/>
                <w:color w:val="000000"/>
                <w:sz w:val="20"/>
                <w:szCs w:val="20"/>
                <w:lang w:val="en-US" w:eastAsia="zh-CN"/>
              </w:rPr>
              <w:t>按质按量完成水生生物人工增殖放流工作。</w:t>
            </w:r>
            <w:r>
              <w:rPr>
                <w:rFonts w:hint="eastAsia" w:ascii="仿宋_GB2312" w:hAnsi="仿宋_GB2312" w:eastAsia="仿宋_GB2312" w:cs="仿宋_GB2312"/>
                <w:color w:val="000000"/>
                <w:sz w:val="20"/>
                <w:szCs w:val="20"/>
              </w:rPr>
              <w:t>　　　　　</w:t>
            </w:r>
          </w:p>
          <w:p>
            <w:pPr>
              <w:pStyle w:val="2"/>
              <w:keepNext w:val="0"/>
              <w:keepLines w:val="0"/>
              <w:pageBreakBefore w:val="0"/>
              <w:widowControl w:val="0"/>
              <w:kinsoku/>
              <w:wordWrap/>
              <w:overflowPunct/>
              <w:topLinePunct w:val="0"/>
              <w:autoSpaceDE/>
              <w:autoSpaceDN/>
              <w:bidi w:val="0"/>
              <w:adjustRightInd w:val="0"/>
              <w:snapToGrid w:val="0"/>
              <w:spacing w:line="260" w:lineRule="exact"/>
              <w:ind w:left="0" w:leftChars="0" w:firstLine="0" w:firstLineChars="0"/>
              <w:textAlignment w:val="auto"/>
              <w:rPr>
                <w:rFonts w:hint="eastAsia" w:ascii="仿宋_GB2312" w:hAnsi="仿宋_GB2312" w:eastAsia="仿宋_GB2312" w:cs="仿宋_GB2312"/>
                <w:color w:val="000000"/>
                <w:sz w:val="20"/>
                <w:szCs w:val="20"/>
              </w:rPr>
            </w:pPr>
          </w:p>
        </w:tc>
        <w:tc>
          <w:tcPr>
            <w:tcW w:w="4118" w:type="dxa"/>
            <w:gridSpan w:val="4"/>
            <w:tcBorders>
              <w:top w:val="single" w:color="auto" w:sz="4" w:space="0"/>
              <w:left w:val="nil"/>
              <w:bottom w:val="single" w:color="auto" w:sz="4" w:space="0"/>
              <w:right w:val="single" w:color="auto" w:sz="4" w:space="0"/>
            </w:tcBorders>
            <w:noWrap w:val="0"/>
            <w:vAlign w:val="center"/>
          </w:tcPr>
          <w:p>
            <w:pPr>
              <w:pStyle w:val="2"/>
              <w:ind w:left="0" w:leftChars="0" w:firstLine="0" w:firstLineChars="0"/>
              <w:jc w:val="center"/>
              <w:rPr>
                <w:rFonts w:hint="default"/>
                <w:lang w:val="en-US" w:eastAsia="zh-CN"/>
              </w:rPr>
            </w:pPr>
            <w:r>
              <w:rPr>
                <w:rFonts w:hint="eastAsia" w:ascii="仿宋_GB2312" w:hAnsi="仿宋_GB2312" w:eastAsia="仿宋_GB2312" w:cs="仿宋_GB2312"/>
                <w:b w:val="0"/>
                <w:bCs w:val="0"/>
                <w:sz w:val="20"/>
                <w:szCs w:val="20"/>
                <w:lang w:val="en-US" w:eastAsia="zh-CN"/>
              </w:rPr>
              <w:t>全部完成</w:t>
            </w:r>
          </w:p>
        </w:tc>
      </w:tr>
      <w:tr>
        <w:tblPrEx>
          <w:tblCellMar>
            <w:top w:w="0" w:type="dxa"/>
            <w:left w:w="108" w:type="dxa"/>
            <w:bottom w:w="0" w:type="dxa"/>
            <w:right w:w="108" w:type="dxa"/>
          </w:tblCellMar>
        </w:tblPrEx>
        <w:trPr>
          <w:jc w:val="center"/>
        </w:trPr>
        <w:tc>
          <w:tcPr>
            <w:tcW w:w="1158"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绩效指标</w:t>
            </w:r>
          </w:p>
        </w:tc>
        <w:tc>
          <w:tcPr>
            <w:tcW w:w="105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3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年度指标值</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实际完成值</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3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做好长江江豚保护宣传工作</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印发宣传资料</w:t>
            </w:r>
            <w:r>
              <w:rPr>
                <w:rFonts w:hint="eastAsia" w:ascii="仿宋_GB2312" w:hAnsi="仿宋_GB2312" w:cs="仿宋_GB2312"/>
                <w:color w:val="000000"/>
                <w:sz w:val="20"/>
                <w:szCs w:val="20"/>
                <w:lang w:val="en-US" w:eastAsia="zh-CN"/>
              </w:rPr>
              <w:t>5</w:t>
            </w:r>
            <w:r>
              <w:rPr>
                <w:rFonts w:hint="eastAsia" w:ascii="仿宋_GB2312" w:hAnsi="仿宋_GB2312" w:eastAsia="仿宋_GB2312" w:cs="仿宋_GB2312"/>
                <w:color w:val="000000"/>
                <w:sz w:val="20"/>
                <w:szCs w:val="20"/>
                <w:lang w:val="en-US" w:eastAsia="zh-CN"/>
              </w:rPr>
              <w:t>000份以上</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r>
              <w:rPr>
                <w:rFonts w:hint="eastAsia" w:ascii="仿宋_GB2312" w:hAnsi="仿宋_GB2312" w:eastAsia="仿宋_GB2312" w:cs="仿宋_GB2312"/>
                <w:color w:val="000000"/>
                <w:sz w:val="20"/>
                <w:szCs w:val="20"/>
                <w:lang w:val="en-US" w:eastAsia="zh-CN"/>
              </w:rPr>
              <w:t>000份</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开展长江江豚生态科学考察</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1次</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1次</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开展资源调查</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1次</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2次</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eastAsia="zh-CN"/>
              </w:rPr>
              <w:t>增殖放流鱼苗</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约</w:t>
            </w:r>
            <w:r>
              <w:rPr>
                <w:rFonts w:hint="eastAsia" w:ascii="仿宋_GB2312" w:hAnsi="仿宋_GB2312" w:cs="仿宋_GB2312"/>
                <w:color w:val="000000"/>
                <w:sz w:val="20"/>
                <w:szCs w:val="20"/>
                <w:lang w:val="en-US" w:eastAsia="zh-CN"/>
              </w:rPr>
              <w:t>5</w:t>
            </w:r>
            <w:r>
              <w:rPr>
                <w:rFonts w:hint="eastAsia" w:ascii="仿宋_GB2312" w:hAnsi="仿宋_GB2312" w:eastAsia="仿宋_GB2312" w:cs="仿宋_GB2312"/>
                <w:color w:val="000000"/>
                <w:sz w:val="20"/>
                <w:szCs w:val="20"/>
                <w:lang w:val="en-US" w:eastAsia="zh-CN"/>
              </w:rPr>
              <w:t>万</w:t>
            </w:r>
            <w:r>
              <w:rPr>
                <w:rFonts w:hint="eastAsia" w:ascii="仿宋_GB2312" w:hAnsi="仿宋_GB2312" w:eastAsia="仿宋_GB2312" w:cs="仿宋_GB2312"/>
                <w:color w:val="000000"/>
                <w:sz w:val="20"/>
                <w:szCs w:val="20"/>
                <w:lang w:eastAsia="zh-CN"/>
              </w:rPr>
              <w:t>尾</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4.8万尾</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5</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完成对岳阳市江豚保护协会环境保护宣教的捐赠工作。</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2次</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2次</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4</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4</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889" w:hRule="atLeast"/>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日常巡查</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适航条件下每日巡查</w:t>
            </w:r>
          </w:p>
        </w:tc>
        <w:tc>
          <w:tcPr>
            <w:tcW w:w="1219" w:type="dxa"/>
            <w:tcBorders>
              <w:top w:val="nil"/>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95%以上</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cs="仿宋_GB2312"/>
                <w:color w:val="000000"/>
                <w:sz w:val="20"/>
                <w:szCs w:val="20"/>
                <w:lang w:val="en-US" w:eastAsia="zh-CN"/>
              </w:rPr>
              <w:t>5</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cs="仿宋_GB2312"/>
                <w:color w:val="000000"/>
                <w:sz w:val="20"/>
                <w:szCs w:val="20"/>
                <w:lang w:val="en-US" w:eastAsia="zh-CN"/>
              </w:rPr>
              <w:t>5</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kern w:val="0"/>
                <w:sz w:val="20"/>
                <w:szCs w:val="20"/>
                <w:lang w:val="en-US" w:eastAsia="zh-CN" w:bidi="ar-SA"/>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做好观测站相关工作</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准确掌握观测站观测水域相关数据，填报巡查日志</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95%以上</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5</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r>
              <w:rPr>
                <w:rFonts w:hint="eastAsia" w:ascii="仿宋_GB2312" w:hAnsi="仿宋_GB2312" w:cs="仿宋_GB2312"/>
                <w:color w:val="000000"/>
                <w:sz w:val="20"/>
                <w:szCs w:val="20"/>
                <w:lang w:val="en-US" w:eastAsia="zh-CN"/>
              </w:rPr>
              <w:t>5</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default" w:ascii="仿宋_GB2312" w:hAnsi="仿宋_GB2312" w:eastAsia="仿宋_GB2312" w:cs="仿宋_GB2312"/>
                <w:color w:val="000000"/>
                <w:sz w:val="20"/>
                <w:szCs w:val="20"/>
                <w:lang w:val="en-US"/>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cs="仿宋_GB2312"/>
                <w:color w:val="000000"/>
                <w:sz w:val="20"/>
                <w:szCs w:val="20"/>
                <w:lang w:eastAsia="zh-CN"/>
              </w:rPr>
              <w:t>增殖放流</w:t>
            </w:r>
            <w:r>
              <w:rPr>
                <w:rFonts w:hint="eastAsia" w:ascii="仿宋_GB2312" w:hAnsi="仿宋_GB2312" w:eastAsia="仿宋_GB2312" w:cs="仿宋_GB2312"/>
                <w:color w:val="000000"/>
                <w:sz w:val="20"/>
                <w:szCs w:val="20"/>
                <w:lang w:eastAsia="zh-CN"/>
              </w:rPr>
              <w:t>淡水鱼苗</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检疫合格</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合格100%</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4</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4</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lang w:val="en-US" w:eastAsia="zh-CN"/>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救护长江江豚</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及时救护长江江豚</w:t>
            </w:r>
            <w:r>
              <w:rPr>
                <w:rFonts w:hint="eastAsia" w:ascii="仿宋_GB2312" w:hAnsi="仿宋_GB2312" w:eastAsia="仿宋_GB2312" w:cs="仿宋_GB2312"/>
                <w:color w:val="000000"/>
                <w:sz w:val="20"/>
                <w:szCs w:val="20"/>
                <w:lang w:val="en-US" w:eastAsia="zh-CN"/>
              </w:rPr>
              <w:t>1次以上</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2次</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4</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4</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年内完成</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2022年12月31日前完成</w:t>
            </w:r>
            <w:r>
              <w:rPr>
                <w:rFonts w:hint="eastAsia" w:ascii="仿宋_GB2312" w:hAnsi="仿宋_GB2312" w:eastAsia="仿宋_GB2312" w:cs="仿宋_GB2312"/>
                <w:color w:val="000000"/>
                <w:sz w:val="20"/>
                <w:szCs w:val="20"/>
              </w:rPr>
              <w:t>　</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已完成</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4</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4</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合理使用项目资金</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控制在批复预算内</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已完成</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4</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4</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经济效益指标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无</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保持生态保护的社会高参与度和认可度。</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社会认可度≥95%</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已完成</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6</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6</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771" w:hRule="atLeast"/>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优化江豚等水生生物的栖息环境</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保护区水生生物栖息环境</w:t>
            </w:r>
            <w:r>
              <w:rPr>
                <w:rFonts w:hint="eastAsia" w:ascii="仿宋_GB2312" w:hAnsi="仿宋_GB2312" w:eastAsia="仿宋_GB2312" w:cs="仿宋_GB2312"/>
                <w:color w:val="000000"/>
                <w:sz w:val="20"/>
                <w:szCs w:val="20"/>
                <w:lang w:eastAsia="zh-CN"/>
              </w:rPr>
              <w:t>有所改善</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有所改善</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cs="仿宋_GB2312"/>
                <w:color w:val="000000"/>
                <w:kern w:val="0"/>
                <w:sz w:val="20"/>
                <w:szCs w:val="20"/>
                <w:lang w:val="en-US" w:eastAsia="zh-CN" w:bidi="ar-SA"/>
              </w:rPr>
              <w:t>6</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kern w:val="0"/>
                <w:sz w:val="20"/>
                <w:szCs w:val="20"/>
                <w:lang w:val="en-US" w:eastAsia="zh-CN" w:bidi="ar-SA"/>
              </w:rPr>
              <w:t>6</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保护区水生生物栖息环境有所改善</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有所改善</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有所改善</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cs="仿宋_GB2312"/>
                <w:color w:val="000000"/>
                <w:kern w:val="0"/>
                <w:sz w:val="20"/>
                <w:szCs w:val="20"/>
                <w:lang w:val="en-US" w:eastAsia="zh-CN" w:bidi="ar-SA"/>
              </w:rPr>
              <w:t>6</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kern w:val="0"/>
                <w:sz w:val="20"/>
                <w:szCs w:val="20"/>
                <w:lang w:val="en-US" w:eastAsia="zh-CN" w:bidi="ar-SA"/>
              </w:rPr>
              <w:t>6</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5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val="en-US" w:eastAsia="zh-CN"/>
              </w:rPr>
              <w:t>实现江豚种群可持续发展</w:t>
            </w:r>
          </w:p>
        </w:tc>
        <w:tc>
          <w:tcPr>
            <w:tcW w:w="12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江豚种群数量稳中向增　</w:t>
            </w:r>
          </w:p>
        </w:tc>
        <w:tc>
          <w:tcPr>
            <w:tcW w:w="12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有所提升</w:t>
            </w:r>
          </w:p>
        </w:tc>
        <w:tc>
          <w:tcPr>
            <w:tcW w:w="6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6</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6</w:t>
            </w:r>
          </w:p>
        </w:tc>
        <w:tc>
          <w:tcPr>
            <w:tcW w:w="13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5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洞庭湖生态环境向好发展</w:t>
            </w:r>
          </w:p>
        </w:tc>
        <w:tc>
          <w:tcPr>
            <w:tcW w:w="12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有所改善</w:t>
            </w:r>
          </w:p>
        </w:tc>
        <w:tc>
          <w:tcPr>
            <w:tcW w:w="12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有所改善</w:t>
            </w:r>
          </w:p>
        </w:tc>
        <w:tc>
          <w:tcPr>
            <w:tcW w:w="6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6</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6</w:t>
            </w:r>
          </w:p>
        </w:tc>
        <w:tc>
          <w:tcPr>
            <w:tcW w:w="13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158"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ascii="仿宋" w:hAnsi="仿宋" w:eastAsia="仿宋_GB2312" w:cs="Times New Roman"/>
                <w:kern w:val="0"/>
                <w:sz w:val="20"/>
                <w:szCs w:val="20"/>
                <w:lang w:val="en-US" w:eastAsia="zh-CN" w:bidi="ar-SA"/>
              </w:rPr>
            </w:pPr>
            <w:r>
              <w:rPr>
                <w:rFonts w:hint="eastAsia" w:eastAsia="仿宋_GB2312"/>
                <w:kern w:val="0"/>
                <w:sz w:val="20"/>
                <w:szCs w:val="20"/>
              </w:rPr>
              <w:t>群众满意度</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textAlignment w:val="auto"/>
              <w:rPr>
                <w:rFonts w:hint="eastAsia" w:ascii="仿宋" w:hAnsi="仿宋" w:eastAsia="仿宋_GB2312" w:cs="Times New Roman"/>
                <w:kern w:val="0"/>
                <w:sz w:val="20"/>
                <w:szCs w:val="20"/>
                <w:lang w:val="en-US" w:eastAsia="zh-CN" w:bidi="ar-SA"/>
              </w:rPr>
            </w:pPr>
            <w:r>
              <w:rPr>
                <w:rFonts w:hint="eastAsia" w:ascii="仿宋_GB2312" w:hAnsi="仿宋_GB2312" w:eastAsia="仿宋_GB2312" w:cs="仿宋_GB2312"/>
                <w:kern w:val="0"/>
                <w:sz w:val="20"/>
                <w:szCs w:val="20"/>
              </w:rPr>
              <w:t>≥</w:t>
            </w:r>
            <w:r>
              <w:rPr>
                <w:rFonts w:hint="eastAsia" w:eastAsia="仿宋_GB2312"/>
                <w:kern w:val="0"/>
                <w:sz w:val="20"/>
                <w:szCs w:val="20"/>
              </w:rPr>
              <w:t>95%</w:t>
            </w:r>
          </w:p>
        </w:tc>
        <w:tc>
          <w:tcPr>
            <w:tcW w:w="1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kern w:val="0"/>
                <w:sz w:val="20"/>
                <w:szCs w:val="20"/>
              </w:rPr>
              <w:t>≥</w:t>
            </w:r>
            <w:r>
              <w:rPr>
                <w:rFonts w:hint="eastAsia" w:eastAsia="仿宋_GB2312"/>
                <w:kern w:val="0"/>
                <w:sz w:val="20"/>
                <w:szCs w:val="20"/>
              </w:rPr>
              <w:t>95%</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695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cs="仿宋_GB2312"/>
                <w:color w:val="000000"/>
                <w:sz w:val="20"/>
                <w:szCs w:val="20"/>
                <w:lang w:val="en-US" w:eastAsia="zh-CN"/>
              </w:rPr>
              <w:t>98.80</w:t>
            </w:r>
          </w:p>
        </w:tc>
        <w:tc>
          <w:tcPr>
            <w:tcW w:w="13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adjustRightInd/>
        <w:spacing w:before="108" w:beforeLines="25" w:after="108" w:afterLines="25" w:line="500" w:lineRule="exact"/>
        <w:ind w:firstLine="0" w:firstLineChars="0"/>
        <w:jc w:val="both"/>
        <w:rPr>
          <w:rFonts w:hint="eastAsia" w:ascii="仿宋_GB2312" w:hAnsi="仿宋_GB2312" w:eastAsia="仿宋_GB2312" w:cs="仿宋_GB2312"/>
          <w:color w:val="000000"/>
          <w:kern w:val="0"/>
          <w:sz w:val="32"/>
          <w:szCs w:val="32"/>
          <w:highlight w:val="none"/>
          <w:lang w:val="en-US" w:eastAsia="zh-CN"/>
        </w:rPr>
      </w:pPr>
      <w:r>
        <w:rPr>
          <w:rFonts w:eastAsia="仿宋"/>
          <w:kern w:val="0"/>
          <w:szCs w:val="22"/>
          <w:highlight w:val="none"/>
        </w:rPr>
        <w:t xml:space="preserve"> </w:t>
      </w:r>
    </w:p>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4F11E5"/>
    <w:multiLevelType w:val="singleLevel"/>
    <w:tmpl w:val="B84F11E5"/>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lYzYzNjRhODUyZWFkN2JmY2QwOTRiODM0MGM2OTQifQ=="/>
  </w:docVars>
  <w:rsids>
    <w:rsidRoot w:val="346F1131"/>
    <w:rsid w:val="00AF7125"/>
    <w:rsid w:val="00B75F94"/>
    <w:rsid w:val="00E5206A"/>
    <w:rsid w:val="015C5E96"/>
    <w:rsid w:val="01CA5CC8"/>
    <w:rsid w:val="023318AB"/>
    <w:rsid w:val="02690853"/>
    <w:rsid w:val="02A25B43"/>
    <w:rsid w:val="02ED1C6E"/>
    <w:rsid w:val="036F2FCB"/>
    <w:rsid w:val="04EF4078"/>
    <w:rsid w:val="057B11F2"/>
    <w:rsid w:val="05883ED0"/>
    <w:rsid w:val="05BC2DF7"/>
    <w:rsid w:val="05FB0C18"/>
    <w:rsid w:val="066C11DC"/>
    <w:rsid w:val="069074E0"/>
    <w:rsid w:val="06E415DA"/>
    <w:rsid w:val="072D77D5"/>
    <w:rsid w:val="073F2CB4"/>
    <w:rsid w:val="07AF3996"/>
    <w:rsid w:val="092959CA"/>
    <w:rsid w:val="092B5F96"/>
    <w:rsid w:val="09502F56"/>
    <w:rsid w:val="0978425B"/>
    <w:rsid w:val="09C62B11"/>
    <w:rsid w:val="0A735AC2"/>
    <w:rsid w:val="0AA5071B"/>
    <w:rsid w:val="0B1161B7"/>
    <w:rsid w:val="0BDB0194"/>
    <w:rsid w:val="0C0E5097"/>
    <w:rsid w:val="0C436DA2"/>
    <w:rsid w:val="0C6E55DC"/>
    <w:rsid w:val="0C931AD8"/>
    <w:rsid w:val="0CD8143E"/>
    <w:rsid w:val="0CD81BE1"/>
    <w:rsid w:val="0D5F5E5E"/>
    <w:rsid w:val="0D780CCE"/>
    <w:rsid w:val="0DA90E87"/>
    <w:rsid w:val="0E0C355A"/>
    <w:rsid w:val="0E452476"/>
    <w:rsid w:val="0E4868F2"/>
    <w:rsid w:val="0F22613D"/>
    <w:rsid w:val="0F2964A7"/>
    <w:rsid w:val="0F744C35"/>
    <w:rsid w:val="0FE877E7"/>
    <w:rsid w:val="0FF56939"/>
    <w:rsid w:val="104E773B"/>
    <w:rsid w:val="10A04854"/>
    <w:rsid w:val="118F3A89"/>
    <w:rsid w:val="139C2A90"/>
    <w:rsid w:val="14705EC9"/>
    <w:rsid w:val="14E44553"/>
    <w:rsid w:val="16070E41"/>
    <w:rsid w:val="16435794"/>
    <w:rsid w:val="16571DC8"/>
    <w:rsid w:val="171672F5"/>
    <w:rsid w:val="172B7C90"/>
    <w:rsid w:val="17AD27E8"/>
    <w:rsid w:val="17BE19D3"/>
    <w:rsid w:val="17DD6835"/>
    <w:rsid w:val="17E01949"/>
    <w:rsid w:val="191D58FB"/>
    <w:rsid w:val="193A32DB"/>
    <w:rsid w:val="19492209"/>
    <w:rsid w:val="19687E48"/>
    <w:rsid w:val="19795202"/>
    <w:rsid w:val="1A1137BB"/>
    <w:rsid w:val="1A2E5179"/>
    <w:rsid w:val="1B153B49"/>
    <w:rsid w:val="1C735482"/>
    <w:rsid w:val="1CB87AB1"/>
    <w:rsid w:val="1D2332D3"/>
    <w:rsid w:val="1DC615E1"/>
    <w:rsid w:val="1E5F12D9"/>
    <w:rsid w:val="1E752B47"/>
    <w:rsid w:val="1E971C57"/>
    <w:rsid w:val="1EAF2075"/>
    <w:rsid w:val="20177670"/>
    <w:rsid w:val="203F2777"/>
    <w:rsid w:val="21474847"/>
    <w:rsid w:val="215B41C8"/>
    <w:rsid w:val="21C43D45"/>
    <w:rsid w:val="21E65C00"/>
    <w:rsid w:val="226E5D01"/>
    <w:rsid w:val="23A97D36"/>
    <w:rsid w:val="23AC6E6F"/>
    <w:rsid w:val="241A62CA"/>
    <w:rsid w:val="243200EE"/>
    <w:rsid w:val="24407D5D"/>
    <w:rsid w:val="25062CC7"/>
    <w:rsid w:val="256F4B3A"/>
    <w:rsid w:val="25A6334E"/>
    <w:rsid w:val="25BF43FD"/>
    <w:rsid w:val="25E66CC5"/>
    <w:rsid w:val="26A167B6"/>
    <w:rsid w:val="26D0702D"/>
    <w:rsid w:val="272E0923"/>
    <w:rsid w:val="27331D60"/>
    <w:rsid w:val="275A1718"/>
    <w:rsid w:val="275D2FB6"/>
    <w:rsid w:val="27BF418D"/>
    <w:rsid w:val="27D97F6F"/>
    <w:rsid w:val="27EC7E96"/>
    <w:rsid w:val="28A20C44"/>
    <w:rsid w:val="292F2A9F"/>
    <w:rsid w:val="2A7F1496"/>
    <w:rsid w:val="2B8D3D88"/>
    <w:rsid w:val="2BAC3761"/>
    <w:rsid w:val="2BC94024"/>
    <w:rsid w:val="2C8A036B"/>
    <w:rsid w:val="2E0651C1"/>
    <w:rsid w:val="2E4140F1"/>
    <w:rsid w:val="2E617BCB"/>
    <w:rsid w:val="2E766B49"/>
    <w:rsid w:val="2E78204D"/>
    <w:rsid w:val="2F130889"/>
    <w:rsid w:val="2F3A3BDD"/>
    <w:rsid w:val="2F536BC1"/>
    <w:rsid w:val="2F6173BC"/>
    <w:rsid w:val="2F8276ED"/>
    <w:rsid w:val="2FC2725D"/>
    <w:rsid w:val="300005A8"/>
    <w:rsid w:val="30033E0E"/>
    <w:rsid w:val="306E7B96"/>
    <w:rsid w:val="313C3864"/>
    <w:rsid w:val="31545C7D"/>
    <w:rsid w:val="31603C8E"/>
    <w:rsid w:val="31880B01"/>
    <w:rsid w:val="31BA0817"/>
    <w:rsid w:val="323C0179"/>
    <w:rsid w:val="323E5792"/>
    <w:rsid w:val="32B46B3E"/>
    <w:rsid w:val="331C4236"/>
    <w:rsid w:val="33C024F3"/>
    <w:rsid w:val="341B50F6"/>
    <w:rsid w:val="346F1131"/>
    <w:rsid w:val="34AA5361"/>
    <w:rsid w:val="35734D1C"/>
    <w:rsid w:val="35C76DF6"/>
    <w:rsid w:val="35FF348B"/>
    <w:rsid w:val="365545B7"/>
    <w:rsid w:val="366F2E4A"/>
    <w:rsid w:val="36AC3612"/>
    <w:rsid w:val="36CC7811"/>
    <w:rsid w:val="36EB4FAA"/>
    <w:rsid w:val="373616E2"/>
    <w:rsid w:val="37755D43"/>
    <w:rsid w:val="37843D10"/>
    <w:rsid w:val="38A72D01"/>
    <w:rsid w:val="39CE7FD9"/>
    <w:rsid w:val="3AD65514"/>
    <w:rsid w:val="3B60677A"/>
    <w:rsid w:val="3B741A56"/>
    <w:rsid w:val="3B9A2439"/>
    <w:rsid w:val="3C4C637B"/>
    <w:rsid w:val="3CD11E57"/>
    <w:rsid w:val="3CE77152"/>
    <w:rsid w:val="3D446D65"/>
    <w:rsid w:val="3DB64D77"/>
    <w:rsid w:val="3DC945ED"/>
    <w:rsid w:val="3DF56736"/>
    <w:rsid w:val="3E2A5655"/>
    <w:rsid w:val="3E7C38CA"/>
    <w:rsid w:val="3F605988"/>
    <w:rsid w:val="3FB26642"/>
    <w:rsid w:val="402F74FD"/>
    <w:rsid w:val="403703F1"/>
    <w:rsid w:val="407A02DD"/>
    <w:rsid w:val="40C761D4"/>
    <w:rsid w:val="40D63E3C"/>
    <w:rsid w:val="41636FC4"/>
    <w:rsid w:val="41A82C28"/>
    <w:rsid w:val="41AE6EE6"/>
    <w:rsid w:val="41CD7C80"/>
    <w:rsid w:val="42451D3A"/>
    <w:rsid w:val="42485738"/>
    <w:rsid w:val="4316420F"/>
    <w:rsid w:val="43C401ED"/>
    <w:rsid w:val="43CF5735"/>
    <w:rsid w:val="447F3D72"/>
    <w:rsid w:val="44DC428B"/>
    <w:rsid w:val="44EE4DF6"/>
    <w:rsid w:val="452B268D"/>
    <w:rsid w:val="45336CAD"/>
    <w:rsid w:val="45992BA6"/>
    <w:rsid w:val="45CF69D6"/>
    <w:rsid w:val="45E83F3B"/>
    <w:rsid w:val="469C3F61"/>
    <w:rsid w:val="470214B0"/>
    <w:rsid w:val="47A5361A"/>
    <w:rsid w:val="47EC7D13"/>
    <w:rsid w:val="48030BB8"/>
    <w:rsid w:val="480F57AF"/>
    <w:rsid w:val="48D6398B"/>
    <w:rsid w:val="4914044E"/>
    <w:rsid w:val="4942433F"/>
    <w:rsid w:val="494D0152"/>
    <w:rsid w:val="49634005"/>
    <w:rsid w:val="4AE47BA6"/>
    <w:rsid w:val="4B8D7117"/>
    <w:rsid w:val="4C3F7B8D"/>
    <w:rsid w:val="4C6E2B99"/>
    <w:rsid w:val="4C9269AF"/>
    <w:rsid w:val="4CAE37E9"/>
    <w:rsid w:val="4CB3324A"/>
    <w:rsid w:val="4CBD45F6"/>
    <w:rsid w:val="4CC205D4"/>
    <w:rsid w:val="4D36767A"/>
    <w:rsid w:val="4D51183B"/>
    <w:rsid w:val="4D884FC4"/>
    <w:rsid w:val="4D937AD1"/>
    <w:rsid w:val="4D9F1383"/>
    <w:rsid w:val="4DA60CF0"/>
    <w:rsid w:val="4DA71FF5"/>
    <w:rsid w:val="4DAE15C6"/>
    <w:rsid w:val="4F046B51"/>
    <w:rsid w:val="4FF311E7"/>
    <w:rsid w:val="5026588C"/>
    <w:rsid w:val="50903205"/>
    <w:rsid w:val="50F648E0"/>
    <w:rsid w:val="517A638F"/>
    <w:rsid w:val="52AC6530"/>
    <w:rsid w:val="52B9052A"/>
    <w:rsid w:val="5474356A"/>
    <w:rsid w:val="549F610D"/>
    <w:rsid w:val="54DA32C1"/>
    <w:rsid w:val="54E104D3"/>
    <w:rsid w:val="54FC5FD4"/>
    <w:rsid w:val="552C3D2B"/>
    <w:rsid w:val="555649EC"/>
    <w:rsid w:val="55690FB3"/>
    <w:rsid w:val="562422E6"/>
    <w:rsid w:val="56594A37"/>
    <w:rsid w:val="56752071"/>
    <w:rsid w:val="5749539E"/>
    <w:rsid w:val="574E2F4F"/>
    <w:rsid w:val="57680A38"/>
    <w:rsid w:val="5780229B"/>
    <w:rsid w:val="57C37084"/>
    <w:rsid w:val="58AE4E18"/>
    <w:rsid w:val="58CA54FC"/>
    <w:rsid w:val="599A5E0E"/>
    <w:rsid w:val="5BAF32FA"/>
    <w:rsid w:val="5BE70AC5"/>
    <w:rsid w:val="5C171A25"/>
    <w:rsid w:val="5C2238AB"/>
    <w:rsid w:val="5C483EAE"/>
    <w:rsid w:val="5C757E7F"/>
    <w:rsid w:val="5D83481E"/>
    <w:rsid w:val="5DF11787"/>
    <w:rsid w:val="5DFC012C"/>
    <w:rsid w:val="5E2A4C99"/>
    <w:rsid w:val="5EA65F4B"/>
    <w:rsid w:val="5F0825DE"/>
    <w:rsid w:val="5F274BAB"/>
    <w:rsid w:val="5F9C7819"/>
    <w:rsid w:val="5FA97E40"/>
    <w:rsid w:val="60E47381"/>
    <w:rsid w:val="614538A0"/>
    <w:rsid w:val="61F1668F"/>
    <w:rsid w:val="62AF39BF"/>
    <w:rsid w:val="630F1C12"/>
    <w:rsid w:val="63124C6D"/>
    <w:rsid w:val="63136B1F"/>
    <w:rsid w:val="63556314"/>
    <w:rsid w:val="63612F0B"/>
    <w:rsid w:val="637A221F"/>
    <w:rsid w:val="63F261C2"/>
    <w:rsid w:val="64035543"/>
    <w:rsid w:val="642867C8"/>
    <w:rsid w:val="64300B2F"/>
    <w:rsid w:val="647C7C5A"/>
    <w:rsid w:val="64AC5DA7"/>
    <w:rsid w:val="64C01EB3"/>
    <w:rsid w:val="65420B1A"/>
    <w:rsid w:val="65757142"/>
    <w:rsid w:val="658D5919"/>
    <w:rsid w:val="66736A21"/>
    <w:rsid w:val="672F7DD0"/>
    <w:rsid w:val="676E37C1"/>
    <w:rsid w:val="6773320D"/>
    <w:rsid w:val="67956430"/>
    <w:rsid w:val="679B1D06"/>
    <w:rsid w:val="681A3FD0"/>
    <w:rsid w:val="693370F8"/>
    <w:rsid w:val="69382A2C"/>
    <w:rsid w:val="69866D21"/>
    <w:rsid w:val="69EC72A7"/>
    <w:rsid w:val="6A3A3FF1"/>
    <w:rsid w:val="6B4126AF"/>
    <w:rsid w:val="6B5D66AE"/>
    <w:rsid w:val="6B953355"/>
    <w:rsid w:val="6BBB30C2"/>
    <w:rsid w:val="6C002902"/>
    <w:rsid w:val="6C082120"/>
    <w:rsid w:val="6C8E2D1D"/>
    <w:rsid w:val="6CA4030D"/>
    <w:rsid w:val="6D34343E"/>
    <w:rsid w:val="6D8F6D17"/>
    <w:rsid w:val="6DC36570"/>
    <w:rsid w:val="6DD21E1E"/>
    <w:rsid w:val="6DDE7D9A"/>
    <w:rsid w:val="6F0C502E"/>
    <w:rsid w:val="6F9B379B"/>
    <w:rsid w:val="6FEF7AF1"/>
    <w:rsid w:val="70182BA3"/>
    <w:rsid w:val="7088334B"/>
    <w:rsid w:val="70BA3C5B"/>
    <w:rsid w:val="70DE3258"/>
    <w:rsid w:val="70F857E7"/>
    <w:rsid w:val="71494FDF"/>
    <w:rsid w:val="71F907B3"/>
    <w:rsid w:val="72C132D3"/>
    <w:rsid w:val="72FC083B"/>
    <w:rsid w:val="73045661"/>
    <w:rsid w:val="73E4432F"/>
    <w:rsid w:val="748A4618"/>
    <w:rsid w:val="74A2126A"/>
    <w:rsid w:val="74B7598C"/>
    <w:rsid w:val="74FD19CB"/>
    <w:rsid w:val="75B07897"/>
    <w:rsid w:val="76005923"/>
    <w:rsid w:val="76606C42"/>
    <w:rsid w:val="769431A0"/>
    <w:rsid w:val="76B4114C"/>
    <w:rsid w:val="76E13D18"/>
    <w:rsid w:val="77137762"/>
    <w:rsid w:val="772F3C2D"/>
    <w:rsid w:val="774249AA"/>
    <w:rsid w:val="77CA50CB"/>
    <w:rsid w:val="77D305BF"/>
    <w:rsid w:val="787D0F01"/>
    <w:rsid w:val="78F61EF0"/>
    <w:rsid w:val="79370622"/>
    <w:rsid w:val="79872B48"/>
    <w:rsid w:val="799D7414"/>
    <w:rsid w:val="79A25A9A"/>
    <w:rsid w:val="7A9A6032"/>
    <w:rsid w:val="7ABA0645"/>
    <w:rsid w:val="7AC94695"/>
    <w:rsid w:val="7AE2097E"/>
    <w:rsid w:val="7BC02341"/>
    <w:rsid w:val="7BE91898"/>
    <w:rsid w:val="7C376AA7"/>
    <w:rsid w:val="7C7B722B"/>
    <w:rsid w:val="7D1A6F58"/>
    <w:rsid w:val="7D79646A"/>
    <w:rsid w:val="7E776D60"/>
    <w:rsid w:val="7ED14F91"/>
    <w:rsid w:val="7F5E4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jc w:val="both"/>
    </w:pPr>
    <w:rPr>
      <w:rFonts w:hint="eastAsia" w:ascii="Times New Roman" w:hAnsi="Times New Roman" w:eastAsia="宋体" w:cs="Times New Roman"/>
      <w:kern w:val="2"/>
      <w:sz w:val="21"/>
      <w:szCs w:val="24"/>
      <w:lang w:val="en-US" w:eastAsia="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Autospacing="1"/>
    </w:pPr>
    <w:rPr>
      <w:rFonts w:ascii="Calibri" w:hAnsi="Calibri"/>
      <w:szCs w:val="21"/>
    </w:rPr>
  </w:style>
  <w:style w:type="paragraph" w:styleId="3">
    <w:name w:val="footer"/>
    <w:basedOn w:val="1"/>
    <w:qFormat/>
    <w:uiPriority w:val="0"/>
    <w:pPr>
      <w:tabs>
        <w:tab w:val="center" w:pos="4153"/>
        <w:tab w:val="right" w:pos="8306"/>
      </w:tabs>
      <w:spacing w:line="240" w:lineRule="atLeast"/>
      <w:jc w:val="left"/>
    </w:pPr>
    <w:rPr>
      <w:sz w:val="18"/>
      <w:szCs w:val="18"/>
    </w:rPr>
  </w:style>
  <w:style w:type="paragraph" w:styleId="4">
    <w:name w:val="header"/>
    <w:basedOn w:val="1"/>
    <w:qFormat/>
    <w:uiPriority w:val="99"/>
    <w:pPr>
      <w:pBdr>
        <w:bottom w:val="single" w:color="auto" w:sz="6" w:space="1"/>
      </w:pBdr>
      <w:tabs>
        <w:tab w:val="center" w:pos="4153"/>
        <w:tab w:val="right" w:pos="8306"/>
      </w:tabs>
      <w:spacing w:line="240" w:lineRule="atLeast"/>
      <w:jc w:val="center"/>
    </w:pPr>
    <w:rPr>
      <w:sz w:val="18"/>
      <w:szCs w:val="18"/>
    </w:rPr>
  </w:style>
  <w:style w:type="paragraph" w:styleId="5">
    <w:name w:val="Normal (Web)"/>
    <w:basedOn w:val="1"/>
    <w:unhideWhenUsed/>
    <w:qFormat/>
    <w:uiPriority w:val="0"/>
    <w:pPr>
      <w:spacing w:before="100" w:beforeAutospacing="1" w:after="100" w:afterAutospacing="1"/>
      <w:jc w:val="left"/>
    </w:pPr>
    <w:rPr>
      <w:rFonts w:hint="eastAsia"/>
      <w:kern w:val="0"/>
      <w:sz w:val="24"/>
      <w:szCs w:val="24"/>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2296</Words>
  <Characters>2441</Characters>
  <Lines>0</Lines>
  <Paragraphs>0</Paragraphs>
  <TotalTime>6</TotalTime>
  <ScaleCrop>false</ScaleCrop>
  <LinksUpToDate>false</LinksUpToDate>
  <CharactersWithSpaces>2442</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2022-09-21T11:31:00Z</dcterms:created>
  <dc:creator>太阳花</dc:creator>
  <cp:lastModifiedBy>太阳花</cp:lastModifiedBy>
  <dcterms:modified xsi:type="dcterms:W3CDTF">2023-10-19T06:44:45Z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A080F065E8C44346860B337D80B6114D</vt:lpwstr>
  </property>
</Properties>
</file>