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lang w:eastAsia="zh-CN"/>
        </w:rPr>
      </w:pPr>
      <w:r>
        <w:rPr>
          <w:rFonts w:hint="eastAsia" w:ascii="黑体" w:hAnsi="黑体" w:eastAsia="黑体" w:cs="黑体"/>
          <w:sz w:val="28"/>
          <w:szCs w:val="28"/>
          <w:lang w:val="en-US" w:eastAsia="zh-CN"/>
        </w:rPr>
        <w:t>2022</w:t>
      </w:r>
      <w:bookmarkStart w:id="0" w:name="_GoBack"/>
      <w:bookmarkEnd w:id="0"/>
      <w:r>
        <w:rPr>
          <w:rFonts w:hint="eastAsia" w:ascii="黑体" w:hAnsi="黑体" w:eastAsia="黑体" w:cs="黑体"/>
          <w:sz w:val="28"/>
          <w:szCs w:val="28"/>
          <w:lang w:eastAsia="zh-CN"/>
        </w:rPr>
        <w:t>年度岳阳市动物疫病预防控制中心整体支出绩效自评报告</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default" w:cs="仿宋_GB2312" w:asciiTheme="minorEastAsia" w:hAnsiTheme="minorEastAsia" w:eastAsiaTheme="minorEastAsia"/>
          <w:sz w:val="28"/>
          <w:szCs w:val="28"/>
          <w:lang w:val="en-US" w:eastAsia="zh-CN"/>
        </w:rPr>
      </w:pPr>
      <w:r>
        <w:rPr>
          <w:rFonts w:hint="eastAsia" w:cs="仿宋_GB2312" w:asciiTheme="minorEastAsia" w:hAnsiTheme="minorEastAsia"/>
          <w:sz w:val="28"/>
          <w:szCs w:val="28"/>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根据市财政局《关于印发&lt;202</w:t>
      </w:r>
      <w:r>
        <w:rPr>
          <w:rFonts w:hint="eastAsia" w:cs="仿宋_GB2312" w:asciiTheme="minorEastAsia" w:hAnsiTheme="minorEastAsia"/>
          <w:sz w:val="28"/>
          <w:szCs w:val="28"/>
          <w:lang w:val="en-US" w:eastAsia="zh-CN"/>
        </w:rPr>
        <w:t>2</w:t>
      </w:r>
      <w:r>
        <w:rPr>
          <w:rFonts w:hint="eastAsia" w:cs="仿宋_GB2312" w:asciiTheme="minorEastAsia" w:hAnsiTheme="minorEastAsia" w:eastAsiaTheme="minorEastAsia"/>
          <w:sz w:val="28"/>
          <w:szCs w:val="28"/>
          <w:lang w:eastAsia="zh-CN"/>
        </w:rPr>
        <w:t>年度岳阳市预算绩效管理工作方案&gt;的通知》要求，我单位专门成立财政支出绩效评价工作小组，组织对202</w:t>
      </w:r>
      <w:r>
        <w:rPr>
          <w:rFonts w:hint="eastAsia" w:cs="仿宋_GB2312" w:asciiTheme="minorEastAsia" w:hAnsiTheme="minorEastAsia"/>
          <w:sz w:val="28"/>
          <w:szCs w:val="28"/>
          <w:lang w:val="en-US" w:eastAsia="zh-CN"/>
        </w:rPr>
        <w:t>2</w:t>
      </w:r>
      <w:r>
        <w:rPr>
          <w:rFonts w:hint="eastAsia" w:cs="仿宋_GB2312" w:asciiTheme="minorEastAsia" w:hAnsiTheme="minorEastAsia" w:eastAsiaTheme="minorEastAsia"/>
          <w:sz w:val="28"/>
          <w:szCs w:val="28"/>
          <w:lang w:eastAsia="zh-CN"/>
        </w:rPr>
        <w:t>年度部门整体支出开展了绩效自评。现将有关情况报告如下：</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一、单位概况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（一）单位基本情况。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根据《中共岳阳市委机构编制委员会办公室关于印发&lt;岳阳市动物疫病</w:t>
      </w:r>
      <w:r>
        <w:rPr>
          <w:rFonts w:hint="eastAsia" w:cs="仿宋_GB2312" w:asciiTheme="minorEastAsia" w:hAnsiTheme="minorEastAsia"/>
          <w:sz w:val="28"/>
          <w:szCs w:val="28"/>
          <w:lang w:eastAsia="zh-CN"/>
        </w:rPr>
        <w:t>预防控制</w:t>
      </w:r>
      <w:r>
        <w:rPr>
          <w:rFonts w:hint="eastAsia" w:cs="仿宋_GB2312" w:asciiTheme="minorEastAsia" w:hAnsiTheme="minorEastAsia" w:eastAsiaTheme="minorEastAsia"/>
          <w:sz w:val="28"/>
          <w:szCs w:val="28"/>
          <w:lang w:eastAsia="zh-CN"/>
        </w:rPr>
        <w:t>中心（岳阳市动物血吸虫病防治工作站）职能配置、内设机构和人员编制规定&gt;的通知》（岳编办函〔202</w:t>
      </w:r>
      <w:r>
        <w:rPr>
          <w:rFonts w:hint="eastAsia" w:cs="仿宋_GB2312" w:asciiTheme="minorEastAsia" w:hAnsiTheme="minorEastAsia"/>
          <w:sz w:val="28"/>
          <w:szCs w:val="28"/>
          <w:lang w:val="en-US" w:eastAsia="zh-CN"/>
        </w:rPr>
        <w:t>1</w:t>
      </w:r>
      <w:r>
        <w:rPr>
          <w:rFonts w:hint="eastAsia" w:cs="仿宋_GB2312" w:asciiTheme="minorEastAsia" w:hAnsiTheme="minorEastAsia" w:eastAsiaTheme="minorEastAsia"/>
          <w:sz w:val="28"/>
          <w:szCs w:val="28"/>
          <w:lang w:eastAsia="zh-CN"/>
        </w:rPr>
        <w:t>〕407号），岳阳市动物疫病预防控制中心为市农业农村局管理的公益一类正科级事业单位。202</w:t>
      </w:r>
      <w:r>
        <w:rPr>
          <w:rFonts w:hint="eastAsia" w:cs="仿宋_GB2312" w:asciiTheme="minorEastAsia" w:hAnsiTheme="minorEastAsia"/>
          <w:sz w:val="28"/>
          <w:szCs w:val="28"/>
          <w:lang w:val="en-US" w:eastAsia="zh-CN"/>
        </w:rPr>
        <w:t>2</w:t>
      </w:r>
      <w:r>
        <w:rPr>
          <w:rFonts w:hint="eastAsia" w:cs="仿宋_GB2312" w:asciiTheme="minorEastAsia" w:hAnsiTheme="minorEastAsia" w:eastAsiaTheme="minorEastAsia"/>
          <w:sz w:val="28"/>
          <w:szCs w:val="28"/>
          <w:lang w:eastAsia="zh-CN"/>
        </w:rPr>
        <w:t>年末编制</w:t>
      </w:r>
      <w:r>
        <w:rPr>
          <w:rFonts w:hint="eastAsia" w:cs="仿宋_GB2312" w:asciiTheme="minorEastAsia" w:hAnsiTheme="minorEastAsia" w:eastAsiaTheme="minorEastAsia"/>
          <w:sz w:val="28"/>
          <w:szCs w:val="28"/>
          <w:lang w:val="en-US" w:eastAsia="zh-CN"/>
        </w:rPr>
        <w:t>12</w:t>
      </w:r>
      <w:r>
        <w:rPr>
          <w:rFonts w:hint="eastAsia" w:cs="仿宋_GB2312" w:asciiTheme="minorEastAsia" w:hAnsiTheme="minorEastAsia" w:eastAsiaTheme="minorEastAsia"/>
          <w:sz w:val="28"/>
          <w:szCs w:val="28"/>
          <w:lang w:eastAsia="zh-CN"/>
        </w:rPr>
        <w:t>人，在职人员</w:t>
      </w:r>
      <w:r>
        <w:rPr>
          <w:rFonts w:hint="eastAsia" w:cs="仿宋_GB2312" w:asciiTheme="minorEastAsia" w:hAnsiTheme="minorEastAsia"/>
          <w:sz w:val="28"/>
          <w:szCs w:val="28"/>
          <w:lang w:val="en-US" w:eastAsia="zh-CN"/>
        </w:rPr>
        <w:t>12</w:t>
      </w:r>
      <w:r>
        <w:rPr>
          <w:rFonts w:hint="eastAsia" w:cs="仿宋_GB2312" w:asciiTheme="minorEastAsia" w:hAnsiTheme="minorEastAsia" w:eastAsiaTheme="minorEastAsia"/>
          <w:sz w:val="28"/>
          <w:szCs w:val="28"/>
          <w:lang w:eastAsia="zh-CN"/>
        </w:rPr>
        <w:t>人，退休人员2人。内设机构三个，综合部、血清学检测室、病原学检测室。</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二）单位主要职能：1、参与制订全市动物防疫工作、计划和动物强制免疫方案等，并协助组织实施。2、承担动物疫病的监测、检测、诊断、流行病学调查、疫情报告及其他预防、控制等技术工作；按照国务院农业农村主管部门的规定和动物疫病监测计划，对动物疫病的发生、流行等情况进行监测，收集、分析、报告监测信息，预测动物疫病发生、流行趋势。3、承担动物疫病净化、消灭的技术工作；按照动物疫病净化、消灭的规划和计划、开展动物疫病净化技术指导、培训，对动物疫病净化效果进行监测、评估。4、对强制免疫计划实施情况和效果进行评估，并公布评估结果。5、承担对家畜血吸虫病监测、筛查、预测、流行病学调查、疫情报告和处理工作的技术支撑工作。6、完成市农业农村局交办的其他任务。</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二、单位年度重点工作</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lang w:val="en-US" w:eastAsia="zh-CN"/>
        </w:rPr>
        <w:t xml:space="preserve"> 1.开展强制免疫和效果评估工作，稳定畜牧业发展基本盘。一是开展强制免疫工作，保障免疫密度。全年累计调拨禽流感（H5+H7）三价灭活疫苗1337万毫升、猪口蹄疫O型灭活苗263.48万毫升、猪口蹄疫O型合成肽疫苗54万毫升、牛羊口蹄疫O型-A型灭活疫苗40.64万头份。通过制定免疫计划、明确工作进度、落实主体责任、开展效果评估，做到应免尽免，全市畜禽群体常年免疫密度达到90%以上，应免畜禽免疫密度达到100%以上。禽流感免疫家禽3472万羽，口蹄疫免疫猪393.93万头、牛25.41万头、羊36.33万头。二是开展免疫效果评估，构建免疫屏障。分春秋防两次组织开展疫苗免疫效果评估工作，共检测153个畜场O型口蹄疫抗体血清样品2405份，合格样品1990份，整体合格率为82.74%；检测73个禽场血清H5亚型样品985份，合格样品943份，合格率为95.74%；检测73个禽场血清H7亚型样品985份，合格样品944份，合格率为95.84%；检测24个羊场小反刍兽疫抗体样品515份，合格数472份，合格率为91.6%；检测38个牛羊场血清布病抗体720份，结果均为阴性。对免疫抗体不合格的养殖户或群体，加强补免等整改措施，确保检测结果有效指导实际生产，确保群体免疫效果合格。为保障我市畜牧业生产安全、动物产品质量安全筑起第一道“防线”。</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lang w:val="en-US" w:eastAsia="zh-CN"/>
        </w:rPr>
        <w:t>2.开展生猪疫病监测工作，为生猪养殖产业健康发展把关，助推养殖业高质量发展。为科学指导生猪养殖发展，切实解决生猪养殖企业在养殖过程中的技术难题。对和佑瑞安农业发展有限公司、和泰生态养猪专业合作社等大型生猪养殖企业，开展非洲猪瘟、猪瘟、猪伪狂犬病毒、猪蓝耳病病毒、猪圆环病毒等生猪疫病血清学和病原学监测工作，分别在6月份检测120份样品、11月份检测189份样品累计检测样品309份，其中蓝耳病抗体合格样品153份，合格率为49.51%；猪瘟抗体合格样品294份，合格率为95.14%；伪狂犬GB抗体合格样品279份，合格率为90.29%；伪狂犬GE抗体阳性样品100份，阳性率为32.36%；圆环抗体合格样品296份，合格率为95.79%；非洲猪瘟抗体均为阴性；非洲猪瘟、猪瘟、猪伪狂犬、蓝耳病毒核酸均为阴性。通过开展现场交流、流调分析以及实验室检测等工作,有效解决了养殖户在养殖时遇到生猪疫病等无法解决的难题，避免了经济损失，为我市生猪复产复养以及养殖场高质量发展提供有力的技术支撑。</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lang w:val="en-US" w:eastAsia="zh-CN"/>
        </w:rPr>
        <w:t>3.开展排查和监测流调工作，做好非洲猪瘟等重大动物疫病防控工作。根据省市动物疫病监测计划要求，认真开展生猪养殖、运输、屠宰到病死猪无害化的全链条系统性监测流调工作。一是持之以恒，做好非洲猪瘟日排查工作。市动物疫病预防控制中心组织县乡两级动物防疫机构对生猪养殖各个环节和重点场所开展非洲猪瘟疫情每日排查工作，通过责任到人，按照包乡、包村、包养殖场的要求，责任到人，进一步压紧压实非洲猪瘟等重大动物疫病防控责任，加强重点环节排查工作，全年共排查养殖场98537场次，屠宰场3012场次，无害化处理场1011场次，排查生猪788万头。通过开展非洲猪瘟排查工作，落实疫情防控措施，及时发现和消除非洲猪瘟疫情发生的风险和隐患。二是开展养殖环节进场入户监测工作。根据省指挥部文件要求，市本级完成年出栏5000头以上规模养殖场的非洲猪瘟专项监测101个，监测样品3479份，各县市区完成年出栏2000头以上规模养殖场的专项监测379个，监测样品10201份，市县两级累计监测480场次，13680份样品。三是开展屠宰环节和无害化处理环节非洲猪瘟及主要疫病监测工作。市动物疫病预防控制中心在屠宰环节检测淋巴结，血样和车辆环境样品共1484份，检测到非洲猪瘟病毒核酸阳性样品15份；在病死猪无害化各处理环节检测车辆环境样品和病料共1562份，检测到非洲猪瘟病毒核酸阳性84份，猪蓝耳病毒核酸阳性12份、猪瘟病毒核酸阳性1份。</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lang w:val="en-US" w:eastAsia="zh-CN"/>
        </w:rPr>
        <w:t>4.深入推进“先打后补”工作。全面贯彻落实预防为主，预防与控制、净化、消灭相结合的方针，深入推进我市动物疫病强制免疫补助政策实施机制改革，进一步落实养殖场动物动物防疫主体责任，市动物疫病预防控制中心认真组织部署，积极推动政策实施，2022年我市共有32个规模养殖场通过了“先打后补”资质认证，申请资金61.72万元，2023年，我市共有235个规模养殖申请“先打后补”资质认证，其中183个养殖场通过了资质认证。</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lang w:val="en-US" w:eastAsia="zh-CN"/>
        </w:rPr>
        <w:t>5．扎实推进动物疫病净化工作。我市积极推动动物疫病净化进程，强化养殖场生物安全管理，推进动物防疫工作转型升级，提高畜禽生产性能和产品质量，配合市农业农村局开展本辖区动物疫病净化工作。截至目前，佳和农牧汨罗分公司通过农业部的伪狂犬净化场创建考核，平江县昌源种羊场通过布病净化场创建考核，预计明年创建2-4个“动物疫病净化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sz w:val="28"/>
          <w:szCs w:val="28"/>
          <w:lang w:val="en-US" w:eastAsia="zh-CN"/>
        </w:rPr>
        <w:t>6</w:t>
      </w:r>
      <w:r>
        <w:rPr>
          <w:rFonts w:hint="eastAsia" w:cs="仿宋_GB2312" w:asciiTheme="minorEastAsia" w:hAnsiTheme="minorEastAsia" w:eastAsiaTheme="minorEastAsia"/>
          <w:sz w:val="28"/>
          <w:szCs w:val="28"/>
          <w:lang w:val="en-US" w:eastAsia="zh-CN"/>
        </w:rPr>
        <w:t>.抓禽流感监测工作。一是每月开展家禽市场禽流感专项监测工作。每月对金兰活禽屠宰场和城区主要活禽市场八字门农贸市场采集家禽咽肛拭子和环境拭子进行禽流感H5和H7病原监测，共检测拭子1080份样品，H5与H7禽流感病毒核酸均为阴性。二是开展紧急集中监测。2022年1月岳阳市动物疫病预防控制中心组织部署全市高致病性禽流感专项监测工作，对岳阳县、汨罗市、君山区、屈原区、临湘市等9个地区28个场点进行了监测采样，共计采集470份禽喉-泄拭子，125份环境拭子，90份血清样品。在汨罗市城西农贸市场检出H5环境阳性1份，在屈原区营田镇荷花村检出野鸟喉-泄拭子H5阳性1份，集贸市场H5环境阳性2份，在岳阳楼区海泰活禽批发市场检出H5环境阳性2份，八字门农贸市场检出H5环境阳性2份，亚华农贸市场检出家禽喉-泄拭子H5阳性4份，H5环境阳性5份，H7环境阳性2份。及时反馈检测结果，指导各地做好禽流感防控措施，确保禽产品安全和人民群众生命健康安全。</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sz w:val="28"/>
          <w:szCs w:val="28"/>
          <w:lang w:val="en-US" w:eastAsia="zh-CN"/>
        </w:rPr>
        <w:t>7</w:t>
      </w:r>
      <w:r>
        <w:rPr>
          <w:rFonts w:hint="eastAsia" w:cs="仿宋_GB2312" w:asciiTheme="minorEastAsia" w:hAnsiTheme="minorEastAsia" w:eastAsiaTheme="minorEastAsia"/>
          <w:sz w:val="28"/>
          <w:szCs w:val="28"/>
          <w:lang w:val="en-US" w:eastAsia="zh-CN"/>
        </w:rPr>
        <w:t>.抓动物血防工作。一是摸清底子。对各地的牛羊存栏分两次进行了摸底调查，6月末，全市存栏牛羊17444头，其中牛9947头，牛7497头，12月末全市存栏17322头，其中牛9838头，羊7484 头。同时对疫区内牛羊调进调出的情况统计，动态掌握疫区牛羊存栏情况。了解疫情风险点，做好风险评估与应对策施。二是开展“两治一查”。疫区牛羊开展“两治一查”，在5-6月、以及3-4月和9-10月分别开展一次查病和两次化疗，全市共计查病17236头，化疗20485头，未发现阳性样。三是淘汰疫区牛羊。严格按照相关文件要求，沿大堤1公里范围内的牛羊一律淘汰，3公里范围以内的易感动物牛羊逐步淘汰，全市全年共计淘汰牛羊1230头。四是开展血防调研。6月对全市各疫区开展血防工作调研，重点调研了2022年防治工作开展情况、现场抽样检测情况和日常管理情况，及时掌握重点流行地区的传播风险和防治工作薄弱环节，有效预警传播风险，确保完成阶段性目标。</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sz w:val="28"/>
          <w:szCs w:val="28"/>
          <w:lang w:val="en-US" w:eastAsia="zh-CN"/>
        </w:rPr>
        <w:t>8</w:t>
      </w:r>
      <w:r>
        <w:rPr>
          <w:rFonts w:hint="eastAsia" w:cs="仿宋_GB2312" w:asciiTheme="minorEastAsia" w:hAnsiTheme="minorEastAsia" w:eastAsiaTheme="minorEastAsia"/>
          <w:sz w:val="28"/>
          <w:szCs w:val="28"/>
          <w:lang w:val="en-US" w:eastAsia="zh-CN"/>
        </w:rPr>
        <w:t>.抓布病监测工作。一是集中监测工作开展情况。根据《湖南省农业农村厅关于印发〈湖南省畜间布鲁氏菌病防控五年行动实施方案（2022-2026年）〉的通知》（湘农发〔2022〕42号）和《全国小反刍兽疫消灭计划》等文件要求，岳阳市动物疫病预防控制中心分别在5月、7月、11月分三次开展布病集中监测工作，累计检测样品5685份，样品采用虎红平板凝集试验进行初筛，初筛阳性样品用竞争酶联免疫吸附试验进行复检。共计检测124个羊场4480份血清样品，结果均为阴性；检测70个牛场1205份血清样品，结果均为阴性。二是疑似布病疫情处置情况。4月17日，接华容县疫控中心通报，某村民确诊感染布病，该场去年9月25日从贵州调入山羊32只，无任何检疫手续，亦未向乡镇报告，华容县动物疫病预防控制中心立即开展流行病学调查以及监测采样，采集10份血清样品进行了布病检测，经检测其中4份阳性，对羊场存栏的45只羊只全部进行了扑杀和无害化处理。</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三、单位整体收支情况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1、收入情况：本年收入合计</w:t>
      </w:r>
      <w:r>
        <w:rPr>
          <w:rFonts w:hint="eastAsia" w:cs="仿宋_GB2312" w:asciiTheme="minorEastAsia" w:hAnsiTheme="minorEastAsia"/>
          <w:sz w:val="28"/>
          <w:szCs w:val="28"/>
          <w:lang w:val="en-US" w:eastAsia="zh-CN"/>
        </w:rPr>
        <w:t>338.01</w:t>
      </w:r>
      <w:r>
        <w:rPr>
          <w:rFonts w:hint="default" w:cs="仿宋_GB2312" w:asciiTheme="minorEastAsia" w:hAnsiTheme="minorEastAsia" w:eastAsiaTheme="minorEastAsia"/>
          <w:sz w:val="28"/>
          <w:szCs w:val="28"/>
          <w:lang w:val="en-US" w:eastAsia="zh-CN"/>
        </w:rPr>
        <w:t>万元，其中：一般公共预算财政拨款收入</w:t>
      </w:r>
      <w:r>
        <w:rPr>
          <w:rFonts w:hint="eastAsia" w:cs="仿宋_GB2312" w:asciiTheme="minorEastAsia" w:hAnsiTheme="minorEastAsia"/>
          <w:sz w:val="28"/>
          <w:szCs w:val="28"/>
          <w:lang w:val="en-US" w:eastAsia="zh-CN"/>
        </w:rPr>
        <w:t>338.01</w:t>
      </w:r>
      <w:r>
        <w:rPr>
          <w:rFonts w:hint="default" w:cs="仿宋_GB2312" w:asciiTheme="minorEastAsia" w:hAnsiTheme="minorEastAsia" w:eastAsiaTheme="minorEastAsia"/>
          <w:sz w:val="28"/>
          <w:szCs w:val="28"/>
          <w:lang w:val="en-US" w:eastAsia="zh-CN"/>
        </w:rPr>
        <w:t>万元；其他收入</w:t>
      </w:r>
      <w:r>
        <w:rPr>
          <w:rFonts w:hint="eastAsia" w:cs="仿宋_GB2312" w:asciiTheme="minorEastAsia" w:hAnsiTheme="minorEastAsia"/>
          <w:sz w:val="28"/>
          <w:szCs w:val="28"/>
          <w:lang w:val="en-US" w:eastAsia="zh-CN"/>
        </w:rPr>
        <w:t>0</w:t>
      </w:r>
      <w:r>
        <w:rPr>
          <w:rFonts w:hint="default" w:cs="仿宋_GB2312" w:asciiTheme="minorEastAsia" w:hAnsiTheme="minorEastAsia" w:eastAsiaTheme="minorEastAsia"/>
          <w:sz w:val="28"/>
          <w:szCs w:val="28"/>
          <w:lang w:val="en-US" w:eastAsia="zh-CN"/>
        </w:rPr>
        <w:t>万元。</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2、支出情况：本年支出合计</w:t>
      </w:r>
      <w:r>
        <w:rPr>
          <w:rFonts w:hint="eastAsia" w:cs="仿宋_GB2312" w:asciiTheme="minorEastAsia" w:hAnsiTheme="minorEastAsia" w:eastAsiaTheme="minorEastAsia"/>
          <w:sz w:val="28"/>
          <w:szCs w:val="28"/>
          <w:lang w:val="en-US" w:eastAsia="zh-CN"/>
        </w:rPr>
        <w:t>355.68</w:t>
      </w:r>
      <w:r>
        <w:rPr>
          <w:rFonts w:hint="default" w:cs="仿宋_GB2312" w:asciiTheme="minorEastAsia" w:hAnsiTheme="minorEastAsia" w:eastAsiaTheme="minorEastAsia"/>
          <w:sz w:val="28"/>
          <w:szCs w:val="28"/>
          <w:lang w:val="en-US" w:eastAsia="zh-CN"/>
        </w:rPr>
        <w:t>万元，其中：基本支出</w:t>
      </w:r>
      <w:r>
        <w:rPr>
          <w:rFonts w:hint="eastAsia" w:cs="仿宋_GB2312" w:asciiTheme="minorEastAsia" w:hAnsiTheme="minorEastAsia" w:eastAsiaTheme="minorEastAsia"/>
          <w:sz w:val="28"/>
          <w:szCs w:val="28"/>
          <w:lang w:val="en-US" w:eastAsia="zh-CN"/>
        </w:rPr>
        <w:t>197.61</w:t>
      </w:r>
      <w:r>
        <w:rPr>
          <w:rFonts w:hint="default" w:cs="仿宋_GB2312" w:asciiTheme="minorEastAsia" w:hAnsiTheme="minorEastAsia" w:eastAsiaTheme="minorEastAsia"/>
          <w:sz w:val="28"/>
          <w:szCs w:val="28"/>
          <w:lang w:val="en-US" w:eastAsia="zh-CN"/>
        </w:rPr>
        <w:t>万元；项目支出</w:t>
      </w:r>
      <w:r>
        <w:rPr>
          <w:rFonts w:hint="eastAsia" w:cs="仿宋_GB2312" w:asciiTheme="minorEastAsia" w:hAnsiTheme="minorEastAsia" w:eastAsiaTheme="minorEastAsia"/>
          <w:sz w:val="28"/>
          <w:szCs w:val="28"/>
          <w:lang w:val="en-US" w:eastAsia="zh-CN"/>
        </w:rPr>
        <w:t>158.07</w:t>
      </w:r>
      <w:r>
        <w:rPr>
          <w:rFonts w:hint="default" w:cs="仿宋_GB2312" w:asciiTheme="minorEastAsia" w:hAnsiTheme="minorEastAsia" w:eastAsiaTheme="minorEastAsia"/>
          <w:sz w:val="28"/>
          <w:szCs w:val="28"/>
          <w:lang w:val="en-US" w:eastAsia="zh-CN"/>
        </w:rPr>
        <w:t>万元。</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3、“三公”经费支出情况：202</w:t>
      </w:r>
      <w:r>
        <w:rPr>
          <w:rFonts w:hint="eastAsia" w:cs="仿宋_GB2312" w:asciiTheme="minorEastAsia" w:hAnsiTheme="minorEastAsia"/>
          <w:sz w:val="28"/>
          <w:szCs w:val="28"/>
          <w:lang w:val="en-US" w:eastAsia="zh-CN"/>
        </w:rPr>
        <w:t>2</w:t>
      </w:r>
      <w:r>
        <w:rPr>
          <w:rFonts w:hint="default" w:cs="仿宋_GB2312" w:asciiTheme="minorEastAsia" w:hAnsiTheme="minorEastAsia" w:eastAsiaTheme="minorEastAsia"/>
          <w:sz w:val="28"/>
          <w:szCs w:val="28"/>
          <w:lang w:val="en-US" w:eastAsia="zh-CN"/>
        </w:rPr>
        <w:t>年我单位“三公”实际支出26.02万元，其中：公务接待费1.8万元、公务用车购置费19.57万元</w:t>
      </w:r>
      <w:r>
        <w:rPr>
          <w:rFonts w:hint="eastAsia" w:cs="仿宋_GB2312" w:asciiTheme="minorEastAsia" w:hAnsiTheme="minorEastAsia"/>
          <w:sz w:val="28"/>
          <w:szCs w:val="28"/>
          <w:lang w:val="en-US" w:eastAsia="zh-CN"/>
        </w:rPr>
        <w:t>、</w:t>
      </w:r>
      <w:r>
        <w:rPr>
          <w:rFonts w:hint="default" w:cs="仿宋_GB2312" w:asciiTheme="minorEastAsia" w:hAnsiTheme="minorEastAsia" w:eastAsiaTheme="minorEastAsia"/>
          <w:sz w:val="28"/>
          <w:szCs w:val="28"/>
          <w:lang w:val="en-US" w:eastAsia="zh-CN"/>
        </w:rPr>
        <w:t>公务用车运行维护费</w:t>
      </w:r>
      <w:r>
        <w:rPr>
          <w:rFonts w:hint="eastAsia" w:cs="仿宋_GB2312" w:asciiTheme="minorEastAsia" w:hAnsiTheme="minorEastAsia"/>
          <w:sz w:val="28"/>
          <w:szCs w:val="28"/>
          <w:lang w:val="en-US" w:eastAsia="zh-CN"/>
        </w:rPr>
        <w:t>4.65</w:t>
      </w:r>
      <w:r>
        <w:rPr>
          <w:rFonts w:hint="default" w:cs="仿宋_GB2312" w:asciiTheme="minorEastAsia" w:hAnsiTheme="minorEastAsia" w:eastAsiaTheme="minorEastAsia"/>
          <w:sz w:val="28"/>
          <w:szCs w:val="28"/>
          <w:lang w:val="en-US" w:eastAsia="zh-CN"/>
        </w:rPr>
        <w:t>万元。</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四、单位整体支出管理及绩效情况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（一）单位整体支出情况分析</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1、202</w:t>
      </w:r>
      <w:r>
        <w:rPr>
          <w:rFonts w:hint="eastAsia" w:cs="仿宋_GB2312" w:asciiTheme="minorEastAsia" w:hAnsiTheme="minorEastAsia"/>
          <w:sz w:val="28"/>
          <w:szCs w:val="28"/>
          <w:lang w:val="en-US" w:eastAsia="zh-CN"/>
        </w:rPr>
        <w:t>2</w:t>
      </w:r>
      <w:r>
        <w:rPr>
          <w:rFonts w:hint="default" w:cs="仿宋_GB2312" w:asciiTheme="minorEastAsia" w:hAnsiTheme="minorEastAsia" w:eastAsiaTheme="minorEastAsia"/>
          <w:sz w:val="28"/>
          <w:szCs w:val="28"/>
          <w:lang w:val="en-US" w:eastAsia="zh-CN"/>
        </w:rPr>
        <w:t>年我单位支出</w:t>
      </w:r>
      <w:r>
        <w:rPr>
          <w:rFonts w:hint="eastAsia" w:cs="仿宋_GB2312" w:asciiTheme="minorEastAsia" w:hAnsiTheme="minorEastAsia" w:eastAsiaTheme="minorEastAsia"/>
          <w:sz w:val="28"/>
          <w:szCs w:val="28"/>
          <w:lang w:val="en-US" w:eastAsia="zh-CN"/>
        </w:rPr>
        <w:t>355.68</w:t>
      </w:r>
      <w:r>
        <w:rPr>
          <w:rFonts w:hint="default" w:cs="仿宋_GB2312" w:asciiTheme="minorEastAsia" w:hAnsiTheme="minorEastAsia" w:eastAsiaTheme="minorEastAsia"/>
          <w:sz w:val="28"/>
          <w:szCs w:val="28"/>
          <w:lang w:val="en-US" w:eastAsia="zh-CN"/>
        </w:rPr>
        <w:t>万元，其中：基本支出</w:t>
      </w:r>
      <w:r>
        <w:rPr>
          <w:rFonts w:hint="eastAsia" w:cs="仿宋_GB2312" w:asciiTheme="minorEastAsia" w:hAnsiTheme="minorEastAsia" w:eastAsiaTheme="minorEastAsia"/>
          <w:sz w:val="28"/>
          <w:szCs w:val="28"/>
          <w:lang w:val="en-US" w:eastAsia="zh-CN"/>
        </w:rPr>
        <w:t>197.61</w:t>
      </w:r>
      <w:r>
        <w:rPr>
          <w:rFonts w:hint="default" w:cs="仿宋_GB2312" w:asciiTheme="minorEastAsia" w:hAnsiTheme="minorEastAsia" w:eastAsiaTheme="minorEastAsia"/>
          <w:sz w:val="28"/>
          <w:szCs w:val="28"/>
          <w:lang w:val="en-US" w:eastAsia="zh-CN"/>
        </w:rPr>
        <w:t>万元；项目支出</w:t>
      </w:r>
      <w:r>
        <w:rPr>
          <w:rFonts w:hint="eastAsia" w:cs="仿宋_GB2312" w:asciiTheme="minorEastAsia" w:hAnsiTheme="minorEastAsia" w:eastAsiaTheme="minorEastAsia"/>
          <w:sz w:val="28"/>
          <w:szCs w:val="28"/>
          <w:lang w:val="en-US" w:eastAsia="zh-CN"/>
        </w:rPr>
        <w:t>158.07</w:t>
      </w:r>
      <w:r>
        <w:rPr>
          <w:rFonts w:hint="default" w:cs="仿宋_GB2312" w:asciiTheme="minorEastAsia" w:hAnsiTheme="minorEastAsia" w:eastAsiaTheme="minorEastAsia"/>
          <w:sz w:val="28"/>
          <w:szCs w:val="28"/>
          <w:lang w:val="en-US" w:eastAsia="zh-CN"/>
        </w:rPr>
        <w:t>万元。</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2、202</w:t>
      </w:r>
      <w:r>
        <w:rPr>
          <w:rFonts w:hint="eastAsia" w:cs="仿宋_GB2312" w:asciiTheme="minorEastAsia" w:hAnsiTheme="minorEastAsia"/>
          <w:sz w:val="28"/>
          <w:szCs w:val="28"/>
          <w:lang w:val="en-US" w:eastAsia="zh-CN"/>
        </w:rPr>
        <w:t>2</w:t>
      </w:r>
      <w:r>
        <w:rPr>
          <w:rFonts w:hint="default" w:cs="仿宋_GB2312" w:asciiTheme="minorEastAsia" w:hAnsiTheme="minorEastAsia" w:eastAsiaTheme="minorEastAsia"/>
          <w:sz w:val="28"/>
          <w:szCs w:val="28"/>
          <w:lang w:val="en-US" w:eastAsia="zh-CN"/>
        </w:rPr>
        <w:t>年我单位“三公”经费实际支出</w:t>
      </w:r>
      <w:r>
        <w:rPr>
          <w:rFonts w:hint="eastAsia" w:cs="仿宋_GB2312" w:asciiTheme="minorEastAsia" w:hAnsiTheme="minorEastAsia"/>
          <w:sz w:val="28"/>
          <w:szCs w:val="28"/>
          <w:lang w:val="en-US" w:eastAsia="zh-CN"/>
        </w:rPr>
        <w:t>26.02</w:t>
      </w:r>
      <w:r>
        <w:rPr>
          <w:rFonts w:hint="default" w:cs="仿宋_GB2312" w:asciiTheme="minorEastAsia" w:hAnsiTheme="minorEastAsia" w:eastAsiaTheme="minorEastAsia"/>
          <w:sz w:val="28"/>
          <w:szCs w:val="28"/>
          <w:lang w:val="en-US" w:eastAsia="zh-CN"/>
        </w:rPr>
        <w:t>万元。其中公务接待费</w:t>
      </w:r>
      <w:r>
        <w:rPr>
          <w:rFonts w:hint="eastAsia" w:cs="仿宋_GB2312" w:asciiTheme="minorEastAsia" w:hAnsiTheme="minorEastAsia"/>
          <w:sz w:val="28"/>
          <w:szCs w:val="28"/>
          <w:lang w:val="en-US" w:eastAsia="zh-CN"/>
        </w:rPr>
        <w:t>1.8</w:t>
      </w:r>
      <w:r>
        <w:rPr>
          <w:rFonts w:hint="default" w:cs="仿宋_GB2312" w:asciiTheme="minorEastAsia" w:hAnsiTheme="minorEastAsia" w:eastAsiaTheme="minorEastAsia"/>
          <w:sz w:val="28"/>
          <w:szCs w:val="28"/>
          <w:lang w:val="en-US" w:eastAsia="zh-CN"/>
        </w:rPr>
        <w:t>万元，较20</w:t>
      </w:r>
      <w:r>
        <w:rPr>
          <w:rFonts w:hint="eastAsia" w:cs="仿宋_GB2312" w:asciiTheme="minorEastAsia" w:hAnsiTheme="minorEastAsia" w:eastAsiaTheme="minorEastAsia"/>
          <w:sz w:val="28"/>
          <w:szCs w:val="28"/>
          <w:lang w:val="en-US" w:eastAsia="zh-CN"/>
        </w:rPr>
        <w:t>2</w:t>
      </w:r>
      <w:r>
        <w:rPr>
          <w:rFonts w:hint="eastAsia" w:cs="仿宋_GB2312" w:asciiTheme="minorEastAsia" w:hAnsiTheme="minorEastAsia"/>
          <w:sz w:val="28"/>
          <w:szCs w:val="28"/>
          <w:lang w:val="en-US" w:eastAsia="zh-CN"/>
        </w:rPr>
        <w:t>1</w:t>
      </w:r>
      <w:r>
        <w:rPr>
          <w:rFonts w:hint="default" w:cs="仿宋_GB2312" w:asciiTheme="minorEastAsia" w:hAnsiTheme="minorEastAsia" w:eastAsiaTheme="minorEastAsia"/>
          <w:sz w:val="28"/>
          <w:szCs w:val="28"/>
          <w:lang w:val="en-US" w:eastAsia="zh-CN"/>
        </w:rPr>
        <w:t>年相比减少0.</w:t>
      </w:r>
      <w:r>
        <w:rPr>
          <w:rFonts w:hint="eastAsia" w:cs="仿宋_GB2312" w:asciiTheme="minorEastAsia" w:hAnsiTheme="minorEastAsia" w:eastAsiaTheme="minorEastAsia"/>
          <w:sz w:val="28"/>
          <w:szCs w:val="28"/>
          <w:lang w:val="en-US" w:eastAsia="zh-CN"/>
        </w:rPr>
        <w:t>2</w:t>
      </w:r>
      <w:r>
        <w:rPr>
          <w:rFonts w:hint="eastAsia" w:cs="仿宋_GB2312" w:asciiTheme="minorEastAsia" w:hAnsiTheme="minorEastAsia"/>
          <w:sz w:val="28"/>
          <w:szCs w:val="28"/>
          <w:lang w:val="en-US" w:eastAsia="zh-CN"/>
        </w:rPr>
        <w:t>6</w:t>
      </w:r>
      <w:r>
        <w:rPr>
          <w:rFonts w:hint="default" w:cs="仿宋_GB2312" w:asciiTheme="minorEastAsia" w:hAnsiTheme="minorEastAsia" w:eastAsiaTheme="minorEastAsia"/>
          <w:sz w:val="28"/>
          <w:szCs w:val="28"/>
          <w:lang w:val="en-US" w:eastAsia="zh-CN"/>
        </w:rPr>
        <w:t>万元，减少</w:t>
      </w:r>
      <w:r>
        <w:rPr>
          <w:rFonts w:hint="eastAsia" w:cs="仿宋_GB2312" w:asciiTheme="minorEastAsia" w:hAnsiTheme="minorEastAsia" w:eastAsiaTheme="minorEastAsia"/>
          <w:sz w:val="28"/>
          <w:szCs w:val="28"/>
          <w:lang w:val="en-US" w:eastAsia="zh-CN"/>
        </w:rPr>
        <w:t>12.62</w:t>
      </w:r>
      <w:r>
        <w:rPr>
          <w:rFonts w:hint="default" w:cs="仿宋_GB2312" w:asciiTheme="minorEastAsia" w:hAnsiTheme="minorEastAsia" w:eastAsiaTheme="minorEastAsia"/>
          <w:sz w:val="28"/>
          <w:szCs w:val="28"/>
          <w:lang w:val="en-US" w:eastAsia="zh-CN"/>
        </w:rPr>
        <w:t>%，减少主要原因是认真贯彻落实中央“八项规定”精神和厉行节约要求，从严控制“三公”经费开支。公务用车购置费19.57万元，</w:t>
      </w:r>
      <w:r>
        <w:rPr>
          <w:rFonts w:hint="eastAsia" w:cs="仿宋_GB2312" w:asciiTheme="minorEastAsia" w:hAnsiTheme="minorEastAsia"/>
          <w:sz w:val="28"/>
          <w:szCs w:val="28"/>
          <w:lang w:val="en-US" w:eastAsia="zh-CN"/>
        </w:rPr>
        <w:t>较2021年</w:t>
      </w:r>
      <w:r>
        <w:rPr>
          <w:rFonts w:hint="default" w:cs="仿宋_GB2312" w:asciiTheme="minorEastAsia" w:hAnsiTheme="minorEastAsia" w:eastAsiaTheme="minorEastAsia"/>
          <w:sz w:val="28"/>
          <w:szCs w:val="28"/>
          <w:lang w:val="en-US" w:eastAsia="zh-CN"/>
        </w:rPr>
        <w:t>相比增加19.57万元，增长的主要原因是根据业务工作需要，本年度购置了一台动物防疫特种技术用车。公务用车运行维护费4.65万元，</w:t>
      </w:r>
      <w:r>
        <w:rPr>
          <w:rFonts w:hint="eastAsia" w:cs="仿宋_GB2312" w:asciiTheme="minorEastAsia" w:hAnsiTheme="minorEastAsia"/>
          <w:sz w:val="28"/>
          <w:szCs w:val="28"/>
          <w:lang w:val="en-US" w:eastAsia="zh-CN"/>
        </w:rPr>
        <w:t>较2021</w:t>
      </w:r>
      <w:r>
        <w:rPr>
          <w:rFonts w:hint="default" w:cs="仿宋_GB2312" w:asciiTheme="minorEastAsia" w:hAnsiTheme="minorEastAsia" w:eastAsiaTheme="minorEastAsia"/>
          <w:sz w:val="28"/>
          <w:szCs w:val="28"/>
          <w:lang w:val="en-US" w:eastAsia="zh-CN"/>
        </w:rPr>
        <w:t>年相比增加1.46万元，增长45.77%，增长的主要原因是本年度上级动物防疫专项任务增加，采样次数增加，相应地出车次数增加。</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3、专项资金使用情况分析。主要项目使用情况：①动物疫病检测及重大疫病防控：24.3万元；②动物防疫消毒药专项：27万元；③生猪疫病定点监测与流行病学调查：9万元；④动物疫病</w:t>
      </w:r>
      <w:r>
        <w:rPr>
          <w:rFonts w:hint="eastAsia" w:cs="仿宋_GB2312" w:asciiTheme="minorEastAsia" w:hAnsiTheme="minorEastAsia" w:eastAsiaTheme="minorEastAsia"/>
          <w:sz w:val="28"/>
          <w:szCs w:val="28"/>
          <w:lang w:val="en-US" w:eastAsia="zh-CN"/>
        </w:rPr>
        <w:t>监测</w:t>
      </w:r>
      <w:r>
        <w:rPr>
          <w:rFonts w:hint="default" w:cs="仿宋_GB2312" w:asciiTheme="minorEastAsia" w:hAnsiTheme="minorEastAsia" w:eastAsiaTheme="minorEastAsia"/>
          <w:sz w:val="28"/>
          <w:szCs w:val="28"/>
          <w:lang w:val="en-US" w:eastAsia="zh-CN"/>
        </w:rPr>
        <w:t>和流行病学调查：</w:t>
      </w:r>
      <w:r>
        <w:rPr>
          <w:rFonts w:hint="eastAsia" w:cs="仿宋_GB2312" w:asciiTheme="minorEastAsia" w:hAnsiTheme="minorEastAsia"/>
          <w:sz w:val="28"/>
          <w:szCs w:val="28"/>
          <w:lang w:val="en-US" w:eastAsia="zh-CN"/>
        </w:rPr>
        <w:t>97.77</w:t>
      </w:r>
      <w:r>
        <w:rPr>
          <w:rFonts w:hint="default" w:cs="仿宋_GB2312" w:asciiTheme="minorEastAsia" w:hAnsiTheme="minorEastAsia" w:eastAsiaTheme="minorEastAsia"/>
          <w:sz w:val="28"/>
          <w:szCs w:val="28"/>
          <w:lang w:val="en-US" w:eastAsia="zh-CN"/>
        </w:rPr>
        <w:t>万元；</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4、固定资产管理情况分析。坚持厉行节约、物尽其用的原则，采取统一建账、统一核算管理，对每件固定资产使用明确保管职责，闲置的资产，办公室统一调节使用，发挥其效益，特别是按照市资产管理领导小组的要求，对资产进行了全面的清理，保证能用则用的原则，对不能用的资产，采取先处置后购置，保证了资产的安全高效。添置了部分急需的固定资产。截止到202</w:t>
      </w:r>
      <w:r>
        <w:rPr>
          <w:rFonts w:hint="eastAsia" w:cs="仿宋_GB2312" w:asciiTheme="minorEastAsia" w:hAnsiTheme="minorEastAsia"/>
          <w:sz w:val="28"/>
          <w:szCs w:val="28"/>
          <w:lang w:val="en-US" w:eastAsia="zh-CN"/>
        </w:rPr>
        <w:t>2</w:t>
      </w:r>
      <w:r>
        <w:rPr>
          <w:rFonts w:hint="default" w:cs="仿宋_GB2312" w:asciiTheme="minorEastAsia" w:hAnsiTheme="minorEastAsia" w:eastAsiaTheme="minorEastAsia"/>
          <w:sz w:val="28"/>
          <w:szCs w:val="28"/>
          <w:lang w:val="en-US" w:eastAsia="zh-CN"/>
        </w:rPr>
        <w:t>年12月底，固定资产总额（原值）2</w:t>
      </w:r>
      <w:r>
        <w:rPr>
          <w:rFonts w:hint="eastAsia" w:cs="仿宋_GB2312" w:asciiTheme="minorEastAsia" w:hAnsiTheme="minorEastAsia"/>
          <w:sz w:val="28"/>
          <w:szCs w:val="28"/>
          <w:lang w:val="en-US" w:eastAsia="zh-CN"/>
        </w:rPr>
        <w:t>71</w:t>
      </w:r>
      <w:r>
        <w:rPr>
          <w:rFonts w:hint="eastAsia" w:cs="仿宋_GB2312" w:asciiTheme="minorEastAsia" w:hAnsiTheme="minorEastAsia" w:eastAsiaTheme="minorEastAsia"/>
          <w:sz w:val="28"/>
          <w:szCs w:val="28"/>
          <w:lang w:val="en-US" w:eastAsia="zh-CN"/>
        </w:rPr>
        <w:t>.</w:t>
      </w:r>
      <w:r>
        <w:rPr>
          <w:rFonts w:hint="eastAsia" w:cs="仿宋_GB2312" w:asciiTheme="minorEastAsia" w:hAnsiTheme="minorEastAsia"/>
          <w:sz w:val="28"/>
          <w:szCs w:val="28"/>
          <w:lang w:val="en-US" w:eastAsia="zh-CN"/>
        </w:rPr>
        <w:t>69</w:t>
      </w:r>
      <w:r>
        <w:rPr>
          <w:rFonts w:hint="default" w:cs="仿宋_GB2312" w:asciiTheme="minorEastAsia" w:hAnsiTheme="minorEastAsia" w:eastAsiaTheme="minorEastAsia"/>
          <w:sz w:val="28"/>
          <w:szCs w:val="28"/>
          <w:lang w:val="en-US" w:eastAsia="zh-CN"/>
        </w:rPr>
        <w:t>万元。</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5、单位整体节余资金分析。截至202</w:t>
      </w:r>
      <w:r>
        <w:rPr>
          <w:rFonts w:hint="eastAsia" w:cs="仿宋_GB2312" w:asciiTheme="minorEastAsia" w:hAnsiTheme="minorEastAsia"/>
          <w:sz w:val="28"/>
          <w:szCs w:val="28"/>
          <w:lang w:val="en-US" w:eastAsia="zh-CN"/>
        </w:rPr>
        <w:t>2</w:t>
      </w:r>
      <w:r>
        <w:rPr>
          <w:rFonts w:hint="default" w:cs="仿宋_GB2312" w:asciiTheme="minorEastAsia" w:hAnsiTheme="minorEastAsia" w:eastAsiaTheme="minorEastAsia"/>
          <w:sz w:val="28"/>
          <w:szCs w:val="28"/>
          <w:lang w:val="en-US" w:eastAsia="zh-CN"/>
        </w:rPr>
        <w:t>年12月31日，</w:t>
      </w:r>
      <w:r>
        <w:rPr>
          <w:rFonts w:hint="eastAsia" w:cs="仿宋_GB2312" w:asciiTheme="minorEastAsia" w:hAnsiTheme="minorEastAsia"/>
          <w:sz w:val="28"/>
          <w:szCs w:val="28"/>
          <w:lang w:val="en-US" w:eastAsia="zh-CN"/>
        </w:rPr>
        <w:t>没有</w:t>
      </w:r>
      <w:r>
        <w:rPr>
          <w:rFonts w:hint="eastAsia" w:cs="仿宋_GB2312" w:asciiTheme="minorEastAsia" w:hAnsiTheme="minorEastAsia" w:eastAsiaTheme="minorEastAsia"/>
          <w:sz w:val="28"/>
          <w:szCs w:val="28"/>
          <w:lang w:val="en-US" w:eastAsia="zh-CN"/>
        </w:rPr>
        <w:t>其他资金结余</w:t>
      </w:r>
      <w:r>
        <w:rPr>
          <w:rFonts w:hint="default" w:cs="仿宋_GB2312" w:asciiTheme="minorEastAsia" w:hAnsiTheme="minorEastAsia" w:eastAsiaTheme="minorEastAsia"/>
          <w:sz w:val="28"/>
          <w:szCs w:val="28"/>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（二）单位整体支出管理情况分析</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1、严格预算支出管理。在支出预算编制上，人员经费按照配置定额，逐人核定编制，公用经费分类分档，按定额编制；根据“总量控制、计划管理”的要求从严控制公用经费，严格控制“三公”经费，资产的配置严格政府采购，按照预算科目和项目资金的规定使用财政资金，保障单位整体支出的规范化、制度化。</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2、财务管理按制度运行。按照国家法律法规，制定了单位财务、资产配置使用、接待、会务、因公出差、车辆使用等内部控制制度，并按照制度管理和执行，防范风险，保证财政资金的安全和高效运行。</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default" w:cs="仿宋_GB2312" w:asciiTheme="minorEastAsia" w:hAnsiTheme="minorEastAsia" w:eastAsiaTheme="minorEastAsia"/>
          <w:sz w:val="28"/>
          <w:szCs w:val="28"/>
          <w:lang w:val="en-US" w:eastAsia="zh-CN"/>
        </w:rPr>
        <w:t>3、各项工作全面完成</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color w:val="000000" w:themeColor="text1"/>
          <w:sz w:val="28"/>
          <w:szCs w:val="28"/>
          <w:lang w:val="en-US" w:eastAsia="zh-CN"/>
          <w14:textFill>
            <w14:solidFill>
              <w14:schemeClr w14:val="tx1"/>
            </w14:solidFill>
          </w14:textFill>
        </w:rPr>
      </w:pPr>
      <w:r>
        <w:rPr>
          <w:rFonts w:hint="default" w:cs="仿宋_GB2312" w:asciiTheme="minorEastAsia" w:hAnsiTheme="minorEastAsia" w:eastAsiaTheme="minorEastAsia"/>
          <w:color w:val="000000" w:themeColor="text1"/>
          <w:sz w:val="28"/>
          <w:szCs w:val="28"/>
          <w:lang w:val="en-US" w:eastAsia="zh-CN"/>
          <w14:textFill>
            <w14:solidFill>
              <w14:schemeClr w14:val="tx1"/>
            </w14:solidFill>
          </w14:textFill>
        </w:rPr>
        <w:t>202</w:t>
      </w:r>
      <w:r>
        <w:rPr>
          <w:rFonts w:hint="eastAsia" w:cs="仿宋_GB2312" w:asciiTheme="minorEastAsia" w:hAnsiTheme="minorEastAsia"/>
          <w:color w:val="000000" w:themeColor="text1"/>
          <w:sz w:val="28"/>
          <w:szCs w:val="28"/>
          <w:lang w:val="en-US" w:eastAsia="zh-CN"/>
          <w14:textFill>
            <w14:solidFill>
              <w14:schemeClr w14:val="tx1"/>
            </w14:solidFill>
          </w14:textFill>
        </w:rPr>
        <w:t>2</w:t>
      </w:r>
      <w:r>
        <w:rPr>
          <w:rFonts w:hint="default" w:cs="仿宋_GB2312" w:asciiTheme="minorEastAsia" w:hAnsiTheme="minorEastAsia" w:eastAsiaTheme="minorEastAsia"/>
          <w:color w:val="000000" w:themeColor="text1"/>
          <w:sz w:val="28"/>
          <w:szCs w:val="28"/>
          <w:lang w:val="en-US" w:eastAsia="zh-CN"/>
          <w14:textFill>
            <w14:solidFill>
              <w14:schemeClr w14:val="tx1"/>
            </w14:solidFill>
          </w14:textFill>
        </w:rPr>
        <w:t>年我</w:t>
      </w:r>
      <w:r>
        <w:rPr>
          <w:rFonts w:hint="eastAsia" w:cs="仿宋_GB2312" w:asciiTheme="minorEastAsia" w:hAnsiTheme="minorEastAsia" w:eastAsiaTheme="minorEastAsia"/>
          <w:color w:val="000000" w:themeColor="text1"/>
          <w:sz w:val="28"/>
          <w:szCs w:val="28"/>
          <w:lang w:val="en-US" w:eastAsia="zh-CN"/>
          <w14:textFill>
            <w14:solidFill>
              <w14:schemeClr w14:val="tx1"/>
            </w14:solidFill>
          </w14:textFill>
        </w:rPr>
        <w:t>单位</w:t>
      </w:r>
      <w:r>
        <w:rPr>
          <w:rFonts w:hint="default" w:cs="仿宋_GB2312" w:asciiTheme="minorEastAsia" w:hAnsiTheme="minorEastAsia" w:eastAsiaTheme="minorEastAsia"/>
          <w:color w:val="000000" w:themeColor="text1"/>
          <w:sz w:val="28"/>
          <w:szCs w:val="28"/>
          <w:lang w:val="en-US" w:eastAsia="zh-CN"/>
          <w14:textFill>
            <w14:solidFill>
              <w14:schemeClr w14:val="tx1"/>
            </w14:solidFill>
          </w14:textFill>
        </w:rPr>
        <w:t>充分发挥部门职责职能优势，以“防疫病、促发展、保供给、稳公共卫生安全”为目标，全面加强养殖、屠宰、无害化全链条兽医卫生风险控制，不断提高动物疫病监测、应急处置能力，不断提升动物疫病净化水平，为我市畜牧业高质量发展奠定坚实基础，助推“三农”工作又好又快发展</w:t>
      </w:r>
      <w:r>
        <w:rPr>
          <w:rFonts w:hint="eastAsia" w:cs="仿宋_GB2312" w:asciiTheme="minorEastAsia" w:hAnsiTheme="minorEastAsia" w:eastAsiaTheme="minorEastAsia"/>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lang w:val="en-US" w:eastAsia="zh-CN"/>
        </w:rPr>
        <w:t>五、存在的问题及工作努力的方向</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lang w:val="en-US" w:eastAsia="zh-CN"/>
        </w:rPr>
        <w:t>预算编制有待更严格执行，专项支出有待进一步加强。对今后的工作，一是按照预算规定的项目和用途严格财务审计，经费支出严格按预算规定项目的财务支出内容进行财务预算，在预算金额内严格控制费用的支出。二是进一步细化“三公”经费管理，杜绝挪用和挤占其他预算资金。三是预算财务分析常态化，定期做好预算支出财务分析，做好单位整体支出预算评价工作。</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2MDIxZGMwYmEzMzUwMWY2YzNlMWMzNzQxZmNjMGEifQ=="/>
  </w:docVars>
  <w:rsids>
    <w:rsidRoot w:val="778E198B"/>
    <w:rsid w:val="02D449C6"/>
    <w:rsid w:val="135F7F5C"/>
    <w:rsid w:val="19002B16"/>
    <w:rsid w:val="21DB3EE8"/>
    <w:rsid w:val="388B0A30"/>
    <w:rsid w:val="4023723D"/>
    <w:rsid w:val="486D36FA"/>
    <w:rsid w:val="548E6388"/>
    <w:rsid w:val="6C372112"/>
    <w:rsid w:val="70705B7E"/>
    <w:rsid w:val="778E1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100" w:beforeAutospacing="1"/>
    </w:pPr>
    <w:rPr>
      <w:rFonts w:ascii="Calibri" w:hAnsi="Calibri"/>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182</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2022-09-22T02:13:00Z</dcterms:created>
  <dc:creator>殷文洁</dc:creator>
  <cp:lastModifiedBy>-</cp:lastModifiedBy>
  <dcterms:modified xsi:type="dcterms:W3CDTF">2023-10-27T03:30:51Z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4FC7AB0EF92647A2A39B2BBBD753ADBB</vt:lpwstr>
  </property>
</Properties>
</file>