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560" w:lineRule="exact"/>
        <w:ind w:left="1566" w:hanging="1566" w:hangingChars="300"/>
        <w:rPr>
          <w:rFonts w:hint="default" w:ascii="宋体" w:hAnsi="宋体" w:eastAsia="宋体" w:cs="Times New Roman"/>
          <w:sz w:val="32"/>
          <w:szCs w:val="24"/>
          <w:lang w:val="zh-CN" w:eastAsia="zh-CN" w:bidi="ar"/>
        </w:rPr>
      </w:pPr>
      <w:r>
        <w:rPr>
          <w:rFonts w:hint="default" w:ascii="宋体" w:hAnsi="宋体" w:eastAsia="宋体" w:cs="Times New Roman"/>
          <w:b/>
          <w:bCs/>
          <w:kern w:val="2"/>
          <w:sz w:val="52"/>
          <w:szCs w:val="44"/>
          <w:lang w:val="zh-CN"/>
        </w:rPr>
        <w:t>202</w:t>
      </w:r>
      <w:r>
        <w:rPr>
          <w:rFonts w:hint="eastAsia" w:ascii="宋体" w:hAnsi="宋体" w:eastAsia="宋体" w:cs="Times New Roman"/>
          <w:b/>
          <w:bCs/>
          <w:kern w:val="2"/>
          <w:sz w:val="52"/>
          <w:szCs w:val="44"/>
          <w:lang w:val="en-US" w:eastAsia="zh-CN"/>
        </w:rPr>
        <w:t>2</w:t>
      </w:r>
      <w:r>
        <w:rPr>
          <w:rFonts w:hint="default" w:ascii="宋体" w:hAnsi="宋体" w:eastAsia="宋体" w:cs="Times New Roman"/>
          <w:b/>
          <w:bCs/>
          <w:kern w:val="2"/>
          <w:sz w:val="52"/>
          <w:szCs w:val="44"/>
          <w:lang w:val="zh-CN"/>
        </w:rPr>
        <w:t>年度岳阳市农业</w:t>
      </w:r>
      <w:r>
        <w:rPr>
          <w:rFonts w:hint="eastAsia" w:ascii="宋体" w:hAnsi="宋体" w:eastAsia="宋体" w:cs="Times New Roman"/>
          <w:b/>
          <w:bCs/>
          <w:kern w:val="2"/>
          <w:sz w:val="52"/>
          <w:szCs w:val="44"/>
          <w:lang w:val="zh-CN"/>
        </w:rPr>
        <w:t>农村事务中</w:t>
      </w:r>
      <w:r>
        <w:rPr>
          <w:rFonts w:hint="eastAsia" w:ascii="宋体" w:hAnsi="宋体" w:eastAsia="宋体" w:cs="Times New Roman"/>
          <w:b/>
          <w:bCs/>
          <w:kern w:val="2"/>
          <w:sz w:val="52"/>
          <w:szCs w:val="44"/>
          <w:lang w:val="zh-CN" w:eastAsia="zh-CN"/>
        </w:rPr>
        <w:t>心</w:t>
      </w:r>
      <w:r>
        <w:rPr>
          <w:rFonts w:hint="default" w:ascii="宋体" w:hAnsi="宋体" w:eastAsia="宋体" w:cs="Times New Roman"/>
          <w:b/>
          <w:bCs/>
          <w:kern w:val="2"/>
          <w:sz w:val="52"/>
          <w:szCs w:val="44"/>
          <w:lang w:val="zh-CN" w:eastAsia="zh-CN"/>
        </w:rPr>
        <w:t>整体支出绩效自评报告</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根据要求，我</w:t>
      </w:r>
      <w:r>
        <w:rPr>
          <w:rFonts w:hint="eastAsia" w:ascii="宋体" w:hAnsi="宋体" w:eastAsia="宋体" w:cs="Times New Roman"/>
          <w:sz w:val="32"/>
          <w:szCs w:val="24"/>
          <w:lang w:val="zh-CN" w:eastAsia="zh-CN" w:bidi="ar"/>
        </w:rPr>
        <w:t>中心</w:t>
      </w:r>
      <w:r>
        <w:rPr>
          <w:rFonts w:hint="default" w:ascii="宋体" w:hAnsi="宋体" w:eastAsia="宋体" w:cs="Times New Roman"/>
          <w:sz w:val="32"/>
          <w:szCs w:val="24"/>
          <w:lang w:val="zh-CN" w:eastAsia="zh-CN" w:bidi="ar"/>
        </w:rPr>
        <w:t>专门成立财政支出绩效评价工作小组，组织对202</w:t>
      </w:r>
      <w:r>
        <w:rPr>
          <w:rFonts w:hint="eastAsia" w:ascii="宋体" w:hAnsi="宋体" w:eastAsia="宋体" w:cs="Times New Roman"/>
          <w:sz w:val="32"/>
          <w:szCs w:val="24"/>
          <w:lang w:val="en-US" w:eastAsia="zh-CN" w:bidi="ar"/>
        </w:rPr>
        <w:t>2</w:t>
      </w:r>
      <w:r>
        <w:rPr>
          <w:rFonts w:hint="default" w:ascii="宋体" w:hAnsi="宋体" w:eastAsia="宋体" w:cs="Times New Roman"/>
          <w:sz w:val="32"/>
          <w:szCs w:val="24"/>
          <w:lang w:val="zh-CN" w:eastAsia="zh-CN" w:bidi="ar"/>
        </w:rPr>
        <w:t>年度部门整体支出开展了绩效自评。现将有关情况报告如下：</w:t>
      </w:r>
    </w:p>
    <w:p>
      <w:pPr>
        <w:spacing w:before="156" w:beforeLines="50" w:after="156" w:afterLines="50" w:line="560" w:lineRule="exact"/>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一、部门概况</w:t>
      </w:r>
    </w:p>
    <w:p>
      <w:pPr>
        <w:spacing w:before="156" w:beforeLines="50" w:after="156" w:afterLines="50" w:line="560" w:lineRule="exact"/>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（一）部门基本情况</w:t>
      </w:r>
    </w:p>
    <w:p>
      <w:pPr>
        <w:spacing w:before="156" w:beforeLines="50" w:after="156" w:afterLines="50" w:line="560" w:lineRule="exact"/>
        <w:ind w:firstLine="640" w:firstLineChars="200"/>
        <w:rPr>
          <w:rFonts w:hint="eastAsia"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岳阳市农业农村事务中心内设机构设置。单位下设六个内设机构：（一）综合科。负责单位办公、财务、后勤保障工作，承担人事、档案、综治、信访及党风廉政建设等工作。（二）种植技术推广科。制订实施种植业技术推广计划，组织实施种植业技术推广项目；承担农技员培训和学历教育；承担种植业新技术、新品种的引进、试验和示范推广及试验示范基地建设；指导基层种植业推广机构的推广活动，开展种植业技术培训和相关信息统计工作。（三）畜牧技术推广科。制订实施畜牧业技术推广计划，组织实施畜牧业技术推广项目；承担畜牧新技术引进、试验和示范推广及试验示范基地建设，指导基层畜牧推广机构的畜牧推广活动，开展畜牧技术培训和相关信息统计工作；</w:t>
      </w:r>
      <w:r>
        <w:rPr>
          <w:rFonts w:hint="eastAsia" w:ascii="宋体" w:hAnsi="宋体" w:eastAsia="宋体" w:cs="Times New Roman"/>
          <w:sz w:val="32"/>
          <w:szCs w:val="24"/>
          <w:lang w:val="en-US" w:eastAsia="zh-CN" w:bidi="ar"/>
        </w:rPr>
        <w:t>参与全市重大疫情的防控工作</w:t>
      </w:r>
      <w:r>
        <w:rPr>
          <w:rFonts w:hint="eastAsia" w:ascii="宋体" w:hAnsi="宋体" w:eastAsia="宋体" w:cs="Times New Roman"/>
          <w:sz w:val="32"/>
          <w:szCs w:val="24"/>
          <w:lang w:val="zh-CN" w:eastAsia="zh-CN" w:bidi="ar"/>
        </w:rPr>
        <w:t>。（四）水产技术推广科。制订实施水产技术推广计划，组织实施水产技术推广项目；承担现代渔业生产模式和关键技术和引进、试验和示范推广及试验示范基地建设；承担水生动物疫病、水产养殖灾害的监测、预报和预防工作；承担重大水生动物疫病防控和应急处置的技术工作；组织渔业行业职业技能鉴定，开展水产技术培训和相关信息统计工作。（五）农机与能源技术推广科。制订实施农机和能源技术推广计划，组织实施农机和能源技术推广项目；承担农机和能源新技术、新模式的引进、试验和示范推广及技术先进性、适用性、安全性评价；承担农机技术试验示范基地建设，指导基层农机和能源推广机构推广活动，开展农机和能源技术培训和相关信息统计工作。（六）农民教育科。承担农民教育培训，培养高素质农民，组织优秀新型农业经营组织负责人境外培训；承担农民职业技</w:t>
      </w:r>
      <w:r>
        <w:rPr>
          <w:rFonts w:hint="eastAsia" w:ascii="宋体" w:hAnsi="宋体" w:eastAsia="宋体" w:cs="Times New Roman"/>
          <w:sz w:val="32"/>
          <w:szCs w:val="24"/>
          <w:lang w:val="en-US" w:eastAsia="zh-CN" w:bidi="ar"/>
        </w:rPr>
        <w:t>能</w:t>
      </w:r>
      <w:r>
        <w:rPr>
          <w:rFonts w:hint="eastAsia" w:ascii="宋体" w:hAnsi="宋体" w:eastAsia="宋体" w:cs="Times New Roman"/>
          <w:sz w:val="32"/>
          <w:szCs w:val="24"/>
          <w:lang w:val="zh-CN" w:eastAsia="zh-CN" w:bidi="ar"/>
        </w:rPr>
        <w:t>鉴定，组织农民体育赛事活动，开展农业声像宣传和管理。</w:t>
      </w:r>
    </w:p>
    <w:p>
      <w:pPr>
        <w:spacing w:before="156" w:beforeLines="50" w:after="156" w:afterLines="50" w:line="560" w:lineRule="exact"/>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（二）部门主要职能</w:t>
      </w:r>
    </w:p>
    <w:p>
      <w:pPr>
        <w:spacing w:before="156" w:beforeLines="50" w:after="156" w:afterLines="50" w:line="560" w:lineRule="exact"/>
        <w:ind w:firstLine="640" w:firstLineChars="200"/>
        <w:rPr>
          <w:rFonts w:hint="eastAsia" w:ascii="宋体" w:hAnsi="宋体" w:eastAsia="宋体" w:cs="Times New Roman"/>
          <w:kern w:val="2"/>
          <w:sz w:val="32"/>
          <w:szCs w:val="24"/>
          <w:lang w:val="zh-CN"/>
        </w:rPr>
      </w:pPr>
      <w:r>
        <w:rPr>
          <w:rFonts w:hint="default" w:ascii="宋体" w:hAnsi="宋体" w:eastAsia="宋体" w:cs="Times New Roman"/>
          <w:sz w:val="32"/>
          <w:szCs w:val="24"/>
          <w:lang w:val="en-US" w:eastAsia="zh-CN" w:bidi="ar"/>
        </w:rPr>
        <w:t>市农业</w:t>
      </w:r>
      <w:r>
        <w:rPr>
          <w:rFonts w:hint="eastAsia" w:ascii="宋体" w:hAnsi="宋体" w:eastAsia="宋体" w:cs="Times New Roman"/>
          <w:sz w:val="32"/>
          <w:szCs w:val="24"/>
          <w:lang w:val="en-US" w:eastAsia="zh-CN" w:bidi="ar"/>
        </w:rPr>
        <w:t>农村事务中心</w:t>
      </w:r>
      <w:r>
        <w:rPr>
          <w:rFonts w:hint="default" w:ascii="宋体" w:hAnsi="宋体" w:eastAsia="宋体" w:cs="Times New Roman"/>
          <w:sz w:val="32"/>
          <w:szCs w:val="24"/>
          <w:lang w:val="en-US" w:eastAsia="zh-CN" w:bidi="ar"/>
        </w:rPr>
        <w:t>是由市农业农村局管理的公益一类副处级机构，编制</w:t>
      </w:r>
      <w:r>
        <w:rPr>
          <w:rFonts w:hint="eastAsia" w:ascii="宋体" w:hAnsi="宋体" w:eastAsia="宋体" w:cs="Times New Roman"/>
          <w:sz w:val="32"/>
          <w:szCs w:val="24"/>
          <w:lang w:val="en-US" w:eastAsia="zh-CN" w:bidi="ar"/>
        </w:rPr>
        <w:t>44</w:t>
      </w:r>
      <w:r>
        <w:rPr>
          <w:rFonts w:hint="default" w:ascii="宋体" w:hAnsi="宋体" w:eastAsia="宋体" w:cs="Times New Roman"/>
          <w:sz w:val="32"/>
          <w:szCs w:val="24"/>
          <w:lang w:val="en-US" w:eastAsia="zh-CN" w:bidi="ar"/>
        </w:rPr>
        <w:t>个，在职人数</w:t>
      </w:r>
      <w:r>
        <w:rPr>
          <w:rFonts w:hint="eastAsia" w:ascii="宋体" w:hAnsi="宋体" w:eastAsia="宋体" w:cs="Times New Roman"/>
          <w:sz w:val="32"/>
          <w:szCs w:val="24"/>
          <w:lang w:val="en-US" w:eastAsia="zh-CN" w:bidi="ar"/>
        </w:rPr>
        <w:t>44</w:t>
      </w:r>
      <w:r>
        <w:rPr>
          <w:rFonts w:hint="default" w:ascii="宋体" w:hAnsi="宋体" w:eastAsia="宋体" w:cs="Times New Roman"/>
          <w:sz w:val="32"/>
          <w:szCs w:val="24"/>
          <w:lang w:val="en-US" w:eastAsia="zh-CN" w:bidi="ar"/>
        </w:rPr>
        <w:t>人，退休人数</w:t>
      </w:r>
      <w:r>
        <w:rPr>
          <w:rFonts w:hint="eastAsia" w:ascii="宋体" w:hAnsi="宋体" w:eastAsia="宋体" w:cs="Times New Roman"/>
          <w:sz w:val="32"/>
          <w:szCs w:val="24"/>
          <w:lang w:val="en-US" w:eastAsia="zh-CN" w:bidi="ar"/>
        </w:rPr>
        <w:t>20</w:t>
      </w:r>
      <w:r>
        <w:rPr>
          <w:rFonts w:hint="default" w:ascii="宋体" w:hAnsi="宋体" w:eastAsia="宋体" w:cs="Times New Roman"/>
          <w:sz w:val="32"/>
          <w:szCs w:val="24"/>
          <w:lang w:val="en-US" w:eastAsia="zh-CN" w:bidi="ar"/>
        </w:rPr>
        <w:t>人。主要职责为：</w:t>
      </w:r>
      <w:r>
        <w:rPr>
          <w:rFonts w:hint="eastAsia" w:ascii="宋体" w:hAnsi="宋体" w:eastAsia="宋体" w:cs="Times New Roman"/>
          <w:sz w:val="32"/>
          <w:szCs w:val="24"/>
          <w:lang w:val="zh-CN" w:eastAsia="zh-CN" w:bidi="ar"/>
        </w:rPr>
        <w:t>（一）主要职责为：负责全市基层农业技术推广体系和农业广播电视学校体系建设、业务指导和工作考评。负责农业技术推广项目的实施。负责农业新品种、新技术、新装备的引进、试验、示范推广及先进性、适用性和安全性评价。负责土壤耕地质量、土壤肥力、水生动物疫病防控、渔业环境等农业生态环境监测工作。负责绿色食品、有机农产品和地理标志农产品申报、认证、宣传推介工作。负责乡村振兴人才教育培训、农民职业技能鉴定、农业声像宣传和</w:t>
      </w:r>
      <w:r>
        <w:rPr>
          <w:rFonts w:hint="eastAsia" w:ascii="宋体" w:hAnsi="宋体" w:eastAsia="宋体" w:cs="Times New Roman"/>
          <w:kern w:val="2"/>
          <w:sz w:val="32"/>
          <w:szCs w:val="24"/>
          <w:lang w:val="zh-CN"/>
        </w:rPr>
        <w:t>管理，组织农民体育赛事活动。</w:t>
      </w: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pStyle w:val="3"/>
        <w:shd w:val="clear" w:color="auto" w:fill="FFFFFF"/>
        <w:spacing w:before="0" w:beforeLines="0" w:beforeAutospacing="0" w:after="0" w:afterLines="0" w:afterAutospacing="0" w:line="33" w:lineRule="atLeast"/>
        <w:ind w:firstLine="420"/>
        <w:jc w:val="both"/>
        <w:rPr>
          <w:rFonts w:hint="default" w:ascii="宋体" w:hAnsi="宋体" w:eastAsia="宋体" w:cs="Times New Roman"/>
          <w:kern w:val="2"/>
          <w:sz w:val="32"/>
          <w:szCs w:val="24"/>
          <w:lang w:val="zh-CN"/>
        </w:rPr>
      </w:pPr>
      <w:r>
        <w:rPr>
          <w:rFonts w:hint="default" w:ascii="宋体" w:hAnsi="宋体" w:eastAsia="宋体" w:cs="Times New Roman"/>
          <w:kern w:val="2"/>
          <w:sz w:val="32"/>
          <w:szCs w:val="24"/>
          <w:lang w:val="zh-CN"/>
        </w:rPr>
        <w:t>二、年度重点工作</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贯彻落实中央、省一号文件、省市《乡村振兴战略规划(2018—2022年)》文件和省市农业农村工作会议精神，立足农技推广培训职能，以项目建设为抓手，推进单位各项业务工作。</w:t>
      </w:r>
    </w:p>
    <w:p>
      <w:pPr>
        <w:spacing w:beforeLines="0" w:afterLines="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1、建设服务平台，完善体系强能力。进一步完善体系建设，依托推广、农广体系建设项目，抓好基层农技、农广体系建设，目前我市县级推广机构已基本完成改革，但只有华容、云溪、楼区、屈原四个县市区将农业、畜牧水产、农机综合设置，其他7个县市区机构仍然分设，乡镇农技站全部合并成一个中心站，站房和农技员工资待遇全部到位。完善现代农业技术推广信息化平台，基层农技人员全部使用中国农技推广APP开展手机云端服务，并指导科技示范户利用中国农技推广APP平台学习农业新政策、了解新品种、掌握新技术。通过市县共抓，对推广体系管理信息系统明确专人负责，按时按质完成了APP平台建设和全国基层农技推广体系管理信息系统2020年数据信息填报。创建星级基层农技站，发展农民田间学校，我市现有10个省级5星农技站，5个国家级5星农技站，12个省级5星田间学校；今年我市有6个田间学校申报湖南省农民田间学校示范校。我市9个县级农广校分校在本轮改革中都保留下来，有的分校力量还有所增强。</w:t>
      </w:r>
    </w:p>
    <w:p>
      <w:pPr>
        <w:spacing w:beforeLines="0" w:afterLines="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2、创建示范基地，推广技术增效益。开展高效农业示范基地创建，全市共创建了21个高效农业示范基地，1240个科技示范户，并依托示范基地和科技示范户，强化技术指导服务，落实三项技术（机收再生稻“四防一增”高产高效技术、稻油轮作“三化”技术、有机生态稻田综合种养技术）推广，全市再生稻种植面积20.28万亩，机收再生稻“四防一增”高产高效栽培技术应用面积达20.07万亩，占总面积的98.91%；稻油总面积107万亩，稻油轮作“三化技术”应用面积104.3万亩，占总面积的97.48%；稻田综合种养总面积88.67万亩，有机生态稻田综合种养面积86.34万亩，占养殖总面积的97.38%；主推技术到位率都在95%以上。累计推广有序抛秧机近200台，机插（抛）早稻面积92.3万亩。为我市粮食安全生产提供了有力的保障。</w:t>
      </w:r>
    </w:p>
    <w:p>
      <w:pPr>
        <w:spacing w:beforeLines="0" w:afterLines="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创精品示范基地2个 ，一是有机生态稻虾综合种养水稻品种展示基地。开展稻虾综合种养水稻品种展示，筛选出适合我市稻虾综合种养的优质高产水稻品种，提高稻虾综合种养效益。我站选点在临湘市江南镇益湘家庭农场开展稻虾综合种养水稻品种展示，总面积90亩，共收集18个品种，其中包括6个一晚（一季）品种，11个杂交晚稻品种和1个常规品种。二是优质水稻玉针香有机栽培技术示范推广基地。采用有机栽培技术，生产有机无公害玉针香大米，提高大米品质，为全市大面积推广优质稻有机栽培技术提供技术支撑。我站选点在华容县禹农云耕水稻种植专业合作社，建立了50亩优质稻有机栽培试验示范基地。</w:t>
      </w:r>
    </w:p>
    <w:p>
      <w:pPr>
        <w:spacing w:beforeLines="0" w:afterLines="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为推动我市水产养殖转型升级，我站与岳阳县怡江种养合作社合作建立了我市首个池塘内循环流水养殖技术（跑道养殖技术）示范基地。该养殖场在60亩的水面修建3条水槽，在养殖槽内“圈养”草鱼、青鱼，鱼的运动量增大、肉质紧实，加上养殖槽三面均是混凝土硬化，养出的鱼也不带泥腥味儿，鱼的品质提高了，每斤价格也提高了0.5元—0.8元。</w:t>
      </w:r>
    </w:p>
    <w:p>
      <w:pPr>
        <w:spacing w:beforeLines="0" w:afterLines="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3、开展三农培训，提升技能树人才。一是强化队伍建设，开展基层农技人员培训。为进一步加强基层农技推广人才队伍建设，提升基层农技推广服务供给能力。组织县市区农技人员参加基层农技人员培训，我市5县5区将共有218人参加六个项目的培训，27名基层农技人员参加了学历提升，68名高中应届毕业生参加定向培养，其中本科9名，专科59名。组织开展了水稻有序抛秧技术示范与培训会和农机安全监理人员培训班，培训农技人员近150多人。组织农技人员参加网络培训。今年组织参与全国农技中心远程培训4场、农技大讲堂培训7场，培训农技人员4600余人次。二是强化产业领军人才培训，抓好“农广助农”品牌培训工程。我站今年向省农广校争取资金50多万元，组织举办了6期“农广助农”产业领军人才培训班，参训学员近400人次，为我市培养了一大批黄茶、生猪、芥菜、甜酒、栀子和稻田综合种养产业领军人才，为我市重点农业产业的发展提供了坚实的人才支撑。三是强化农民培训，抓好高素质农民培育。全市农教系统、推广系统，今年共承担生产经营型和专业技能型高素质农民培训任务1000多人。通过认真组织、统筹计划、严格监管并狠抓落实，培训任务均如期完成。引导发挥农民田间学校作用，各县市区通过田间学校组织开展基地观摩，共现场培训人数2850余人，通过现场观摩再生稻高效栽培模式、“稻+虾”等稻田综合种养技术模式、绿色防控技术模式、水稻全程机械化等模式，使一批资源节约、增产增效、生态环保、质量安全的优质绿色高效技术得到深化推广。</w:t>
      </w:r>
    </w:p>
    <w:p>
      <w:pPr>
        <w:spacing w:beforeLines="0" w:afterLines="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4、服务特色产业，创新技术补短板。一是开展黄茶闷黄关键技术机械化生产研究。为了推进我市黄茶产业高质量快速发展，针对黄茶加工关键</w:t>
      </w:r>
      <w:bookmarkStart w:id="0" w:name="_GoBack"/>
      <w:bookmarkEnd w:id="0"/>
      <w:r>
        <w:rPr>
          <w:rFonts w:hint="default" w:ascii="宋体" w:hAnsi="宋体" w:eastAsia="宋体" w:cs="Times New Roman"/>
          <w:sz w:val="32"/>
          <w:szCs w:val="24"/>
          <w:lang w:val="zh-CN" w:eastAsia="zh-CN" w:bidi="ar"/>
        </w:rPr>
        <w:t xml:space="preserve">环节技术短板，组织开展黄茶闷黄关键技术机械化生产研究，项目已成功申报省农业农村厅2020年农业优势特色产业项目---茶叶全自动闷黄机研制，并与市农科院和洞庭春茶厂联合申报省科技厅项目---多层输送带箱式茶叶闷黄机研制及岳阳黄茶机械化加工技术规范制定，现在2个项目都已成功立项，争取项目资金共70万元。二是推动岳阳市水生动物疫病防控监测区域中心建设。为建设服务现代渔业发展需要、省内一流、全国先进的水生动物疫病防控监测区域中心，承担辖区内水生动物疫病监测、防疫、病害防治技术服务、水产品质量安全和渔业水域环境检测，渔用药物耐药性监测普查、为水产苗种产地检疫提供技术支撑，并指导、带动辖区内县级水生动物防治站，开展水生动物疫病防治，完善省市县三级水生动物疫病预防监测体系，我站积极申报2020年国家农业部项目——岳阳市水生动物疫病防控监测区域中心建设项目，该项目已获批中央财政预算内资金400万元。项目的实施将为保护渔业水域环境，提高水产品质量安全水平，提升水生动物疫病防控能力，推动水产业持续健康发展提供有力技术支撑。 </w:t>
      </w:r>
    </w:p>
    <w:p>
      <w:pPr>
        <w:spacing w:beforeLines="0" w:afterLines="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5、发挥媒体资源优势，促销农产品。为切实解决农产品滞销问题，由湖南广播电视台广播传媒中心携手湖南省农民科技教育培训中心（省农广校）系统联合发起《振兴吧乡村》县长代言农产品网络直播活动，我站组织承办了2期，分别是汩罗长乐甜酒和岳阳王鸽，由湖南卫视、芒果TV、红网等新闻媒体报道，甜酒的销售近1.5万单，销售金额达到100万元，王鸽的销售金额达到46.7万元，活动取得较好的效果，示范引领了我市农产品直播带货活动。</w:t>
      </w:r>
    </w:p>
    <w:p>
      <w:pPr>
        <w:spacing w:beforeLines="0" w:afterLines="0" w:line="560" w:lineRule="exact"/>
        <w:ind w:firstLine="640" w:firstLineChars="200"/>
        <w:rPr>
          <w:rFonts w:hint="default" w:ascii="宋体" w:hAnsi="宋体" w:eastAsia="宋体" w:cs="Times New Roman"/>
          <w:kern w:val="2"/>
          <w:sz w:val="32"/>
          <w:szCs w:val="24"/>
          <w:lang w:val="zh-CN" w:eastAsia="zh-CN" w:bidi="ar"/>
        </w:rPr>
      </w:pPr>
      <w:r>
        <w:rPr>
          <w:rFonts w:hint="default" w:ascii="宋体" w:hAnsi="宋体" w:eastAsia="宋体" w:cs="Times New Roman"/>
          <w:sz w:val="32"/>
          <w:szCs w:val="24"/>
          <w:lang w:val="zh-CN" w:eastAsia="zh-CN" w:bidi="ar"/>
        </w:rPr>
        <w:t>6、完成有关技术性、事务性工作，发挥作用促发展。一是开展农机安全监理工作。完成2020年我市11个县市区农机购置补贴机具抽查核验工作，完成全市农机安全监理员证件清理和换发，落实我市农机安责险推广与统计工作，落实农机驾驶员考试工作，安排、监督各县市区农机驾驶员交叉监考24场次，2020年我市830人参加考试，783人合格，合格率94.3%。积极参与我市“平安农机”示范市创建工作，完成农机监理日常系统的管理、月报汇总上报及农机安全监理人员培训等技术性事务性工作。二是开展重大水生动物疫病疫情测报工作。根据《2020年国家水生动物疫病监测计划》的要求，我站在华容、湘阴、汨罗、平江、岳阳县等5市县组织开展鲤春病毒血症、锦鲤疱疹病毒病、鲫造血器官坏死病、草鱼出血病、鲤浮肿病等5种重大水生动物疫病疫情监测。严格按照《方案》要求，分别在5月和8月2次共采样5000尾送检，圆满完成了今年的水生动物疫病疫情监测工作。三是持续推进技术帮扶活动。践行“一线工作法”，打通服务三农“最后一公里”， 依托推广体系建设项目，落实资金安排，调动基层农技人员积极性，继续推进“百名农技人员帮扶百家新型农业经营主体”活动，共培育科技示范户1240户，选拨技术指导员290人，切实帮助新型农业经营组织解决技术难题，培训技术人员，为我市现代农业产业发展，乡村振兴提供技术和人才支撑。四是抓好非洲猪瘟防控技术推广。为促进生猪产业健康发展，确保猪肉有效供给，我站通过主办培训班、发放技术资料和技术指导服务等多种形式，积极参与非洲猪瘟防控技术推广，在各方共同努力下，我市非洲猪瘟防控取得了阶段性成果。疫情发生强度明显下降，关键环节病毒污染情况得到改善，养殖、屠宰、运输、无害化处理等环节污染率明显下降，养殖场户生物安全意识明显提高，群防群控格局初步形成，生猪生产恢复势头良好。今年，全市出栏生猪380万头，同比增长6.7%。七是开展农业丰收奖推荐申报。今年有四个县参加五个项目的农业丰收奖的申报工作，有岳阳县的水稻集中育秧技术推广、平江的水稻病虫害防治和油菜高产栽培技术推广、临湘稻油水旱轮作绿色优质高效示范推广、汩罗“早加晚优”模式绿色高质高效技术推广应用。八是开展各行业统计工作。为确保统计数据全面客观真实地反映我市农业各行业生产水平，202</w:t>
      </w:r>
      <w:r>
        <w:rPr>
          <w:rFonts w:hint="eastAsia" w:ascii="宋体" w:hAnsi="宋体" w:eastAsia="宋体" w:cs="Times New Roman"/>
          <w:sz w:val="32"/>
          <w:szCs w:val="24"/>
          <w:lang w:val="en-US" w:eastAsia="zh-CN" w:bidi="ar"/>
        </w:rPr>
        <w:t>2</w:t>
      </w:r>
      <w:r>
        <w:rPr>
          <w:rFonts w:hint="default" w:ascii="宋体" w:hAnsi="宋体" w:eastAsia="宋体" w:cs="Times New Roman"/>
          <w:sz w:val="32"/>
          <w:szCs w:val="24"/>
          <w:lang w:val="zh-CN" w:eastAsia="zh-CN" w:bidi="ar"/>
        </w:rPr>
        <w:t>年全面加强了种植业、畜牧业、渔业和农机、农教统计汇总工作，不断督促各县市区完成统计汇总上报。目前已按相关要求全面完成了各行业统计的月报、季报、预计报和年报</w:t>
      </w:r>
      <w:r>
        <w:rPr>
          <w:rFonts w:hint="eastAsia" w:ascii="宋体" w:hAnsi="宋体" w:eastAsia="宋体" w:cs="Times New Roman"/>
          <w:sz w:val="32"/>
          <w:szCs w:val="24"/>
          <w:lang w:val="zh-CN" w:eastAsia="zh-CN" w:bidi="ar"/>
        </w:rPr>
        <w:t>工作。</w:t>
      </w:r>
    </w:p>
    <w:p>
      <w:pPr>
        <w:pStyle w:val="3"/>
        <w:shd w:val="clear" w:color="auto" w:fill="FFFFFF"/>
        <w:spacing w:before="0" w:beforeLines="0" w:beforeAutospacing="0" w:after="0" w:afterLines="0" w:afterAutospacing="0" w:line="33" w:lineRule="atLeast"/>
        <w:ind w:firstLine="420"/>
        <w:jc w:val="both"/>
        <w:rPr>
          <w:rFonts w:hint="default" w:cs="黑体" w:asciiTheme="minorEastAsia" w:hAnsiTheme="minorEastAsia" w:eastAsiaTheme="minorEastAsia"/>
          <w:color w:val="000000"/>
          <w:kern w:val="0"/>
          <w:sz w:val="32"/>
          <w:szCs w:val="32"/>
          <w:lang w:val="zh-CN" w:eastAsia="zh-CN" w:bidi="ar-SA"/>
        </w:rPr>
      </w:pPr>
      <w:r>
        <w:rPr>
          <w:rFonts w:hint="default" w:cs="黑体" w:asciiTheme="minorEastAsia" w:hAnsiTheme="minorEastAsia" w:eastAsiaTheme="minorEastAsia"/>
          <w:color w:val="000000"/>
          <w:kern w:val="0"/>
          <w:sz w:val="32"/>
          <w:szCs w:val="32"/>
          <w:lang w:val="zh-CN" w:eastAsia="zh-CN" w:bidi="ar-SA"/>
        </w:rPr>
        <w:t>三、部门整体收支情况</w:t>
      </w:r>
    </w:p>
    <w:p>
      <w:pPr>
        <w:pStyle w:val="3"/>
        <w:shd w:val="clear" w:color="auto" w:fill="FFFFFF"/>
        <w:spacing w:before="0" w:beforeLines="0" w:beforeAutospacing="0" w:after="0" w:afterLines="0" w:afterAutospacing="0" w:line="33" w:lineRule="atLeast"/>
        <w:ind w:firstLine="420"/>
        <w:jc w:val="both"/>
        <w:rPr>
          <w:rFonts w:hint="default" w:cs="黑体" w:asciiTheme="minorEastAsia" w:hAnsiTheme="minorEastAsia" w:eastAsiaTheme="minorEastAsia"/>
          <w:color w:val="000000"/>
          <w:kern w:val="0"/>
          <w:sz w:val="32"/>
          <w:szCs w:val="32"/>
          <w:lang w:val="zh-CN" w:eastAsia="zh-CN" w:bidi="ar-SA"/>
        </w:rPr>
      </w:pPr>
      <w:r>
        <w:rPr>
          <w:rFonts w:hint="default" w:cs="黑体" w:asciiTheme="minorEastAsia" w:hAnsiTheme="minorEastAsia" w:eastAsiaTheme="minorEastAsia"/>
          <w:color w:val="000000"/>
          <w:kern w:val="0"/>
          <w:sz w:val="32"/>
          <w:szCs w:val="32"/>
          <w:lang w:val="zh-CN" w:eastAsia="zh-CN" w:bidi="ar-SA"/>
        </w:rPr>
        <w:t>1、收入情况：</w:t>
      </w:r>
      <w:r>
        <w:rPr>
          <w:rFonts w:hint="eastAsia" w:cs="黑体" w:asciiTheme="minorEastAsia" w:hAnsiTheme="minorEastAsia" w:eastAsiaTheme="minorEastAsia"/>
          <w:color w:val="000000"/>
          <w:kern w:val="0"/>
          <w:sz w:val="32"/>
          <w:szCs w:val="32"/>
          <w:lang w:val="zh-CN" w:eastAsia="zh-CN" w:bidi="ar-SA"/>
        </w:rPr>
        <w:t>中心</w:t>
      </w:r>
      <w:r>
        <w:rPr>
          <w:rFonts w:hint="default" w:cs="黑体" w:asciiTheme="minorEastAsia" w:hAnsiTheme="minorEastAsia" w:eastAsiaTheme="minorEastAsia"/>
          <w:color w:val="000000"/>
          <w:kern w:val="0"/>
          <w:sz w:val="32"/>
          <w:szCs w:val="32"/>
          <w:lang w:val="zh-CN" w:eastAsia="zh-CN" w:bidi="ar-SA"/>
        </w:rPr>
        <w:t>全年收入</w:t>
      </w:r>
      <w:r>
        <w:rPr>
          <w:rFonts w:hint="eastAsia" w:cs="黑体" w:asciiTheme="minorEastAsia" w:hAnsiTheme="minorEastAsia" w:eastAsiaTheme="minorEastAsia"/>
          <w:color w:val="000000"/>
          <w:kern w:val="0"/>
          <w:sz w:val="32"/>
          <w:szCs w:val="32"/>
          <w:lang w:val="en-US" w:eastAsia="zh-CN" w:bidi="ar-SA"/>
        </w:rPr>
        <w:t>1279.61</w:t>
      </w:r>
      <w:r>
        <w:rPr>
          <w:rFonts w:hint="default" w:cs="黑体" w:asciiTheme="minorEastAsia" w:hAnsiTheme="minorEastAsia" w:eastAsiaTheme="minorEastAsia"/>
          <w:color w:val="000000"/>
          <w:kern w:val="0"/>
          <w:sz w:val="32"/>
          <w:szCs w:val="32"/>
          <w:lang w:val="zh-CN" w:eastAsia="zh-CN" w:bidi="ar-SA"/>
        </w:rPr>
        <w:t>万元，其中：全年</w:t>
      </w:r>
      <w:r>
        <w:rPr>
          <w:rFonts w:hint="default" w:cs="黑体" w:asciiTheme="minorEastAsia" w:hAnsiTheme="minorEastAsia" w:eastAsiaTheme="minorEastAsia"/>
          <w:color w:val="000000"/>
          <w:kern w:val="0"/>
          <w:sz w:val="32"/>
          <w:szCs w:val="32"/>
          <w:lang w:val="zh-CN" w:eastAsia="zh-CN" w:bidi="ar-SA"/>
        </w:rPr>
        <w:t>财政拨款收入</w:t>
      </w:r>
      <w:r>
        <w:rPr>
          <w:rFonts w:hint="eastAsia" w:cs="黑体" w:asciiTheme="minorEastAsia" w:hAnsiTheme="minorEastAsia" w:eastAsiaTheme="minorEastAsia"/>
          <w:color w:val="000000"/>
          <w:kern w:val="0"/>
          <w:sz w:val="32"/>
          <w:szCs w:val="32"/>
          <w:lang w:val="en-US" w:eastAsia="zh-CN" w:bidi="ar-SA"/>
        </w:rPr>
        <w:t>1177.34</w:t>
      </w:r>
      <w:r>
        <w:rPr>
          <w:rFonts w:hint="default" w:cs="黑体" w:asciiTheme="minorEastAsia" w:hAnsiTheme="minorEastAsia" w:eastAsiaTheme="minorEastAsia"/>
          <w:color w:val="000000"/>
          <w:kern w:val="0"/>
          <w:sz w:val="32"/>
          <w:szCs w:val="32"/>
          <w:lang w:val="zh-CN" w:eastAsia="zh-CN" w:bidi="ar-SA"/>
        </w:rPr>
        <w:t>万元、其他收入</w:t>
      </w:r>
      <w:r>
        <w:rPr>
          <w:rFonts w:hint="eastAsia" w:cs="黑体" w:asciiTheme="minorEastAsia" w:hAnsiTheme="minorEastAsia" w:eastAsiaTheme="minorEastAsia"/>
          <w:color w:val="000000"/>
          <w:kern w:val="0"/>
          <w:sz w:val="32"/>
          <w:szCs w:val="32"/>
          <w:lang w:val="en-US" w:eastAsia="zh-CN" w:bidi="ar-SA"/>
        </w:rPr>
        <w:t>102.26</w:t>
      </w:r>
      <w:r>
        <w:rPr>
          <w:rFonts w:hint="default" w:cs="黑体" w:asciiTheme="minorEastAsia" w:hAnsiTheme="minorEastAsia" w:eastAsiaTheme="minorEastAsia"/>
          <w:color w:val="000000"/>
          <w:kern w:val="0"/>
          <w:sz w:val="32"/>
          <w:szCs w:val="32"/>
          <w:lang w:val="zh-CN" w:eastAsia="zh-CN" w:bidi="ar-SA"/>
        </w:rPr>
        <w:t>万元。</w:t>
      </w:r>
    </w:p>
    <w:p>
      <w:pPr>
        <w:pStyle w:val="6"/>
        <w:ind w:firstLine="640" w:firstLineChars="200"/>
        <w:rPr>
          <w:rFonts w:hint="eastAsia" w:asciiTheme="minorEastAsia" w:hAnsiTheme="minorEastAsia" w:eastAsiaTheme="minorEastAsia"/>
          <w:sz w:val="32"/>
          <w:szCs w:val="32"/>
        </w:rPr>
      </w:pPr>
      <w:r>
        <w:rPr>
          <w:rFonts w:hint="default" w:ascii="宋体" w:hAnsi="宋体" w:eastAsia="宋体" w:cs="Times New Roman"/>
          <w:kern w:val="2"/>
          <w:sz w:val="32"/>
          <w:szCs w:val="24"/>
          <w:lang w:val="zh-CN" w:eastAsia="zh-CN" w:bidi="ar"/>
        </w:rPr>
        <w:t>2、支出情况：全年支出</w:t>
      </w:r>
      <w:r>
        <w:rPr>
          <w:rFonts w:hint="eastAsia" w:ascii="Times New Roman" w:hAnsi="Times New Roman" w:eastAsia="仿宋_GB2312"/>
          <w:sz w:val="32"/>
          <w:szCs w:val="32"/>
          <w:lang w:val="en-US" w:eastAsia="zh-CN"/>
        </w:rPr>
        <w:t>1279.62</w:t>
      </w:r>
      <w:r>
        <w:rPr>
          <w:rFonts w:hint="default" w:ascii="宋体" w:hAnsi="宋体" w:eastAsia="宋体" w:cs="Times New Roman"/>
          <w:kern w:val="2"/>
          <w:sz w:val="32"/>
          <w:szCs w:val="24"/>
          <w:lang w:val="zh-CN" w:eastAsia="zh-CN" w:bidi="ar"/>
        </w:rPr>
        <w:t>万元，</w:t>
      </w:r>
      <w:r>
        <w:rPr>
          <w:rFonts w:hint="eastAsia" w:ascii="宋体" w:hAnsi="宋体" w:eastAsia="宋体" w:cs="Times New Roman"/>
          <w:kern w:val="2"/>
          <w:sz w:val="32"/>
          <w:szCs w:val="24"/>
          <w:lang w:val="zh-CN" w:eastAsia="zh-CN" w:bidi="ar"/>
        </w:rPr>
        <w:t>基本支出</w:t>
      </w:r>
      <w:r>
        <w:rPr>
          <w:rFonts w:hint="eastAsia" w:ascii="Times New Roman" w:hAnsi="Times New Roman" w:eastAsia="仿宋_GB2312"/>
          <w:sz w:val="32"/>
          <w:szCs w:val="32"/>
          <w:lang w:val="en-US" w:eastAsia="zh-CN"/>
        </w:rPr>
        <w:t>952.95</w:t>
      </w:r>
      <w:r>
        <w:rPr>
          <w:rFonts w:hint="eastAsia" w:ascii="宋体" w:hAnsi="宋体" w:eastAsia="宋体" w:cs="Times New Roman"/>
          <w:kern w:val="2"/>
          <w:sz w:val="32"/>
          <w:szCs w:val="24"/>
          <w:lang w:val="zh-CN" w:eastAsia="zh-CN" w:bidi="ar"/>
        </w:rPr>
        <w:t>万</w:t>
      </w:r>
      <w:r>
        <w:rPr>
          <w:rFonts w:hint="eastAsia" w:asciiTheme="minorEastAsia" w:hAnsiTheme="minorEastAsia" w:eastAsiaTheme="minorEastAsia"/>
          <w:sz w:val="32"/>
          <w:szCs w:val="32"/>
        </w:rPr>
        <w:t>元，项目支出</w:t>
      </w:r>
      <w:r>
        <w:rPr>
          <w:rFonts w:hint="eastAsia" w:ascii="Times New Roman" w:hAnsi="Times New Roman" w:eastAsia="仿宋_GB2312"/>
          <w:sz w:val="32"/>
          <w:szCs w:val="32"/>
          <w:lang w:val="en-US" w:eastAsia="zh-CN"/>
        </w:rPr>
        <w:t>326.67</w:t>
      </w:r>
      <w:r>
        <w:rPr>
          <w:rFonts w:hint="eastAsia" w:asciiTheme="minorEastAsia" w:hAnsiTheme="minorEastAsia" w:eastAsiaTheme="minorEastAsia"/>
          <w:sz w:val="32"/>
          <w:szCs w:val="32"/>
        </w:rPr>
        <w:t>万元；上缴上级支出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万元；经营支出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3"/>
        <w:shd w:val="clear" w:color="auto" w:fill="FFFFFF"/>
        <w:spacing w:before="0" w:beforeLines="0" w:beforeAutospacing="0" w:after="0" w:afterLines="0" w:afterAutospacing="0" w:line="33" w:lineRule="atLeast"/>
        <w:ind w:firstLine="420"/>
        <w:jc w:val="both"/>
        <w:rPr>
          <w:rFonts w:hint="default" w:ascii="宋体" w:hAnsi="宋体" w:eastAsia="宋体" w:cs="Times New Roman"/>
          <w:kern w:val="2"/>
          <w:sz w:val="32"/>
          <w:szCs w:val="24"/>
          <w:lang w:val="zh-CN"/>
        </w:rPr>
      </w:pPr>
      <w:r>
        <w:rPr>
          <w:rFonts w:hint="default" w:ascii="宋体" w:hAnsi="宋体" w:eastAsia="宋体" w:cs="Times New Roman"/>
          <w:kern w:val="2"/>
          <w:sz w:val="32"/>
          <w:szCs w:val="24"/>
          <w:lang w:val="zh-CN"/>
        </w:rPr>
        <w:t>四、部门（单位）整体支出管理及绩效情况</w:t>
      </w:r>
    </w:p>
    <w:p>
      <w:pPr>
        <w:pStyle w:val="3"/>
        <w:shd w:val="clear" w:color="auto" w:fill="FFFFFF"/>
        <w:spacing w:before="0" w:beforeLines="0" w:beforeAutospacing="0" w:after="0" w:afterLines="0" w:afterAutospacing="0" w:line="33" w:lineRule="atLeast"/>
        <w:ind w:firstLine="420"/>
        <w:jc w:val="both"/>
        <w:rPr>
          <w:rFonts w:hint="default" w:ascii="宋体" w:hAnsi="宋体" w:eastAsia="宋体" w:cs="Times New Roman"/>
          <w:kern w:val="2"/>
          <w:sz w:val="32"/>
          <w:szCs w:val="24"/>
          <w:lang w:val="zh-CN"/>
        </w:rPr>
      </w:pPr>
      <w:r>
        <w:rPr>
          <w:rFonts w:hint="default" w:ascii="宋体" w:hAnsi="宋体" w:eastAsia="宋体" w:cs="Times New Roman"/>
          <w:kern w:val="2"/>
          <w:sz w:val="32"/>
          <w:szCs w:val="24"/>
          <w:lang w:val="zh-CN"/>
        </w:rPr>
        <w:t>（一）部门整体支出情况分析</w:t>
      </w:r>
    </w:p>
    <w:p>
      <w:pPr>
        <w:spacing w:beforeLines="0" w:afterLines="0" w:line="500" w:lineRule="exact"/>
        <w:ind w:firstLine="640" w:firstLineChars="200"/>
        <w:rPr>
          <w:rFonts w:hint="default" w:ascii="宋体" w:hAnsi="宋体" w:eastAsia="宋体" w:cs="Times New Roman"/>
          <w:sz w:val="32"/>
          <w:szCs w:val="24"/>
          <w:lang w:val="en-US" w:eastAsia="zh-CN" w:bidi="ar"/>
        </w:rPr>
      </w:pPr>
      <w:r>
        <w:rPr>
          <w:rFonts w:hint="default" w:ascii="宋体" w:hAnsi="宋体" w:eastAsia="宋体" w:cs="Times New Roman"/>
          <w:sz w:val="32"/>
          <w:szCs w:val="24"/>
          <w:lang w:val="zh-CN" w:eastAsia="zh-CN" w:bidi="ar"/>
        </w:rPr>
        <w:t>1、</w:t>
      </w:r>
      <w:r>
        <w:rPr>
          <w:rFonts w:hint="default" w:ascii="宋体" w:hAnsi="宋体" w:eastAsia="宋体" w:cs="Times New Roman"/>
          <w:sz w:val="32"/>
          <w:szCs w:val="24"/>
          <w:lang w:val="en-US" w:eastAsia="zh-CN" w:bidi="ar"/>
        </w:rPr>
        <w:t>本年支出合计</w:t>
      </w:r>
      <w:r>
        <w:rPr>
          <w:rFonts w:hint="eastAsia" w:ascii="Times New Roman" w:hAnsi="Times New Roman" w:eastAsia="仿宋_GB2312"/>
          <w:sz w:val="32"/>
          <w:szCs w:val="32"/>
          <w:lang w:val="en-US" w:eastAsia="zh-CN"/>
        </w:rPr>
        <w:t>1279.62</w:t>
      </w:r>
      <w:r>
        <w:rPr>
          <w:rFonts w:hint="default" w:ascii="宋体" w:hAnsi="宋体" w:eastAsia="宋体" w:cs="Times New Roman"/>
          <w:sz w:val="32"/>
          <w:szCs w:val="24"/>
          <w:lang w:val="en-US" w:eastAsia="zh-CN" w:bidi="ar"/>
        </w:rPr>
        <w:t>万元，其中：基本支出</w:t>
      </w:r>
      <w:r>
        <w:rPr>
          <w:rFonts w:hint="eastAsia" w:ascii="Times New Roman" w:hAnsi="Times New Roman" w:eastAsia="仿宋_GB2312"/>
          <w:sz w:val="32"/>
          <w:szCs w:val="32"/>
          <w:lang w:val="en-US" w:eastAsia="zh-CN"/>
        </w:rPr>
        <w:t>952.95</w:t>
      </w:r>
      <w:r>
        <w:rPr>
          <w:rFonts w:hint="default" w:ascii="宋体" w:hAnsi="宋体" w:eastAsia="宋体" w:cs="Times New Roman"/>
          <w:sz w:val="32"/>
          <w:szCs w:val="24"/>
          <w:lang w:val="zh-CN" w:eastAsia="zh-CN" w:bidi="ar"/>
        </w:rPr>
        <w:t>万元，</w:t>
      </w:r>
      <w:r>
        <w:rPr>
          <w:rFonts w:hint="default" w:ascii="宋体" w:hAnsi="宋体" w:eastAsia="宋体" w:cs="Times New Roman"/>
          <w:sz w:val="32"/>
          <w:szCs w:val="24"/>
          <w:lang w:val="en-US" w:eastAsia="zh-CN" w:bidi="ar"/>
        </w:rPr>
        <w:t>占</w:t>
      </w:r>
      <w:r>
        <w:rPr>
          <w:rFonts w:hint="eastAsia" w:ascii="宋体" w:hAnsi="宋体" w:eastAsia="宋体" w:cs="Times New Roman"/>
          <w:sz w:val="32"/>
          <w:szCs w:val="24"/>
          <w:lang w:val="en-US" w:eastAsia="zh-CN" w:bidi="ar"/>
        </w:rPr>
        <w:t>74.47</w:t>
      </w:r>
      <w:r>
        <w:rPr>
          <w:rFonts w:hint="default" w:ascii="宋体" w:hAnsi="宋体" w:eastAsia="宋体" w:cs="Times New Roman"/>
          <w:sz w:val="32"/>
          <w:szCs w:val="24"/>
          <w:lang w:val="en-US" w:eastAsia="zh-CN" w:bidi="ar"/>
        </w:rPr>
        <w:t>%；项目支出</w:t>
      </w:r>
      <w:r>
        <w:rPr>
          <w:rFonts w:hint="eastAsia" w:eastAsia="仿宋_GB2312"/>
          <w:sz w:val="32"/>
          <w:szCs w:val="32"/>
          <w:lang w:val="en-US" w:eastAsia="zh-CN"/>
        </w:rPr>
        <w:t>326.67</w:t>
      </w:r>
      <w:r>
        <w:rPr>
          <w:rFonts w:hint="default" w:ascii="宋体" w:hAnsi="宋体" w:eastAsia="宋体" w:cs="Times New Roman"/>
          <w:sz w:val="32"/>
          <w:szCs w:val="24"/>
          <w:lang w:val="en-US" w:eastAsia="zh-CN" w:bidi="ar"/>
        </w:rPr>
        <w:t>万元，占</w:t>
      </w:r>
      <w:r>
        <w:rPr>
          <w:rFonts w:hint="eastAsia" w:ascii="宋体" w:hAnsi="宋体" w:eastAsia="宋体" w:cs="Times New Roman"/>
          <w:sz w:val="32"/>
          <w:szCs w:val="24"/>
          <w:lang w:val="en-US" w:eastAsia="zh-CN" w:bidi="ar"/>
        </w:rPr>
        <w:t>25.53</w:t>
      </w:r>
      <w:r>
        <w:rPr>
          <w:rFonts w:hint="default" w:ascii="宋体" w:hAnsi="宋体" w:eastAsia="宋体" w:cs="Times New Roman"/>
          <w:sz w:val="32"/>
          <w:szCs w:val="24"/>
          <w:lang w:val="en-US" w:eastAsia="zh-CN" w:bidi="ar"/>
        </w:rPr>
        <w:t>%。</w:t>
      </w:r>
    </w:p>
    <w:p>
      <w:pPr>
        <w:pStyle w:val="3"/>
        <w:shd w:val="clear" w:color="auto" w:fill="FFFFFF"/>
        <w:spacing w:before="0" w:beforeLines="0" w:beforeAutospacing="0" w:after="0" w:afterLines="0" w:afterAutospacing="0" w:line="33" w:lineRule="atLeast"/>
        <w:ind w:firstLine="420"/>
        <w:jc w:val="both"/>
        <w:rPr>
          <w:rFonts w:hint="default" w:ascii="宋体" w:hAnsi="宋体" w:eastAsia="宋体" w:cs="Times New Roman"/>
          <w:kern w:val="2"/>
          <w:sz w:val="32"/>
          <w:szCs w:val="24"/>
        </w:rPr>
      </w:pPr>
      <w:r>
        <w:rPr>
          <w:rFonts w:hint="default" w:ascii="宋体" w:hAnsi="宋体" w:eastAsia="宋体" w:cs="Times New Roman"/>
          <w:kern w:val="2"/>
          <w:sz w:val="32"/>
          <w:szCs w:val="24"/>
        </w:rPr>
        <w:t>2、202</w:t>
      </w:r>
      <w:r>
        <w:rPr>
          <w:rFonts w:hint="eastAsia" w:ascii="宋体" w:hAnsi="宋体" w:eastAsia="宋体" w:cs="Times New Roman"/>
          <w:kern w:val="2"/>
          <w:sz w:val="32"/>
          <w:szCs w:val="24"/>
          <w:lang w:val="en-US" w:eastAsia="zh-CN"/>
        </w:rPr>
        <w:t>1</w:t>
      </w:r>
      <w:r>
        <w:rPr>
          <w:rFonts w:hint="default" w:ascii="宋体" w:hAnsi="宋体" w:eastAsia="宋体" w:cs="Times New Roman"/>
          <w:kern w:val="2"/>
          <w:sz w:val="32"/>
          <w:szCs w:val="24"/>
        </w:rPr>
        <w:t>年度“三公”经费财政拨款支出预算为</w:t>
      </w:r>
      <w:r>
        <w:rPr>
          <w:rFonts w:hint="eastAsia" w:ascii="宋体" w:hAnsi="宋体" w:eastAsia="宋体" w:cs="Times New Roman"/>
          <w:kern w:val="2"/>
          <w:sz w:val="32"/>
          <w:szCs w:val="24"/>
          <w:lang w:val="en-US" w:eastAsia="zh-CN"/>
        </w:rPr>
        <w:t>3</w:t>
      </w:r>
      <w:r>
        <w:rPr>
          <w:rFonts w:hint="default" w:ascii="宋体" w:hAnsi="宋体" w:eastAsia="宋体" w:cs="Times New Roman"/>
          <w:kern w:val="2"/>
          <w:sz w:val="32"/>
          <w:szCs w:val="24"/>
        </w:rPr>
        <w:t>万元，支出决算为</w:t>
      </w:r>
      <w:r>
        <w:rPr>
          <w:rFonts w:hint="eastAsia" w:ascii="宋体" w:hAnsi="宋体" w:eastAsia="宋体" w:cs="Times New Roman"/>
          <w:kern w:val="2"/>
          <w:sz w:val="32"/>
          <w:szCs w:val="24"/>
          <w:lang w:val="en-US" w:eastAsia="zh-CN"/>
        </w:rPr>
        <w:t>1.43</w:t>
      </w:r>
      <w:r>
        <w:rPr>
          <w:rFonts w:hint="default" w:ascii="宋体" w:hAnsi="宋体" w:eastAsia="宋体" w:cs="Times New Roman"/>
          <w:kern w:val="2"/>
          <w:sz w:val="32"/>
          <w:szCs w:val="24"/>
        </w:rPr>
        <w:t>万元,</w:t>
      </w:r>
      <w:r>
        <w:rPr>
          <w:rFonts w:hint="default" w:ascii="宋体" w:hAnsi="宋体" w:eastAsia="宋体" w:cs="Times New Roman"/>
          <w:kern w:val="2"/>
          <w:sz w:val="32"/>
          <w:szCs w:val="24"/>
          <w:lang w:val="zh-CN"/>
        </w:rPr>
        <w:t>完成预算的</w:t>
      </w:r>
      <w:r>
        <w:rPr>
          <w:rFonts w:hint="eastAsia" w:ascii="宋体" w:hAnsi="宋体" w:eastAsia="宋体" w:cs="Times New Roman"/>
          <w:kern w:val="2"/>
          <w:sz w:val="32"/>
          <w:szCs w:val="24"/>
          <w:lang w:val="en-US" w:eastAsia="zh-CN"/>
        </w:rPr>
        <w:t>47.67</w:t>
      </w:r>
      <w:r>
        <w:rPr>
          <w:rFonts w:hint="default" w:ascii="宋体" w:hAnsi="宋体" w:eastAsia="宋体" w:cs="Times New Roman"/>
          <w:kern w:val="2"/>
          <w:sz w:val="32"/>
          <w:szCs w:val="24"/>
          <w:lang w:val="zh-CN"/>
        </w:rPr>
        <w:t>%，</w:t>
      </w:r>
      <w:r>
        <w:rPr>
          <w:rFonts w:hint="default" w:ascii="宋体" w:hAnsi="宋体" w:eastAsia="宋体" w:cs="Times New Roman"/>
          <w:kern w:val="2"/>
          <w:sz w:val="32"/>
          <w:szCs w:val="24"/>
        </w:rPr>
        <w:t>主要原因是我们厉行节约，大力压减三公经费开支。</w:t>
      </w:r>
    </w:p>
    <w:p>
      <w:pPr>
        <w:pStyle w:val="3"/>
        <w:shd w:val="clear" w:color="auto" w:fill="FFFFFF"/>
        <w:spacing w:before="0" w:beforeLines="0" w:beforeAutospacing="0" w:after="0" w:afterLines="0" w:afterAutospacing="0" w:line="33" w:lineRule="atLeast"/>
        <w:ind w:firstLine="420"/>
        <w:jc w:val="both"/>
        <w:rPr>
          <w:rFonts w:hint="default" w:ascii="宋体" w:hAnsi="宋体" w:eastAsia="宋体" w:cs="Times New Roman"/>
          <w:kern w:val="2"/>
          <w:sz w:val="32"/>
          <w:szCs w:val="24"/>
        </w:rPr>
      </w:pPr>
    </w:p>
    <w:p>
      <w:pPr>
        <w:pStyle w:val="3"/>
        <w:numPr>
          <w:ilvl w:val="0"/>
          <w:numId w:val="1"/>
        </w:numPr>
        <w:shd w:val="clear" w:color="auto" w:fill="FFFFFF"/>
        <w:spacing w:before="0" w:beforeLines="0" w:beforeAutospacing="0" w:after="0" w:afterLines="0" w:afterAutospacing="0" w:line="33" w:lineRule="atLeast"/>
        <w:ind w:firstLine="420"/>
        <w:jc w:val="both"/>
        <w:rPr>
          <w:rFonts w:hint="default" w:ascii="宋体" w:hAnsi="宋体" w:eastAsia="宋体" w:cs="Times New Roman"/>
          <w:kern w:val="2"/>
          <w:sz w:val="32"/>
          <w:szCs w:val="24"/>
        </w:rPr>
      </w:pPr>
      <w:r>
        <w:rPr>
          <w:rFonts w:hint="default" w:ascii="宋体" w:hAnsi="宋体" w:eastAsia="宋体" w:cs="Times New Roman"/>
          <w:kern w:val="2"/>
          <w:sz w:val="32"/>
          <w:szCs w:val="24"/>
        </w:rPr>
        <w:t>固定资产管理情况分析。坚持厉行节约、物尽其用的原则，资产管理采取统一建账、统一核算管理，对每件固定资产使用明确保管职责，闲置的资产，办公室统一调节使用，发挥其效益，特别是按照市资产管理领导小组的要求，对资产进行了全面的清理，保证能用则用的原则，对不能用的资产，采取先处置后购置，保证了资产的安全高效。</w:t>
      </w:r>
    </w:p>
    <w:p>
      <w:pPr>
        <w:pStyle w:val="3"/>
        <w:numPr>
          <w:ilvl w:val="0"/>
          <w:numId w:val="0"/>
        </w:numPr>
        <w:shd w:val="clear" w:color="auto" w:fill="FFFFFF"/>
        <w:spacing w:before="0" w:beforeLines="0" w:beforeAutospacing="0" w:after="0" w:afterLines="0" w:afterAutospacing="0" w:line="33" w:lineRule="atLeast"/>
        <w:ind w:left="420"/>
        <w:jc w:val="both"/>
        <w:rPr>
          <w:rFonts w:hint="default" w:ascii="宋体" w:hAnsi="宋体" w:eastAsia="宋体" w:cs="Times New Roman"/>
          <w:kern w:val="2"/>
          <w:sz w:val="32"/>
          <w:szCs w:val="24"/>
        </w:rPr>
      </w:pPr>
      <w:r>
        <w:rPr>
          <w:rFonts w:hint="default" w:ascii="宋体" w:hAnsi="宋体" w:eastAsia="宋体" w:cs="Times New Roman"/>
          <w:kern w:val="2"/>
          <w:sz w:val="32"/>
          <w:szCs w:val="24"/>
        </w:rPr>
        <w:t>（二）部门整体支出管理情况分析</w:t>
      </w:r>
    </w:p>
    <w:p>
      <w:pPr>
        <w:pStyle w:val="3"/>
        <w:shd w:val="clear" w:color="auto" w:fill="FFFFFF"/>
        <w:spacing w:before="0" w:beforeLines="0" w:beforeAutospacing="0" w:after="0" w:afterLines="0" w:afterAutospacing="0" w:line="33" w:lineRule="atLeast"/>
        <w:ind w:firstLine="420"/>
        <w:jc w:val="both"/>
        <w:rPr>
          <w:rFonts w:hint="default" w:ascii="宋体" w:hAnsi="宋体" w:eastAsia="宋体" w:cs="Times New Roman"/>
          <w:kern w:val="2"/>
          <w:sz w:val="32"/>
          <w:szCs w:val="24"/>
        </w:rPr>
      </w:pPr>
      <w:r>
        <w:rPr>
          <w:rFonts w:hint="default" w:ascii="宋体" w:hAnsi="宋体" w:eastAsia="宋体" w:cs="Times New Roman"/>
          <w:kern w:val="2"/>
          <w:sz w:val="32"/>
          <w:szCs w:val="24"/>
        </w:rPr>
        <w:t>1、按照预算支出管理。在支出预算编制上，人员经费按照配置定额，逐人核定编制，公用经费分类分档，按定额编制；根据“总量控制、计划管理”的要求从严控制经费开支，按照预算科目和项目资金的规定使用财政资金，保障部门整体支出的规范化、制度化。</w:t>
      </w:r>
    </w:p>
    <w:p>
      <w:pPr>
        <w:pStyle w:val="3"/>
        <w:shd w:val="clear" w:color="auto" w:fill="FFFFFF"/>
        <w:spacing w:before="0" w:beforeLines="0" w:beforeAutospacing="0" w:after="0" w:afterLines="0" w:afterAutospacing="0" w:line="33" w:lineRule="atLeast"/>
        <w:ind w:firstLine="420"/>
        <w:jc w:val="both"/>
        <w:rPr>
          <w:rFonts w:hint="default" w:ascii="宋体" w:hAnsi="宋体" w:eastAsia="宋体" w:cs="Times New Roman"/>
          <w:kern w:val="2"/>
          <w:sz w:val="32"/>
          <w:szCs w:val="24"/>
        </w:rPr>
      </w:pPr>
      <w:r>
        <w:rPr>
          <w:rFonts w:hint="default" w:ascii="宋体" w:hAnsi="宋体" w:eastAsia="宋体" w:cs="Times New Roman"/>
          <w:kern w:val="2"/>
          <w:sz w:val="32"/>
          <w:szCs w:val="24"/>
        </w:rPr>
        <w:t>2、财务管理按制度运行。按照国家法律法规，制定财务制度、资产配置使用制度、公务接待、会议制度、培训制度等单位内部控制制度，并按照制度管理和执行，防范风险，保证财政资金的安全和高效运行。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04BF51"/>
    <w:multiLevelType w:val="multilevel"/>
    <w:tmpl w:val="5704BF51"/>
    <w:lvl w:ilvl="0" w:tentative="0">
      <w:start w:val="3"/>
      <w:numFmt w:val="decimal"/>
      <w:suff w:val="nothing"/>
      <w:lvlText w:val="%1、"/>
      <w:lvlJc w:val="left"/>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D9510C"/>
    <w:rsid w:val="511C12DC"/>
    <w:rsid w:val="55AC5850"/>
    <w:rsid w:val="5AC62A6B"/>
    <w:rsid w:val="677047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uiPriority w:val="0"/>
    <w:pPr>
      <w:spacing w:beforeLines="0" w:afterLines="0"/>
      <w:jc w:val="both"/>
    </w:pPr>
    <w:rPr>
      <w:rFonts w:hint="eastAsia" w:ascii="Times New Roman" w:hAnsi="Times New Roman" w:eastAsia="Times New Roman" w:cs="Times New Roman"/>
      <w:kern w:val="2"/>
      <w:sz w:val="21"/>
      <w:szCs w:val="2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99"/>
    <w:pPr>
      <w:spacing w:before="120" w:after="200" w:line="276" w:lineRule="auto"/>
    </w:pPr>
    <w:rPr>
      <w:rFonts w:ascii="Arial" w:hAnsi="Arial"/>
      <w:sz w:val="24"/>
    </w:rPr>
  </w:style>
  <w:style w:type="paragraph" w:styleId="3">
    <w:name w:val="Normal (Web)"/>
    <w:basedOn w:val="1"/>
    <w:unhideWhenUsed/>
    <w:qFormat/>
    <w:uiPriority w:val="99"/>
    <w:pPr>
      <w:spacing w:before="100" w:beforeLines="0" w:beforeAutospacing="1" w:after="100" w:afterLines="0" w:afterAutospacing="1"/>
      <w:jc w:val="left"/>
    </w:pPr>
    <w:rPr>
      <w:rFonts w:hint="eastAsia"/>
      <w:kern w:val="0"/>
      <w:sz w:val="24"/>
      <w:szCs w:val="24"/>
      <w:lang w:val="en-US" w:eastAsia="zh-CN" w:bidi="ar"/>
    </w:rPr>
  </w:style>
  <w:style w:type="paragraph" w:customStyle="1" w:styleId="6">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255</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2022-09-23T07:54:00Z</dcterms:created>
  <dc:creator>Administrator</dc:creator>
  <cp:lastModifiedBy>Administrator</cp:lastModifiedBy>
  <dcterms:modified xsi:type="dcterms:W3CDTF">2023-09-20T09:37:40Z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1898E938682544B6AA1AC3D3F1DA69C1</vt:lpwstr>
  </property>
</Properties>
</file>