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岳阳市林业科学研究所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单位基本情况</w:t>
      </w:r>
    </w:p>
    <w:p>
      <w:pPr>
        <w:keepNext w:val="0"/>
        <w:keepLines w:val="0"/>
        <w:pageBreakBefore w:val="0"/>
        <w:kinsoku/>
        <w:wordWrap/>
        <w:overflowPunct/>
        <w:topLinePunct w:val="0"/>
        <w:bidi w:val="0"/>
        <w:adjustRightInd/>
        <w:snapToGrid/>
        <w:spacing w:line="520" w:lineRule="exact"/>
        <w:ind w:firstLine="560"/>
        <w:jc w:val="left"/>
        <w:rPr>
          <w:rFonts w:hint="eastAsia" w:ascii="仿宋" w:hAnsi="仿宋" w:eastAsia="仿宋" w:cs="仿宋"/>
          <w:color w:val="auto"/>
          <w:sz w:val="32"/>
          <w:szCs w:val="32"/>
        </w:rPr>
      </w:pPr>
      <w:r>
        <w:rPr>
          <w:rFonts w:hint="eastAsia" w:ascii="仿宋" w:hAnsi="仿宋" w:eastAsia="仿宋" w:cs="仿宋"/>
          <w:color w:val="auto"/>
          <w:sz w:val="32"/>
          <w:szCs w:val="32"/>
        </w:rPr>
        <w:t>市林科所成立于1972年，是由市编委登记核准的全额拨款事业单位，2010年经省林业厅批准挂牌湖南省林业科学研究院岳阳分院，主要从事林业应用技术研究和技术推广工作。</w:t>
      </w:r>
      <w:r>
        <w:rPr>
          <w:rFonts w:hint="eastAsia" w:ascii="仿宋" w:hAnsi="仿宋" w:eastAsia="仿宋" w:cs="仿宋"/>
          <w:color w:val="auto"/>
          <w:sz w:val="32"/>
          <w:szCs w:val="32"/>
          <w:lang w:val="en-US" w:eastAsia="zh-CN"/>
        </w:rPr>
        <w:t>202</w:t>
      </w:r>
      <w:r>
        <w:rPr>
          <w:rFonts w:hint="eastAsia" w:eastAsia="仿宋" w:cs="仿宋"/>
          <w:color w:val="auto"/>
          <w:sz w:val="32"/>
          <w:szCs w:val="32"/>
          <w:lang w:val="en-US" w:eastAsia="zh-CN"/>
        </w:rPr>
        <w:t>2</w:t>
      </w:r>
      <w:r>
        <w:rPr>
          <w:rFonts w:hint="eastAsia" w:ascii="仿宋" w:hAnsi="仿宋" w:eastAsia="仿宋" w:cs="仿宋"/>
          <w:color w:val="auto"/>
          <w:sz w:val="32"/>
          <w:szCs w:val="32"/>
          <w:lang w:val="en-US" w:eastAsia="zh-CN"/>
        </w:rPr>
        <w:t>年年末现有编制数30人，</w:t>
      </w:r>
      <w:r>
        <w:rPr>
          <w:rFonts w:hint="eastAsia" w:ascii="仿宋" w:hAnsi="仿宋" w:eastAsia="仿宋" w:cs="仿宋"/>
          <w:color w:val="auto"/>
          <w:sz w:val="32"/>
          <w:szCs w:val="32"/>
          <w:lang w:eastAsia="zh-CN"/>
        </w:rPr>
        <w:t>实有人数</w:t>
      </w:r>
      <w:r>
        <w:rPr>
          <w:rFonts w:hint="eastAsia" w:ascii="仿宋" w:hAnsi="仿宋" w:eastAsia="仿宋" w:cs="仿宋"/>
          <w:color w:val="auto"/>
          <w:sz w:val="32"/>
          <w:szCs w:val="32"/>
          <w:lang w:val="en-US" w:eastAsia="zh-CN"/>
        </w:rPr>
        <w:t>7</w:t>
      </w:r>
      <w:r>
        <w:rPr>
          <w:rFonts w:hint="eastAsia" w:eastAsia="仿宋" w:cs="仿宋"/>
          <w:color w:val="auto"/>
          <w:sz w:val="32"/>
          <w:szCs w:val="32"/>
          <w:lang w:val="en-US" w:eastAsia="zh-CN"/>
        </w:rPr>
        <w:t>2</w:t>
      </w:r>
      <w:r>
        <w:rPr>
          <w:rFonts w:hint="eastAsia" w:ascii="仿宋" w:hAnsi="仿宋" w:eastAsia="仿宋" w:cs="仿宋"/>
          <w:color w:val="auto"/>
          <w:sz w:val="32"/>
          <w:szCs w:val="32"/>
        </w:rPr>
        <w:t>人（其中全额人员</w:t>
      </w:r>
      <w:r>
        <w:rPr>
          <w:rFonts w:hint="eastAsia" w:eastAsia="仿宋" w:cs="仿宋"/>
          <w:color w:val="auto"/>
          <w:sz w:val="32"/>
          <w:szCs w:val="32"/>
          <w:lang w:val="en-US" w:eastAsia="zh-CN"/>
        </w:rPr>
        <w:t>30</w:t>
      </w:r>
      <w:r>
        <w:rPr>
          <w:rFonts w:hint="eastAsia" w:ascii="仿宋" w:hAnsi="仿宋" w:eastAsia="仿宋" w:cs="仿宋"/>
          <w:color w:val="auto"/>
          <w:sz w:val="32"/>
          <w:szCs w:val="32"/>
        </w:rPr>
        <w:t>人</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退休人员</w:t>
      </w:r>
      <w:r>
        <w:rPr>
          <w:rFonts w:hint="eastAsia" w:ascii="仿宋" w:hAnsi="仿宋" w:eastAsia="仿宋" w:cs="仿宋"/>
          <w:color w:val="auto"/>
          <w:sz w:val="32"/>
          <w:szCs w:val="32"/>
          <w:lang w:val="en-US" w:eastAsia="zh-CN"/>
        </w:rPr>
        <w:t>4</w:t>
      </w:r>
      <w:r>
        <w:rPr>
          <w:rFonts w:hint="eastAsia" w:eastAsia="仿宋" w:cs="仿宋"/>
          <w:color w:val="auto"/>
          <w:sz w:val="32"/>
          <w:szCs w:val="32"/>
          <w:lang w:val="en-US" w:eastAsia="zh-CN"/>
        </w:rPr>
        <w:t>2</w:t>
      </w:r>
      <w:r>
        <w:rPr>
          <w:rFonts w:hint="eastAsia" w:ascii="仿宋" w:hAnsi="仿宋" w:eastAsia="仿宋" w:cs="仿宋"/>
          <w:color w:val="auto"/>
          <w:sz w:val="32"/>
          <w:szCs w:val="32"/>
        </w:rPr>
        <w:t>人）。有实验基地两处共620亩，分布在</w:t>
      </w:r>
      <w:r>
        <w:rPr>
          <w:rFonts w:hint="eastAsia" w:ascii="仿宋" w:hAnsi="仿宋" w:eastAsia="仿宋" w:cs="仿宋"/>
          <w:color w:val="auto"/>
          <w:sz w:val="32"/>
          <w:szCs w:val="32"/>
          <w:lang w:eastAsia="zh-CN"/>
        </w:rPr>
        <w:t>南湖</w:t>
      </w:r>
      <w:r>
        <w:rPr>
          <w:rFonts w:hint="eastAsia" w:ascii="仿宋" w:hAnsi="仿宋" w:eastAsia="仿宋" w:cs="仿宋"/>
          <w:color w:val="auto"/>
          <w:sz w:val="32"/>
          <w:szCs w:val="32"/>
        </w:rPr>
        <w:t>蛇皮套60亩，</w:t>
      </w:r>
      <w:r>
        <w:rPr>
          <w:rFonts w:hint="eastAsia" w:ascii="仿宋" w:hAnsi="仿宋" w:eastAsia="仿宋" w:cs="仿宋"/>
          <w:color w:val="auto"/>
          <w:sz w:val="32"/>
          <w:szCs w:val="32"/>
          <w:lang w:eastAsia="zh-CN"/>
        </w:rPr>
        <w:t>岳阳经开区康王乡森林生态博览园</w:t>
      </w:r>
      <w:r>
        <w:rPr>
          <w:rFonts w:hint="eastAsia" w:ascii="仿宋" w:hAnsi="仿宋" w:eastAsia="仿宋" w:cs="仿宋"/>
          <w:color w:val="auto"/>
          <w:sz w:val="32"/>
          <w:szCs w:val="32"/>
        </w:rPr>
        <w:t>560亩。</w:t>
      </w:r>
    </w:p>
    <w:p>
      <w:pPr>
        <w:pStyle w:val="11"/>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二、一般公共预算支出情况</w:t>
      </w:r>
    </w:p>
    <w:p>
      <w:pPr>
        <w:pStyle w:val="11"/>
        <w:keepNext w:val="0"/>
        <w:keepLines w:val="0"/>
        <w:pageBreakBefore w:val="0"/>
        <w:widowControl/>
        <w:kinsoku/>
        <w:wordWrap/>
        <w:overflowPunct/>
        <w:topLinePunct w:val="0"/>
        <w:autoSpaceDE/>
        <w:autoSpaceDN/>
        <w:bidi w:val="0"/>
        <w:adjustRightInd/>
        <w:snapToGrid/>
        <w:spacing w:line="640" w:lineRule="exact"/>
        <w:ind w:left="0" w:leftChars="0" w:firstLine="321" w:firstLineChars="100"/>
        <w:jc w:val="both"/>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（一）基本支出情况</w:t>
      </w:r>
    </w:p>
    <w:p>
      <w:pPr>
        <w:keepNext w:val="0"/>
        <w:keepLines w:val="0"/>
        <w:pageBreakBefore w:val="0"/>
        <w:kinsoku/>
        <w:wordWrap/>
        <w:overflowPunct/>
        <w:topLinePunct w:val="0"/>
        <w:bidi w:val="0"/>
        <w:adjustRightInd/>
        <w:snapToGrid/>
        <w:spacing w:line="520" w:lineRule="exact"/>
        <w:ind w:firstLine="640" w:firstLineChars="200"/>
        <w:jc w:val="left"/>
        <w:rPr>
          <w:rFonts w:hint="eastAsia" w:ascii="仿宋" w:hAnsi="仿宋" w:eastAsia="仿宋" w:cs="仿宋"/>
          <w:b/>
          <w:sz w:val="32"/>
          <w:szCs w:val="32"/>
        </w:rPr>
      </w:pPr>
      <w:r>
        <w:rPr>
          <w:rFonts w:hint="eastAsia" w:ascii="仿宋" w:hAnsi="仿宋" w:eastAsia="仿宋" w:cs="仿宋"/>
          <w:color w:val="auto"/>
          <w:sz w:val="32"/>
          <w:szCs w:val="32"/>
          <w:lang w:val="en-US" w:eastAsia="zh-CN"/>
        </w:rPr>
        <w:t>基本支出主要是单位为保障正常运转，完成日常工作任务而发生的各项支出，包括用于基本工资、绩效工资、津贴补贴等人员经费以及办公费、印刷费、水电费、维修（护）费、差旅费</w:t>
      </w:r>
      <w:r>
        <w:rPr>
          <w:rFonts w:hint="eastAsia" w:eastAsia="仿宋" w:cs="仿宋"/>
          <w:color w:val="auto"/>
          <w:sz w:val="32"/>
          <w:szCs w:val="32"/>
          <w:lang w:val="en-US" w:eastAsia="zh-CN"/>
        </w:rPr>
        <w:t>、公务接待费、公务用车运行维护费、公务交通费</w:t>
      </w:r>
      <w:r>
        <w:rPr>
          <w:rFonts w:hint="eastAsia" w:ascii="仿宋" w:hAnsi="仿宋" w:eastAsia="仿宋" w:cs="仿宋"/>
          <w:color w:val="auto"/>
          <w:sz w:val="32"/>
          <w:szCs w:val="32"/>
          <w:lang w:val="en-US" w:eastAsia="zh-CN"/>
        </w:rPr>
        <w:t>等日常公用经费。</w:t>
      </w:r>
      <w:r>
        <w:rPr>
          <w:rFonts w:hint="eastAsia" w:ascii="仿宋" w:hAnsi="仿宋" w:eastAsia="仿宋" w:cs="仿宋"/>
          <w:bCs/>
          <w:color w:val="auto"/>
          <w:sz w:val="32"/>
          <w:szCs w:val="32"/>
          <w:lang w:val="en-US" w:eastAsia="zh-CN"/>
        </w:rPr>
        <w:t>202</w:t>
      </w:r>
      <w:r>
        <w:rPr>
          <w:rFonts w:hint="eastAsia" w:eastAsia="仿宋" w:cs="仿宋"/>
          <w:bCs/>
          <w:color w:val="auto"/>
          <w:sz w:val="32"/>
          <w:szCs w:val="32"/>
          <w:lang w:val="en-US" w:eastAsia="zh-CN"/>
        </w:rPr>
        <w:t>2</w:t>
      </w:r>
      <w:r>
        <w:rPr>
          <w:rFonts w:hint="eastAsia" w:ascii="仿宋" w:hAnsi="仿宋" w:eastAsia="仿宋" w:cs="仿宋"/>
          <w:bCs/>
          <w:color w:val="auto"/>
          <w:sz w:val="32"/>
          <w:szCs w:val="32"/>
          <w:lang w:val="en-US" w:eastAsia="zh-CN"/>
        </w:rPr>
        <w:t>年</w:t>
      </w:r>
      <w:r>
        <w:rPr>
          <w:rFonts w:hint="eastAsia" w:eastAsia="仿宋" w:cs="仿宋"/>
          <w:bCs/>
          <w:color w:val="auto"/>
          <w:sz w:val="32"/>
          <w:szCs w:val="32"/>
          <w:lang w:val="en-US" w:eastAsia="zh-CN"/>
        </w:rPr>
        <w:t>市</w:t>
      </w:r>
      <w:r>
        <w:rPr>
          <w:rFonts w:hint="eastAsia" w:ascii="仿宋" w:hAnsi="仿宋" w:eastAsia="仿宋" w:cs="仿宋"/>
          <w:bCs/>
          <w:color w:val="auto"/>
          <w:sz w:val="32"/>
          <w:szCs w:val="32"/>
          <w:lang w:val="en-US" w:eastAsia="zh-CN"/>
        </w:rPr>
        <w:t>林科所</w:t>
      </w:r>
      <w:r>
        <w:rPr>
          <w:rFonts w:hint="eastAsia" w:eastAsia="仿宋" w:cs="仿宋"/>
          <w:bCs/>
          <w:color w:val="auto"/>
          <w:sz w:val="32"/>
          <w:szCs w:val="32"/>
          <w:lang w:val="en-US" w:eastAsia="zh-CN"/>
        </w:rPr>
        <w:t>一般公共预算支出700.09万元，其中</w:t>
      </w:r>
      <w:r>
        <w:rPr>
          <w:rFonts w:hint="eastAsia" w:ascii="仿宋" w:hAnsi="仿宋" w:eastAsia="仿宋" w:cs="仿宋"/>
          <w:bCs/>
          <w:color w:val="auto"/>
          <w:sz w:val="32"/>
          <w:szCs w:val="32"/>
          <w:lang w:val="en-US" w:eastAsia="zh-CN"/>
        </w:rPr>
        <w:t>基本支出</w:t>
      </w:r>
      <w:r>
        <w:rPr>
          <w:rFonts w:hint="eastAsia" w:eastAsia="仿宋" w:cs="仿宋"/>
          <w:bCs/>
          <w:color w:val="auto"/>
          <w:sz w:val="32"/>
          <w:szCs w:val="32"/>
          <w:lang w:val="en-US" w:eastAsia="zh-CN"/>
        </w:rPr>
        <w:t>594.56</w:t>
      </w:r>
      <w:r>
        <w:rPr>
          <w:rFonts w:hint="eastAsia" w:ascii="仿宋" w:hAnsi="仿宋" w:eastAsia="仿宋" w:cs="仿宋"/>
          <w:bCs/>
          <w:color w:val="auto"/>
          <w:sz w:val="32"/>
          <w:szCs w:val="32"/>
          <w:lang w:val="en-US" w:eastAsia="zh-CN"/>
        </w:rPr>
        <w:t>万元，占年度总支出的</w:t>
      </w:r>
      <w:r>
        <w:rPr>
          <w:rFonts w:hint="eastAsia" w:eastAsia="仿宋" w:cs="仿宋"/>
          <w:bCs/>
          <w:color w:val="auto"/>
          <w:sz w:val="32"/>
          <w:szCs w:val="32"/>
          <w:lang w:val="en-US" w:eastAsia="zh-CN"/>
        </w:rPr>
        <w:t>84.93</w:t>
      </w:r>
      <w:r>
        <w:rPr>
          <w:rFonts w:hint="eastAsia" w:ascii="仿宋" w:hAnsi="仿宋" w:eastAsia="仿宋" w:cs="仿宋"/>
          <w:bCs/>
          <w:color w:val="auto"/>
          <w:sz w:val="32"/>
          <w:szCs w:val="32"/>
          <w:lang w:val="en-US" w:eastAsia="zh-CN"/>
        </w:rPr>
        <w:t>%，</w:t>
      </w:r>
      <w:r>
        <w:rPr>
          <w:rFonts w:hint="eastAsia" w:eastAsia="仿宋" w:cs="仿宋"/>
          <w:bCs/>
          <w:color w:val="auto"/>
          <w:sz w:val="32"/>
          <w:szCs w:val="32"/>
          <w:lang w:val="en-US" w:eastAsia="zh-CN"/>
        </w:rPr>
        <w:t>包括</w:t>
      </w:r>
      <w:r>
        <w:rPr>
          <w:rFonts w:hint="eastAsia" w:ascii="仿宋" w:hAnsi="仿宋" w:eastAsia="仿宋" w:cs="仿宋"/>
          <w:bCs/>
          <w:color w:val="auto"/>
          <w:sz w:val="32"/>
          <w:szCs w:val="32"/>
          <w:lang w:val="en-US" w:eastAsia="zh-CN"/>
        </w:rPr>
        <w:t>人员支出</w:t>
      </w:r>
      <w:r>
        <w:rPr>
          <w:rFonts w:hint="eastAsia" w:eastAsia="仿宋" w:cs="仿宋"/>
          <w:bCs/>
          <w:color w:val="auto"/>
          <w:sz w:val="32"/>
          <w:szCs w:val="32"/>
          <w:lang w:val="en-US" w:eastAsia="zh-CN"/>
        </w:rPr>
        <w:t>548.41</w:t>
      </w:r>
      <w:r>
        <w:rPr>
          <w:rFonts w:hint="eastAsia" w:ascii="仿宋" w:hAnsi="仿宋" w:eastAsia="仿宋" w:cs="仿宋"/>
          <w:bCs/>
          <w:color w:val="auto"/>
          <w:sz w:val="32"/>
          <w:szCs w:val="32"/>
          <w:lang w:val="en-US" w:eastAsia="zh-CN"/>
        </w:rPr>
        <w:t>万元</w:t>
      </w:r>
      <w:r>
        <w:rPr>
          <w:rFonts w:hint="eastAsia" w:eastAsia="仿宋" w:cs="仿宋"/>
          <w:bCs/>
          <w:color w:val="auto"/>
          <w:sz w:val="32"/>
          <w:szCs w:val="32"/>
          <w:lang w:val="en-US" w:eastAsia="zh-CN"/>
        </w:rPr>
        <w:t>、</w:t>
      </w:r>
      <w:r>
        <w:rPr>
          <w:rFonts w:hint="eastAsia" w:ascii="仿宋" w:hAnsi="仿宋" w:eastAsia="仿宋" w:cs="仿宋"/>
          <w:bCs/>
          <w:color w:val="auto"/>
          <w:sz w:val="32"/>
          <w:szCs w:val="32"/>
          <w:lang w:val="en-US" w:eastAsia="zh-CN"/>
        </w:rPr>
        <w:t>公用支出</w:t>
      </w:r>
      <w:r>
        <w:rPr>
          <w:rFonts w:hint="eastAsia" w:eastAsia="仿宋" w:cs="仿宋"/>
          <w:bCs/>
          <w:color w:val="auto"/>
          <w:sz w:val="32"/>
          <w:szCs w:val="32"/>
          <w:lang w:val="en-US" w:eastAsia="zh-CN"/>
        </w:rPr>
        <w:t>46.15</w:t>
      </w:r>
      <w:r>
        <w:rPr>
          <w:rFonts w:hint="eastAsia" w:ascii="仿宋" w:hAnsi="仿宋" w:eastAsia="仿宋" w:cs="仿宋"/>
          <w:bCs/>
          <w:color w:val="auto"/>
          <w:sz w:val="32"/>
          <w:szCs w:val="32"/>
          <w:lang w:val="en-US" w:eastAsia="zh-CN"/>
        </w:rPr>
        <w:t>万元</w:t>
      </w:r>
      <w:r>
        <w:rPr>
          <w:rFonts w:hint="eastAsia" w:eastAsia="仿宋" w:cs="仿宋"/>
          <w:bCs/>
          <w:color w:val="auto"/>
          <w:sz w:val="32"/>
          <w:szCs w:val="32"/>
          <w:lang w:val="en-US" w:eastAsia="zh-CN"/>
        </w:rPr>
        <w:t>。</w:t>
      </w:r>
      <w:r>
        <w:rPr>
          <w:rFonts w:hint="eastAsia" w:ascii="仿宋" w:hAnsi="仿宋" w:eastAsia="仿宋" w:cs="仿宋"/>
          <w:color w:val="auto"/>
          <w:sz w:val="32"/>
          <w:szCs w:val="32"/>
          <w:lang w:eastAsia="zh-CN"/>
        </w:rPr>
        <w:t>本年度</w:t>
      </w:r>
      <w:r>
        <w:rPr>
          <w:rFonts w:hint="eastAsia" w:ascii="仿宋" w:hAnsi="仿宋" w:eastAsia="仿宋" w:cs="仿宋"/>
          <w:color w:val="auto"/>
          <w:sz w:val="32"/>
          <w:szCs w:val="32"/>
        </w:rPr>
        <w:t>“三公”经费</w:t>
      </w:r>
      <w:r>
        <w:rPr>
          <w:rFonts w:hint="eastAsia" w:ascii="仿宋" w:hAnsi="仿宋" w:eastAsia="仿宋" w:cs="仿宋"/>
          <w:color w:val="auto"/>
          <w:sz w:val="32"/>
          <w:szCs w:val="32"/>
          <w:lang w:eastAsia="zh-CN"/>
        </w:rPr>
        <w:t>实际支出</w:t>
      </w:r>
      <w:r>
        <w:rPr>
          <w:rFonts w:hint="eastAsia" w:ascii="仿宋" w:hAnsi="仿宋" w:eastAsia="仿宋" w:cs="仿宋"/>
          <w:color w:val="auto"/>
          <w:sz w:val="32"/>
          <w:szCs w:val="32"/>
        </w:rPr>
        <w:t>总额</w:t>
      </w:r>
      <w:r>
        <w:rPr>
          <w:rFonts w:hint="eastAsia" w:ascii="仿宋" w:hAnsi="仿宋" w:eastAsia="仿宋" w:cs="仿宋"/>
          <w:color w:val="auto"/>
          <w:sz w:val="32"/>
          <w:szCs w:val="32"/>
          <w:lang w:val="en-US" w:eastAsia="zh-CN"/>
        </w:rPr>
        <w:t>5.40万元（公务接待费2.84万元、公务用车运行维护费2.56万元），实际支出比上年下降1.60万元，下降率22.86%。下降的主要原因是：严格落实中央八项规定指示精神，厉行节约。其中公务接待费比上年下降1.58万元，下降率35.75%；公务用车运行维护费比上年下降0.02万元，下降率0.78%。</w:t>
      </w:r>
    </w:p>
    <w:p>
      <w:pPr>
        <w:keepNext w:val="0"/>
        <w:keepLines w:val="0"/>
        <w:pageBreakBefore w:val="0"/>
        <w:kinsoku/>
        <w:wordWrap/>
        <w:overflowPunct/>
        <w:topLinePunct w:val="0"/>
        <w:bidi w:val="0"/>
        <w:adjustRightInd/>
        <w:snapToGrid/>
        <w:spacing w:line="520" w:lineRule="exact"/>
        <w:ind w:firstLine="640" w:firstLineChars="200"/>
        <w:jc w:val="left"/>
        <w:rPr>
          <w:rFonts w:hint="eastAsia" w:ascii="仿宋" w:hAnsi="仿宋" w:eastAsia="仿宋" w:cs="仿宋"/>
          <w:b/>
          <w:sz w:val="32"/>
          <w:szCs w:val="32"/>
        </w:rPr>
      </w:pPr>
      <w:r>
        <w:rPr>
          <w:rFonts w:hint="eastAsia" w:eastAsia="仿宋" w:cs="仿宋"/>
          <w:bCs/>
          <w:color w:val="auto"/>
          <w:sz w:val="32"/>
          <w:szCs w:val="32"/>
          <w:lang w:val="en-US" w:eastAsia="zh-CN"/>
        </w:rPr>
        <w:t>我单位严格执行部门正常运行经费保障机制的相关规定，人员经费按编制内实有人数规定的政策标准进行编制，公用经费本着“勤俭节约、保障运转”的原则，根据定额标准和单位实际需要统筹编制，在年度预算执行中，全年无超范围、超标准发放补贴、奖金的现象，未以任何名义违规发放个人补助，全年支出基本保障了所机关的正常运转。</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firstLine="321" w:firstLineChars="100"/>
        <w:jc w:val="both"/>
        <w:textAlignment w:val="auto"/>
        <w:rPr>
          <w:rFonts w:hint="eastAsia" w:ascii="楷体" w:hAnsi="楷体" w:eastAsia="楷体" w:cs="楷体"/>
          <w:b/>
          <w:sz w:val="32"/>
          <w:szCs w:val="32"/>
        </w:rPr>
      </w:pPr>
      <w:r>
        <w:rPr>
          <w:rFonts w:hint="eastAsia" w:ascii="楷体" w:hAnsi="楷体" w:eastAsia="楷体" w:cs="楷体"/>
          <w:b/>
          <w:sz w:val="32"/>
          <w:szCs w:val="32"/>
          <w:lang w:eastAsia="zh-CN"/>
        </w:rPr>
        <w:t>（二）</w:t>
      </w:r>
      <w:r>
        <w:rPr>
          <w:rFonts w:hint="eastAsia" w:ascii="楷体" w:hAnsi="楷体" w:eastAsia="楷体" w:cs="楷体"/>
          <w:b/>
          <w:sz w:val="32"/>
          <w:szCs w:val="32"/>
        </w:rPr>
        <w:t>项目支出情况</w:t>
      </w:r>
    </w:p>
    <w:p>
      <w:pPr>
        <w:keepNext w:val="0"/>
        <w:keepLines w:val="0"/>
        <w:pageBreakBefore w:val="0"/>
        <w:numPr>
          <w:ilvl w:val="0"/>
          <w:numId w:val="0"/>
        </w:numPr>
        <w:kinsoku/>
        <w:wordWrap/>
        <w:overflowPunct/>
        <w:topLinePunct w:val="0"/>
        <w:bidi w:val="0"/>
        <w:adjustRightInd/>
        <w:snapToGrid/>
        <w:spacing w:line="52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 w:hAnsi="仿宋" w:eastAsia="仿宋" w:cs="仿宋"/>
          <w:bCs/>
          <w:color w:val="auto"/>
          <w:sz w:val="32"/>
          <w:szCs w:val="32"/>
          <w:lang w:val="en-US" w:eastAsia="zh-CN"/>
        </w:rPr>
        <w:t>1、</w:t>
      </w:r>
      <w:r>
        <w:rPr>
          <w:rFonts w:hint="eastAsia" w:eastAsia="仿宋" w:cs="仿宋"/>
          <w:bCs/>
          <w:color w:val="auto"/>
          <w:sz w:val="32"/>
          <w:szCs w:val="32"/>
          <w:lang w:val="en-US" w:eastAsia="zh-CN"/>
        </w:rPr>
        <w:t>项目</w:t>
      </w:r>
      <w:r>
        <w:rPr>
          <w:rFonts w:hint="eastAsia" w:ascii="仿宋" w:hAnsi="仿宋" w:eastAsia="仿宋" w:cs="仿宋"/>
          <w:bCs/>
          <w:color w:val="auto"/>
          <w:sz w:val="32"/>
          <w:szCs w:val="32"/>
          <w:lang w:val="en-US" w:eastAsia="zh-CN"/>
        </w:rPr>
        <w:t>资金安排落实、总投入等情况。</w:t>
      </w:r>
      <w:r>
        <w:rPr>
          <w:rFonts w:hint="eastAsia" w:eastAsia="仿宋" w:cs="仿宋"/>
          <w:bCs/>
          <w:color w:val="auto"/>
          <w:sz w:val="32"/>
          <w:szCs w:val="32"/>
          <w:lang w:val="en-US" w:eastAsia="zh-CN"/>
        </w:rPr>
        <w:t>本年度</w:t>
      </w:r>
      <w:r>
        <w:rPr>
          <w:rFonts w:hint="eastAsia" w:ascii="仿宋" w:hAnsi="仿宋" w:eastAsia="仿宋" w:cs="仿宋"/>
          <w:color w:val="auto"/>
          <w:sz w:val="30"/>
          <w:szCs w:val="30"/>
          <w:lang w:val="en-US" w:eastAsia="zh-CN"/>
        </w:rPr>
        <w:t>项目支出主要</w:t>
      </w:r>
      <w:r>
        <w:rPr>
          <w:rFonts w:hint="eastAsia" w:eastAsia="仿宋" w:cs="仿宋"/>
          <w:color w:val="auto"/>
          <w:sz w:val="30"/>
          <w:szCs w:val="30"/>
          <w:lang w:val="en-US" w:eastAsia="zh-CN"/>
        </w:rPr>
        <w:t>用于森林</w:t>
      </w:r>
      <w:r>
        <w:rPr>
          <w:rFonts w:hint="eastAsia" w:ascii="仿宋" w:hAnsi="仿宋" w:eastAsia="仿宋" w:cs="仿宋"/>
          <w:color w:val="auto"/>
          <w:sz w:val="30"/>
          <w:szCs w:val="30"/>
          <w:lang w:val="en-US" w:eastAsia="zh-CN"/>
        </w:rPr>
        <w:t>生态博览园造林抚育、园区道路建设、示范基地建设</w:t>
      </w:r>
      <w:r>
        <w:rPr>
          <w:rFonts w:hint="eastAsia" w:eastAsia="仿宋" w:cs="仿宋"/>
          <w:color w:val="auto"/>
          <w:sz w:val="30"/>
          <w:szCs w:val="30"/>
          <w:lang w:val="en-US" w:eastAsia="zh-CN"/>
        </w:rPr>
        <w:t>、林业科研项目开展</w:t>
      </w:r>
      <w:r>
        <w:rPr>
          <w:rFonts w:hint="eastAsia" w:ascii="仿宋" w:hAnsi="仿宋" w:eastAsia="仿宋" w:cs="仿宋"/>
          <w:color w:val="auto"/>
          <w:sz w:val="30"/>
          <w:szCs w:val="30"/>
          <w:lang w:val="en-US" w:eastAsia="zh-CN"/>
        </w:rPr>
        <w:t>等。</w:t>
      </w:r>
      <w:r>
        <w:rPr>
          <w:rFonts w:hint="eastAsia" w:ascii="仿宋" w:hAnsi="仿宋" w:eastAsia="仿宋" w:cs="仿宋"/>
          <w:bCs/>
          <w:color w:val="auto"/>
          <w:sz w:val="32"/>
          <w:szCs w:val="32"/>
          <w:lang w:val="en-US" w:eastAsia="zh-CN"/>
        </w:rPr>
        <w:t>202</w:t>
      </w:r>
      <w:r>
        <w:rPr>
          <w:rFonts w:hint="eastAsia" w:eastAsia="仿宋" w:cs="仿宋"/>
          <w:bCs/>
          <w:color w:val="auto"/>
          <w:sz w:val="32"/>
          <w:szCs w:val="32"/>
          <w:lang w:val="en-US" w:eastAsia="zh-CN"/>
        </w:rPr>
        <w:t>2</w:t>
      </w:r>
      <w:r>
        <w:rPr>
          <w:rFonts w:hint="eastAsia" w:ascii="仿宋" w:hAnsi="仿宋" w:eastAsia="仿宋" w:cs="仿宋"/>
          <w:bCs/>
          <w:color w:val="auto"/>
          <w:sz w:val="32"/>
          <w:szCs w:val="32"/>
          <w:lang w:val="en-US" w:eastAsia="zh-CN"/>
        </w:rPr>
        <w:t>年省、市财政共安排专项资金</w:t>
      </w:r>
      <w:r>
        <w:rPr>
          <w:rFonts w:hint="eastAsia" w:eastAsia="仿宋" w:cs="仿宋"/>
          <w:color w:val="auto"/>
          <w:sz w:val="30"/>
          <w:szCs w:val="30"/>
          <w:lang w:val="en-US" w:eastAsia="zh-CN"/>
        </w:rPr>
        <w:t>105.53万元，占年度总支出的15.07%。分别是省级林业科技攻关与创新补助专项10.16万元；省级林路养护资金30万元；省级林业生态保护修复及发展专项—林业有害生物防控技术34.37万元（上年结转）；市级财政安排</w:t>
      </w:r>
      <w:r>
        <w:rPr>
          <w:rFonts w:hint="eastAsia" w:ascii="仿宋_GB2312" w:hAnsi="仿宋_GB2312" w:eastAsia="仿宋_GB2312" w:cs="仿宋_GB2312"/>
          <w:sz w:val="32"/>
          <w:szCs w:val="32"/>
          <w:lang w:eastAsia="zh-CN"/>
        </w:rPr>
        <w:t>自然资源利用和保护专项经费</w:t>
      </w:r>
      <w:r>
        <w:rPr>
          <w:rFonts w:hint="eastAsia" w:ascii="仿宋_GB2312" w:hAnsi="仿宋_GB2312" w:eastAsia="仿宋_GB2312" w:cs="仿宋_GB2312"/>
          <w:sz w:val="32"/>
          <w:szCs w:val="32"/>
          <w:lang w:val="en-US" w:eastAsia="zh-CN"/>
        </w:rPr>
        <w:t>17万元；市级财政安排岳阳市森林生态博览园运行维护费14万元。</w:t>
      </w:r>
    </w:p>
    <w:p>
      <w:pPr>
        <w:keepNext w:val="0"/>
        <w:keepLines w:val="0"/>
        <w:pageBreakBefore w:val="0"/>
        <w:kinsoku/>
        <w:wordWrap/>
        <w:overflowPunct/>
        <w:topLinePunct w:val="0"/>
        <w:bidi w:val="0"/>
        <w:adjustRightInd/>
        <w:snapToGrid/>
        <w:spacing w:line="520" w:lineRule="exact"/>
        <w:ind w:firstLine="600" w:firstLineChars="200"/>
        <w:jc w:val="left"/>
        <w:rPr>
          <w:rFonts w:hint="eastAsia" w:ascii="仿宋" w:hAnsi="仿宋" w:eastAsia="仿宋" w:cs="仿宋"/>
          <w:b/>
          <w:sz w:val="32"/>
          <w:szCs w:val="32"/>
        </w:rPr>
      </w:pPr>
      <w:r>
        <w:rPr>
          <w:rFonts w:hint="eastAsia" w:eastAsia="仿宋" w:cs="仿宋"/>
          <w:color w:val="auto"/>
          <w:sz w:val="30"/>
          <w:szCs w:val="30"/>
          <w:lang w:val="en-US" w:eastAsia="zh-CN"/>
        </w:rPr>
        <w:t>2、项目</w:t>
      </w:r>
      <w:r>
        <w:rPr>
          <w:rFonts w:hint="eastAsia" w:ascii="仿宋" w:hAnsi="仿宋" w:eastAsia="仿宋" w:cs="仿宋"/>
          <w:color w:val="auto"/>
          <w:sz w:val="30"/>
          <w:szCs w:val="30"/>
          <w:lang w:val="en-US" w:eastAsia="zh-CN"/>
        </w:rPr>
        <w:t>资金</w:t>
      </w:r>
      <w:r>
        <w:rPr>
          <w:rFonts w:hint="eastAsia" w:eastAsia="仿宋" w:cs="仿宋"/>
          <w:color w:val="auto"/>
          <w:sz w:val="30"/>
          <w:szCs w:val="30"/>
          <w:lang w:val="en-US" w:eastAsia="zh-CN"/>
        </w:rPr>
        <w:t>使用、</w:t>
      </w:r>
      <w:r>
        <w:rPr>
          <w:rFonts w:hint="eastAsia" w:ascii="仿宋" w:hAnsi="仿宋" w:eastAsia="仿宋" w:cs="仿宋"/>
          <w:color w:val="auto"/>
          <w:sz w:val="30"/>
          <w:szCs w:val="30"/>
          <w:lang w:val="en-US" w:eastAsia="zh-CN"/>
        </w:rPr>
        <w:t>管理情况。按照中央“八项规定”和省、市有关文件精神，压缩非生产性开支，项目</w:t>
      </w:r>
      <w:r>
        <w:rPr>
          <w:rFonts w:hint="eastAsia" w:ascii="仿宋" w:hAnsi="仿宋" w:eastAsia="仿宋" w:cs="仿宋"/>
          <w:color w:val="auto"/>
          <w:sz w:val="30"/>
          <w:szCs w:val="30"/>
          <w:lang w:eastAsia="zh-CN"/>
        </w:rPr>
        <w:t>资金做到专款专用，主要用于支付博览园项目抚育管理费、劳务费、</w:t>
      </w:r>
      <w:r>
        <w:rPr>
          <w:rFonts w:hint="eastAsia" w:eastAsia="仿宋" w:cs="仿宋"/>
          <w:color w:val="auto"/>
          <w:sz w:val="30"/>
          <w:szCs w:val="30"/>
          <w:lang w:eastAsia="zh-CN"/>
        </w:rPr>
        <w:t>专用</w:t>
      </w:r>
      <w:r>
        <w:rPr>
          <w:rFonts w:hint="eastAsia" w:ascii="仿宋" w:hAnsi="仿宋" w:eastAsia="仿宋" w:cs="仿宋"/>
          <w:color w:val="auto"/>
          <w:sz w:val="30"/>
          <w:szCs w:val="30"/>
          <w:lang w:eastAsia="zh-CN"/>
        </w:rPr>
        <w:t>材料费、技术资料费、技术咨询费、</w:t>
      </w:r>
      <w:r>
        <w:rPr>
          <w:rFonts w:hint="eastAsia" w:eastAsia="仿宋" w:cs="仿宋"/>
          <w:color w:val="auto"/>
          <w:sz w:val="30"/>
          <w:szCs w:val="30"/>
          <w:lang w:eastAsia="zh-CN"/>
        </w:rPr>
        <w:t>委托业务费</w:t>
      </w:r>
      <w:r>
        <w:rPr>
          <w:rFonts w:hint="eastAsia" w:ascii="仿宋" w:hAnsi="仿宋" w:eastAsia="仿宋" w:cs="仿宋"/>
          <w:color w:val="auto"/>
          <w:sz w:val="30"/>
          <w:szCs w:val="30"/>
          <w:lang w:eastAsia="zh-CN"/>
        </w:rPr>
        <w:t>、差旅费以及基础设施维修维护费等。为确保项目的顺利实施，我单位制定了相应的项目及资金管理制度</w:t>
      </w:r>
      <w:r>
        <w:rPr>
          <w:rFonts w:hint="eastAsia" w:eastAsia="仿宋" w:cs="仿宋"/>
          <w:color w:val="auto"/>
          <w:sz w:val="30"/>
          <w:szCs w:val="30"/>
          <w:lang w:eastAsia="zh-CN"/>
        </w:rPr>
        <w:t>，并</w:t>
      </w:r>
      <w:r>
        <w:rPr>
          <w:rFonts w:hint="eastAsia" w:ascii="仿宋" w:hAnsi="仿宋" w:eastAsia="仿宋" w:cs="仿宋"/>
          <w:color w:val="auto"/>
          <w:sz w:val="30"/>
          <w:szCs w:val="30"/>
          <w:lang w:eastAsia="zh-CN"/>
        </w:rPr>
        <w:t>安排专人负责，严格按照项目各项技术指标进行施工。项目实施完成后，由我单位组织验收小组对项目的实施情况及工程质量进行验收</w:t>
      </w:r>
      <w:r>
        <w:rPr>
          <w:rFonts w:hint="eastAsia" w:eastAsia="仿宋" w:cs="仿宋"/>
          <w:color w:val="auto"/>
          <w:sz w:val="30"/>
          <w:szCs w:val="30"/>
          <w:lang w:eastAsia="zh-CN"/>
        </w:rPr>
        <w:t>结算</w:t>
      </w:r>
      <w:r>
        <w:rPr>
          <w:rFonts w:hint="eastAsia" w:ascii="仿宋" w:hAnsi="仿宋" w:eastAsia="仿宋" w:cs="仿宋"/>
          <w:color w:val="auto"/>
          <w:sz w:val="30"/>
          <w:szCs w:val="30"/>
          <w:lang w:eastAsia="zh-CN"/>
        </w:rPr>
        <w:t>。资金使用规范，符合国家财经法规及有关专项资金管理办法的规定，采用报账制，且有完整的审批程序和手续，不存在截留、挤占、挪用、虚列支出等情况，保障会计核算准确、财务资料完整。</w:t>
      </w:r>
      <w:r>
        <w:rPr>
          <w:rFonts w:hint="eastAsia" w:ascii="仿宋" w:hAnsi="仿宋" w:eastAsia="仿宋" w:cs="仿宋"/>
          <w:b w:val="0"/>
          <w:bCs w:val="0"/>
          <w:color w:val="auto"/>
          <w:sz w:val="30"/>
          <w:szCs w:val="30"/>
          <w:shd w:val="clear" w:color="auto" w:fill="auto"/>
          <w:lang w:val="en-US" w:eastAsia="zh-CN"/>
        </w:rPr>
        <w:t>并</w:t>
      </w:r>
      <w:r>
        <w:rPr>
          <w:rFonts w:hint="eastAsia" w:ascii="仿宋" w:hAnsi="仿宋" w:eastAsia="仿宋" w:cs="仿宋"/>
          <w:color w:val="auto"/>
          <w:sz w:val="30"/>
          <w:szCs w:val="30"/>
          <w:lang w:val="en-US" w:eastAsia="zh-CN"/>
        </w:rPr>
        <w:t>积极配合省林业局完成</w:t>
      </w:r>
      <w:r>
        <w:rPr>
          <w:rFonts w:hint="eastAsia" w:ascii="仿宋" w:hAnsi="仿宋" w:eastAsia="仿宋" w:cs="仿宋"/>
          <w:b w:val="0"/>
          <w:bCs/>
          <w:color w:val="auto"/>
          <w:sz w:val="32"/>
          <w:szCs w:val="32"/>
          <w:lang w:bidi="ar-SA"/>
        </w:rPr>
        <w:t>202</w:t>
      </w:r>
      <w:r>
        <w:rPr>
          <w:rFonts w:hint="eastAsia" w:ascii="仿宋" w:hAnsi="仿宋" w:eastAsia="仿宋" w:cs="仿宋"/>
          <w:b w:val="0"/>
          <w:bCs/>
          <w:color w:val="auto"/>
          <w:sz w:val="32"/>
          <w:szCs w:val="32"/>
          <w:lang w:val="en-US" w:eastAsia="zh-CN" w:bidi="ar-SA"/>
        </w:rPr>
        <w:t>2</w:t>
      </w:r>
      <w:r>
        <w:rPr>
          <w:rFonts w:hint="eastAsia" w:ascii="仿宋" w:hAnsi="仿宋" w:eastAsia="仿宋" w:cs="仿宋"/>
          <w:b w:val="0"/>
          <w:bCs/>
          <w:color w:val="auto"/>
          <w:sz w:val="32"/>
          <w:szCs w:val="32"/>
          <w:lang w:bidi="ar-SA"/>
        </w:rPr>
        <w:t>年度</w:t>
      </w:r>
      <w:r>
        <w:rPr>
          <w:rFonts w:hint="eastAsia" w:eastAsia="仿宋" w:cs="仿宋"/>
          <w:b w:val="0"/>
          <w:bCs/>
          <w:color w:val="auto"/>
          <w:sz w:val="32"/>
          <w:szCs w:val="32"/>
          <w:lang w:eastAsia="zh-CN" w:bidi="ar-SA"/>
        </w:rPr>
        <w:t>省级</w:t>
      </w:r>
      <w:r>
        <w:rPr>
          <w:rFonts w:hint="eastAsia" w:ascii="仿宋" w:hAnsi="仿宋" w:eastAsia="仿宋" w:cs="仿宋"/>
          <w:b w:val="0"/>
          <w:bCs w:val="0"/>
          <w:color w:val="000000"/>
          <w:sz w:val="31"/>
          <w:szCs w:val="31"/>
        </w:rPr>
        <w:t>林业生态保护修复及发展专项资金</w:t>
      </w:r>
      <w:r>
        <w:rPr>
          <w:rFonts w:hint="eastAsia" w:ascii="仿宋" w:hAnsi="仿宋" w:eastAsia="仿宋" w:cs="仿宋"/>
          <w:b w:val="0"/>
          <w:bCs/>
          <w:color w:val="auto"/>
          <w:sz w:val="32"/>
          <w:szCs w:val="32"/>
          <w:lang w:bidi="ar-SA"/>
        </w:rPr>
        <w:t>绩效自评工作</w:t>
      </w:r>
      <w:r>
        <w:rPr>
          <w:rFonts w:hint="eastAsia" w:ascii="仿宋" w:hAnsi="仿宋" w:eastAsia="仿宋" w:cs="仿宋"/>
          <w:b w:val="0"/>
          <w:bCs/>
          <w:color w:val="auto"/>
          <w:sz w:val="32"/>
          <w:szCs w:val="32"/>
          <w:lang w:eastAsia="zh-CN" w:bidi="ar-SA"/>
        </w:rPr>
        <w:t>。</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三、政府性基金预算支出情况</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2022年我单位无政府性基金预算支出。</w:t>
      </w:r>
    </w:p>
    <w:p>
      <w:pPr>
        <w:pStyle w:val="11"/>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国有资本经营预算支出情况</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2022年我单位无国有资本经营预算支出。</w:t>
      </w:r>
    </w:p>
    <w:p>
      <w:pPr>
        <w:pStyle w:val="11"/>
        <w:keepNext w:val="0"/>
        <w:keepLines w:val="0"/>
        <w:pageBreakBefore w:val="0"/>
        <w:widowControl/>
        <w:numPr>
          <w:ilvl w:val="0"/>
          <w:numId w:val="2"/>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社会保险基金预算支出情况</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2022年我单位无社会保险基金预算支出。</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六、部门整体支出绩效情况</w:t>
      </w:r>
    </w:p>
    <w:p>
      <w:pPr>
        <w:keepNext w:val="0"/>
        <w:keepLines w:val="0"/>
        <w:pageBreakBefore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color w:val="auto"/>
          <w:kern w:val="0"/>
          <w:sz w:val="30"/>
          <w:szCs w:val="30"/>
          <w:lang w:val="en-US" w:eastAsia="zh-CN" w:bidi="ar-SA"/>
        </w:rPr>
      </w:pPr>
      <w:r>
        <w:rPr>
          <w:rFonts w:hint="eastAsia" w:ascii="仿宋" w:hAnsi="仿宋" w:eastAsia="仿宋" w:cs="仿宋"/>
          <w:color w:val="auto"/>
          <w:kern w:val="0"/>
          <w:sz w:val="30"/>
          <w:szCs w:val="30"/>
          <w:lang w:val="en-US" w:eastAsia="zh-CN" w:bidi="ar-SA"/>
        </w:rPr>
        <w:t>202</w:t>
      </w:r>
      <w:r>
        <w:rPr>
          <w:rFonts w:hint="eastAsia" w:eastAsia="仿宋" w:cs="仿宋"/>
          <w:color w:val="auto"/>
          <w:kern w:val="0"/>
          <w:sz w:val="30"/>
          <w:szCs w:val="30"/>
          <w:lang w:val="en-US" w:eastAsia="zh-CN" w:bidi="ar-SA"/>
        </w:rPr>
        <w:t>2</w:t>
      </w:r>
      <w:r>
        <w:rPr>
          <w:rFonts w:hint="eastAsia" w:ascii="仿宋" w:hAnsi="仿宋" w:eastAsia="仿宋" w:cs="仿宋"/>
          <w:color w:val="auto"/>
          <w:kern w:val="0"/>
          <w:sz w:val="30"/>
          <w:szCs w:val="30"/>
          <w:lang w:val="en-US" w:eastAsia="zh-CN" w:bidi="ar-SA"/>
        </w:rPr>
        <w:t>年，我单位积极履职，强化管理，较好地完成了年度工作目标。</w:t>
      </w:r>
      <w:r>
        <w:rPr>
          <w:rFonts w:hint="eastAsia" w:eastAsia="仿宋" w:cs="仿宋"/>
          <w:color w:val="auto"/>
          <w:kern w:val="0"/>
          <w:sz w:val="30"/>
          <w:szCs w:val="30"/>
          <w:lang w:val="en-US" w:eastAsia="zh-CN" w:bidi="ar-SA"/>
        </w:rPr>
        <w:t>同时，我单位依据整体绩效目标所设定的绩效指标清晰、细化、可衡量，与部门年度的任务数或计划数相对应，与本年度部门预算资金相匹配。</w:t>
      </w:r>
      <w:r>
        <w:rPr>
          <w:rFonts w:hint="eastAsia" w:ascii="仿宋" w:hAnsi="仿宋" w:eastAsia="仿宋" w:cs="仿宋"/>
          <w:color w:val="auto"/>
          <w:kern w:val="0"/>
          <w:sz w:val="30"/>
          <w:szCs w:val="30"/>
          <w:lang w:val="en-US" w:eastAsia="zh-CN" w:bidi="ar-SA"/>
        </w:rPr>
        <w:t>通过加强预算收支管理，不断建立健全内部管理制度，梳理内部管理流程，部门整体支出管理水平得到提升。</w:t>
      </w:r>
    </w:p>
    <w:p>
      <w:pPr>
        <w:keepNext w:val="0"/>
        <w:keepLines w:val="0"/>
        <w:pageBreakBefore w:val="0"/>
        <w:widowControl w:val="0"/>
        <w:kinsoku/>
        <w:wordWrap/>
        <w:overflowPunct/>
        <w:topLinePunct w:val="0"/>
        <w:autoSpaceDE/>
        <w:autoSpaceDN w:val="0"/>
        <w:bidi w:val="0"/>
        <w:adjustRightInd/>
        <w:snapToGrid/>
        <w:spacing w:line="520" w:lineRule="exact"/>
        <w:ind w:firstLine="640" w:firstLineChars="200"/>
        <w:jc w:val="left"/>
        <w:textAlignment w:val="center"/>
        <w:rPr>
          <w:rFonts w:hint="eastAsia" w:ascii="仿宋" w:hAnsi="仿宋" w:eastAsia="仿宋" w:cs="仿宋"/>
          <w:color w:val="auto"/>
          <w:sz w:val="30"/>
          <w:szCs w:val="30"/>
          <w:lang w:val="en-US" w:eastAsia="zh-CN"/>
        </w:rPr>
      </w:pPr>
      <w:r>
        <w:rPr>
          <w:rFonts w:hint="eastAsia" w:ascii="仿宋" w:hAnsi="仿宋" w:eastAsia="仿宋" w:cs="仿宋"/>
          <w:b w:val="0"/>
          <w:bCs/>
          <w:color w:val="auto"/>
          <w:sz w:val="32"/>
          <w:szCs w:val="32"/>
          <w:lang w:val="en-US" w:eastAsia="zh-CN"/>
        </w:rPr>
        <w:t>2022年林科所共开展科研项目5项，其中省级3项、</w:t>
      </w:r>
      <w:r>
        <w:rPr>
          <w:rFonts w:hint="eastAsia" w:ascii="仿宋" w:hAnsi="仿宋" w:eastAsia="仿宋" w:cs="仿宋"/>
          <w:sz w:val="32"/>
          <w:szCs w:val="32"/>
        </w:rPr>
        <w:t>与中国林业科学研究院亚热带林业实验中心合作1项、市级1项，结题3项。同时完成湖南省青少年自然教育绿色营地申报与川三蕊柳濒危野生植物扩繁和迁地保护研究中心申报工作。获批国家知识产权局授权发明专利2项（《中秋酥脆枣的栽培方法》《中秋酥脆枣一年多批次结果的栽培方法》）。发表SCI论文1篇、CSCD核心期刊论文1篇、省级期刊论文2篇。</w:t>
      </w:r>
      <w:r>
        <w:rPr>
          <w:rFonts w:hint="eastAsia" w:eastAsia="仿宋" w:cs="仿宋"/>
          <w:sz w:val="32"/>
          <w:szCs w:val="32"/>
          <w:lang w:eastAsia="zh-CN"/>
        </w:rPr>
        <w:t>已完成</w:t>
      </w:r>
      <w:r>
        <w:rPr>
          <w:rFonts w:hint="eastAsia" w:ascii="仿宋" w:hAnsi="仿宋" w:eastAsia="仿宋" w:cs="仿宋"/>
          <w:sz w:val="32"/>
          <w:szCs w:val="32"/>
        </w:rPr>
        <w:t>重点区域生态保护和修复专项森林质量精准提升项目，面积400亩。</w:t>
      </w:r>
      <w:r>
        <w:rPr>
          <w:rFonts w:hint="eastAsia" w:eastAsia="仿宋" w:cs="仿宋"/>
          <w:sz w:val="32"/>
          <w:szCs w:val="32"/>
          <w:lang w:eastAsia="zh-CN"/>
        </w:rPr>
        <w:t>对</w:t>
      </w:r>
      <w:r>
        <w:rPr>
          <w:rFonts w:hint="eastAsia" w:ascii="仿宋_GB2312" w:hAnsi="仿宋_GB2312" w:eastAsia="仿宋_GB2312" w:cs="仿宋_GB2312"/>
          <w:color w:val="000000"/>
          <w:sz w:val="32"/>
          <w:szCs w:val="32"/>
        </w:rPr>
        <w:t>园区主干道及游步道损毁</w:t>
      </w:r>
      <w:r>
        <w:rPr>
          <w:rFonts w:hint="eastAsia" w:ascii="仿宋_GB2312" w:hAnsi="仿宋_GB2312" w:eastAsia="仿宋_GB2312" w:cs="仿宋_GB2312"/>
          <w:color w:val="000000"/>
          <w:sz w:val="32"/>
          <w:szCs w:val="32"/>
          <w:lang w:eastAsia="zh-CN"/>
        </w:rPr>
        <w:t>处</w:t>
      </w:r>
      <w:r>
        <w:rPr>
          <w:rFonts w:hint="eastAsia" w:ascii="仿宋_GB2312" w:hAnsi="仿宋_GB2312" w:eastAsia="仿宋_GB2312" w:cs="仿宋_GB2312"/>
          <w:color w:val="000000"/>
          <w:sz w:val="32"/>
          <w:szCs w:val="32"/>
        </w:rPr>
        <w:t>进行维修养护</w:t>
      </w:r>
      <w:r>
        <w:rPr>
          <w:rFonts w:hint="eastAsia" w:ascii="仿宋" w:hAnsi="仿宋" w:eastAsia="仿宋" w:cs="仿宋"/>
          <w:sz w:val="32"/>
          <w:szCs w:val="32"/>
        </w:rPr>
        <w:t>，</w:t>
      </w:r>
      <w:r>
        <w:rPr>
          <w:rFonts w:hint="eastAsia" w:eastAsia="仿宋" w:cs="仿宋"/>
          <w:sz w:val="32"/>
          <w:szCs w:val="32"/>
          <w:lang w:eastAsia="zh-CN"/>
        </w:rPr>
        <w:t>另外</w:t>
      </w:r>
      <w:r>
        <w:rPr>
          <w:rFonts w:hint="eastAsia" w:ascii="仿宋" w:hAnsi="仿宋" w:eastAsia="仿宋" w:cs="仿宋"/>
          <w:sz w:val="32"/>
          <w:szCs w:val="32"/>
        </w:rPr>
        <w:t>向阳渠片区改扩建游步道360米，改扩建集厕所、库房、停车房一体的活动板房一套，逐步补充完善园区景观及基础设施。完成2022年基地抚育工作300亩，包括枝条修剪、白蚁防治、除草、施肥、清杂等工作。</w:t>
      </w:r>
      <w:r>
        <w:rPr>
          <w:rFonts w:hint="eastAsia" w:ascii="仿宋" w:hAnsi="仿宋" w:eastAsia="仿宋" w:cs="仿宋"/>
          <w:color w:val="auto"/>
          <w:sz w:val="30"/>
          <w:szCs w:val="30"/>
          <w:lang w:val="en-US" w:eastAsia="zh-CN"/>
        </w:rPr>
        <w:t>组织</w:t>
      </w:r>
      <w:r>
        <w:rPr>
          <w:rFonts w:hint="eastAsia" w:ascii="仿宋" w:hAnsi="仿宋" w:eastAsia="仿宋" w:cs="仿宋"/>
          <w:color w:val="auto"/>
          <w:sz w:val="30"/>
          <w:szCs w:val="30"/>
        </w:rPr>
        <w:t>开展林业技术培训，充分发挥项目的示范带动作用，促进科技与生产的结合；造林成活率达到90%以上、保存率达到80%以上，林木生长量提高15%。</w:t>
      </w:r>
    </w:p>
    <w:p>
      <w:pPr>
        <w:keepNext w:val="0"/>
        <w:keepLines w:val="0"/>
        <w:pageBreakBefore w:val="0"/>
        <w:widowControl/>
        <w:kinsoku/>
        <w:wordWrap/>
        <w:overflowPunct/>
        <w:topLinePunct w:val="0"/>
        <w:autoSpaceDE/>
        <w:autoSpaceDN/>
        <w:bidi w:val="0"/>
        <w:adjustRightInd/>
        <w:snapToGrid/>
        <w:spacing w:line="640" w:lineRule="exact"/>
        <w:ind w:firstLine="40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color w:val="000000"/>
          <w:sz w:val="20"/>
          <w:szCs w:val="20"/>
        </w:rPr>
        <w:t xml:space="preserve"> </w:t>
      </w:r>
      <w:r>
        <w:rPr>
          <w:rFonts w:hint="eastAsia" w:ascii="仿宋_GB2312" w:hAnsi="仿宋_GB2312" w:eastAsia="仿宋_GB2312" w:cs="仿宋_GB2312"/>
          <w:color w:val="000000"/>
          <w:sz w:val="20"/>
          <w:szCs w:val="20"/>
          <w:lang w:val="en-US" w:eastAsia="zh-CN"/>
        </w:rPr>
        <w:t xml:space="preserve"> </w:t>
      </w:r>
      <w:r>
        <w:rPr>
          <w:rFonts w:hint="default" w:ascii="Times New Roman" w:hAnsi="Times New Roman" w:eastAsia="黑体" w:cs="Times New Roman"/>
          <w:sz w:val="32"/>
          <w:szCs w:val="32"/>
        </w:rPr>
        <w:t>七、存在的问题及原因分析</w:t>
      </w:r>
    </w:p>
    <w:p>
      <w:pPr>
        <w:pStyle w:val="7"/>
        <w:keepNext w:val="0"/>
        <w:keepLines w:val="0"/>
        <w:pageBreakBefore w:val="0"/>
        <w:kinsoku/>
        <w:wordWrap/>
        <w:overflowPunct/>
        <w:topLinePunct w:val="0"/>
        <w:bidi w:val="0"/>
        <w:adjustRightInd/>
        <w:snapToGrid/>
        <w:spacing w:before="0" w:beforeAutospacing="0" w:after="0" w:afterAutospacing="0"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预算编制前，根据年度内单位可预见的工作任务，确定了单位年度预算目标，细化了预算指标，但是在实际支付过程中，</w:t>
      </w:r>
      <w:r>
        <w:rPr>
          <w:rFonts w:hint="eastAsia" w:ascii="仿宋" w:hAnsi="仿宋" w:eastAsia="仿宋" w:cs="仿宋"/>
          <w:color w:val="auto"/>
          <w:kern w:val="0"/>
          <w:sz w:val="30"/>
          <w:szCs w:val="30"/>
          <w:lang w:val="en-US" w:eastAsia="zh-CN" w:bidi="ar-SA"/>
        </w:rPr>
        <w:t>除基本支出外，单位每年要负担一些财政无预算的刚性支出，如博览园基础设施建设经费、临聘人员经费等资金，单位只能靠挤占基本支出和项目经费，同时也造成预算标准与部门支出有差距，在执行过程中，有关实际支出超过预算标准，</w:t>
      </w:r>
      <w:r>
        <w:rPr>
          <w:rFonts w:hint="eastAsia" w:ascii="Times New Roman" w:hAnsi="Times New Roman" w:eastAsia="仿宋_GB2312" w:cs="Times New Roman"/>
          <w:sz w:val="32"/>
          <w:szCs w:val="32"/>
          <w:lang w:val="en-US" w:eastAsia="zh-CN"/>
        </w:rPr>
        <w:t>未严格按照预算指标执行。</w:t>
      </w:r>
    </w:p>
    <w:p>
      <w:pPr>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下一步改进措施</w:t>
      </w:r>
    </w:p>
    <w:p>
      <w:pPr>
        <w:pStyle w:val="7"/>
        <w:keepNext w:val="0"/>
        <w:keepLines w:val="0"/>
        <w:pageBreakBefore w:val="0"/>
        <w:kinsoku/>
        <w:wordWrap/>
        <w:overflowPunct/>
        <w:topLinePunct w:val="0"/>
        <w:bidi w:val="0"/>
        <w:adjustRightInd/>
        <w:snapToGrid/>
        <w:spacing w:before="0" w:beforeAutospacing="0" w:after="0" w:afterAutospacing="0" w:line="520" w:lineRule="exact"/>
        <w:ind w:firstLine="681" w:firstLineChars="213"/>
        <w:jc w:val="left"/>
        <w:rPr>
          <w:rFonts w:hint="eastAsia" w:ascii="仿宋" w:hAnsi="仿宋" w:eastAsia="仿宋" w:cs="仿宋"/>
          <w:color w:val="auto"/>
          <w:sz w:val="30"/>
          <w:szCs w:val="30"/>
        </w:rPr>
      </w:pPr>
      <w:r>
        <w:rPr>
          <w:rFonts w:hint="eastAsia" w:eastAsia="仿宋" w:cs="仿宋"/>
          <w:sz w:val="32"/>
          <w:szCs w:val="32"/>
          <w:lang w:val="en-US" w:eastAsia="zh-CN"/>
        </w:rPr>
        <w:t>1、</w:t>
      </w:r>
      <w:r>
        <w:rPr>
          <w:rFonts w:hint="eastAsia" w:ascii="仿宋" w:hAnsi="仿宋" w:eastAsia="仿宋" w:cs="仿宋"/>
          <w:sz w:val="32"/>
          <w:szCs w:val="32"/>
          <w:lang w:val="en-US" w:eastAsia="zh-CN"/>
        </w:rPr>
        <w:t>加强学习，</w:t>
      </w:r>
      <w:r>
        <w:rPr>
          <w:rFonts w:hint="eastAsia" w:eastAsia="仿宋" w:cs="仿宋"/>
          <w:sz w:val="32"/>
          <w:szCs w:val="32"/>
          <w:lang w:val="en-US" w:eastAsia="zh-CN"/>
        </w:rPr>
        <w:t>提高思想认识。组织单位人员认真学习《预算法》等相关法规、制度，提高单位领导对预算管理的重视程度，增强财务人员的预算意识。</w:t>
      </w:r>
      <w:r>
        <w:rPr>
          <w:rFonts w:hint="eastAsia" w:ascii="仿宋" w:hAnsi="仿宋" w:eastAsia="仿宋" w:cs="仿宋"/>
          <w:color w:val="auto"/>
          <w:sz w:val="30"/>
          <w:szCs w:val="30"/>
        </w:rPr>
        <w:t>制定和完善基本支出、项目支出等各项支出标准，严格按项目和进度执行预算，增强预算的约束力和严肃性</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落实预算执行分析，及时了解预算执行差异，合理调整、纠正预算执行偏差，切实提高部门预算收支管理水平。</w:t>
      </w:r>
    </w:p>
    <w:p>
      <w:pPr>
        <w:keepNext w:val="0"/>
        <w:keepLines w:val="0"/>
        <w:pageBreakBefore w:val="0"/>
        <w:kinsoku/>
        <w:wordWrap/>
        <w:overflowPunct/>
        <w:topLinePunct w:val="0"/>
        <w:bidi w:val="0"/>
        <w:adjustRightInd/>
        <w:snapToGrid/>
        <w:spacing w:line="520" w:lineRule="exact"/>
        <w:ind w:firstLine="600" w:firstLineChars="200"/>
        <w:jc w:val="left"/>
        <w:rPr>
          <w:rFonts w:hint="eastAsia" w:eastAsia="仿宋" w:cs="仿宋"/>
          <w:sz w:val="32"/>
          <w:szCs w:val="32"/>
          <w:lang w:val="en-US" w:eastAsia="zh-CN"/>
        </w:rPr>
      </w:pPr>
      <w:r>
        <w:rPr>
          <w:rFonts w:hint="eastAsia" w:eastAsia="仿宋" w:cs="仿宋"/>
          <w:color w:val="auto"/>
          <w:kern w:val="0"/>
          <w:sz w:val="30"/>
          <w:szCs w:val="30"/>
          <w:lang w:val="en-US" w:eastAsia="zh-CN" w:bidi="ar-SA"/>
        </w:rPr>
        <w:t>2、</w:t>
      </w:r>
      <w:r>
        <w:rPr>
          <w:rFonts w:hint="eastAsia" w:ascii="仿宋" w:hAnsi="仿宋" w:eastAsia="仿宋" w:cs="仿宋"/>
          <w:color w:val="auto"/>
          <w:kern w:val="0"/>
          <w:sz w:val="30"/>
          <w:szCs w:val="30"/>
          <w:lang w:val="en-US" w:eastAsia="zh-CN" w:bidi="ar-SA"/>
        </w:rPr>
        <w:t>规范账务处理，提高财务信息质量，严格按照《会计法》、《政府会计制度》等规定执行财务核算，并结合实</w:t>
      </w:r>
      <w:r>
        <w:rPr>
          <w:rFonts w:hint="eastAsia" w:ascii="仿宋" w:hAnsi="仿宋" w:eastAsia="仿宋" w:cs="仿宋"/>
          <w:color w:val="auto"/>
          <w:sz w:val="30"/>
          <w:szCs w:val="30"/>
        </w:rPr>
        <w:t>际情况，完整、准确地披露相关信息，尽可能地做到决算与预算相衔接。目前我单位三公经费的预算执行情况较好，但仍需进一步严控三公经费支出，严格三公经费支出的审批流程，进一步细化三公经费的管理。</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九、部门整体支出绩效自评结果拟应用和公开情况</w:t>
      </w:r>
    </w:p>
    <w:p>
      <w:pPr>
        <w:spacing w:before="120" w:beforeLines="50" w:after="120" w:afterLines="50"/>
        <w:ind w:firstLine="640" w:firstLineChars="200"/>
        <w:jc w:val="both"/>
        <w:rPr>
          <w:rFonts w:hint="default" w:ascii="仿宋" w:hAnsi="仿宋" w:eastAsia="仿宋" w:cs="仿宋"/>
          <w:sz w:val="32"/>
          <w:szCs w:val="32"/>
          <w:lang w:val="en-US" w:eastAsia="zh-CN"/>
        </w:rPr>
      </w:pPr>
      <w:r>
        <w:rPr>
          <w:rFonts w:hint="eastAsia" w:ascii="仿宋" w:hAnsi="仿宋" w:eastAsia="仿宋" w:cs="仿宋"/>
          <w:sz w:val="32"/>
          <w:szCs w:val="32"/>
          <w:lang w:eastAsia="zh-CN"/>
        </w:rPr>
        <w:t>根据</w:t>
      </w:r>
      <w:r>
        <w:rPr>
          <w:rFonts w:hint="eastAsia" w:eastAsia="仿宋" w:cs="仿宋"/>
          <w:sz w:val="32"/>
          <w:szCs w:val="32"/>
          <w:lang w:eastAsia="zh-CN"/>
        </w:rPr>
        <w:t>市政府相关部门统一部署，我单位</w:t>
      </w:r>
      <w:r>
        <w:rPr>
          <w:rFonts w:hint="eastAsia" w:eastAsia="仿宋" w:cs="仿宋"/>
          <w:sz w:val="32"/>
          <w:szCs w:val="32"/>
          <w:lang w:val="en-US" w:eastAsia="zh-CN"/>
        </w:rPr>
        <w:t>2022年部门整体支出和项目支出绩效自评情况将在岳阳市政府门户网站公开，接受社会监督。对绩效自评工作中发现的问题及时整改，解决好绩效评价管理中存在的问题，提高工作效能。根据部门整体支出绩效自评工作考核评分表评分标准，2022年我单位部门整体绩效评价自评分为94分，项目支出绩效评价自评分为90分。</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十、</w:t>
      </w:r>
      <w:r>
        <w:rPr>
          <w:rFonts w:hint="default" w:ascii="Times New Roman" w:hAnsi="Times New Roman" w:eastAsia="黑体" w:cs="Times New Roman"/>
          <w:sz w:val="32"/>
          <w:szCs w:val="32"/>
        </w:rPr>
        <w:t>其他需要说明的情况</w:t>
      </w:r>
    </w:p>
    <w:p>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无</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报告附件：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部门整体支出绩效自评表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项目支出绩效自评表</w:t>
      </w:r>
    </w:p>
    <w:p/>
    <w:p>
      <w:pPr>
        <w:pStyle w:val="2"/>
      </w:pPr>
    </w:p>
    <w:p>
      <w:pPr>
        <w:pStyle w:val="2"/>
      </w:pPr>
    </w:p>
    <w:p>
      <w:pPr>
        <w:bidi w:val="0"/>
        <w:rPr>
          <w:rFonts w:hint="eastAsia" w:ascii="仿宋" w:hAnsi="仿宋" w:eastAsia="仿宋" w:cs="仿宋"/>
          <w:sz w:val="32"/>
          <w:szCs w:val="32"/>
          <w:lang w:eastAsia="zh-CN"/>
        </w:rPr>
      </w:pPr>
    </w:p>
    <w:p>
      <w:pPr>
        <w:bidi w:val="0"/>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w:t>
      </w:r>
    </w:p>
    <w:p>
      <w:pPr>
        <w:widowControl/>
        <w:spacing w:after="120" w:afterLines="50"/>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2</w:t>
      </w:r>
      <w:r>
        <w:rPr>
          <w:rFonts w:hint="eastAsia" w:ascii="方正小标宋简体" w:hAnsi="方正小标宋简体" w:eastAsia="方正小标宋简体" w:cs="方正小标宋简体"/>
          <w:color w:val="000000"/>
          <w:sz w:val="36"/>
          <w:szCs w:val="36"/>
        </w:rPr>
        <w:t>年度部门整体支出绩效自评表</w:t>
      </w:r>
    </w:p>
    <w:tbl>
      <w:tblPr>
        <w:tblStyle w:val="9"/>
        <w:tblW w:w="10079" w:type="dxa"/>
        <w:jc w:val="center"/>
        <w:tblLayout w:type="autofit"/>
        <w:tblCellMar>
          <w:top w:w="0" w:type="dxa"/>
          <w:left w:w="108" w:type="dxa"/>
          <w:bottom w:w="0" w:type="dxa"/>
          <w:right w:w="108" w:type="dxa"/>
        </w:tblCellMar>
      </w:tblPr>
      <w:tblGrid>
        <w:gridCol w:w="1056"/>
        <w:gridCol w:w="687"/>
        <w:gridCol w:w="669"/>
        <w:gridCol w:w="1753"/>
        <w:gridCol w:w="1610"/>
        <w:gridCol w:w="1269"/>
        <w:gridCol w:w="716"/>
        <w:gridCol w:w="873"/>
        <w:gridCol w:w="1446"/>
      </w:tblGrid>
      <w:tr>
        <w:tblPrEx>
          <w:tblCellMar>
            <w:top w:w="0" w:type="dxa"/>
            <w:left w:w="108" w:type="dxa"/>
            <w:bottom w:w="0" w:type="dxa"/>
            <w:right w:w="108" w:type="dxa"/>
          </w:tblCellMar>
        </w:tblPrEx>
        <w:trPr>
          <w:trHeight w:val="579" w:hRule="atLeast"/>
          <w:jc w:val="center"/>
        </w:trPr>
        <w:tc>
          <w:tcPr>
            <w:tcW w:w="105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市</w:t>
            </w:r>
            <w:r>
              <w:rPr>
                <w:rFonts w:hint="eastAsia" w:ascii="仿宋_GB2312" w:hAnsi="仿宋_GB2312" w:eastAsia="仿宋_GB2312" w:cs="仿宋_GB2312"/>
                <w:color w:val="000000"/>
                <w:sz w:val="20"/>
                <w:szCs w:val="20"/>
              </w:rPr>
              <w:t>级预算部门名称</w:t>
            </w:r>
          </w:p>
        </w:tc>
        <w:tc>
          <w:tcPr>
            <w:tcW w:w="9023"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岳阳市林业科学研究所</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21" w:hRule="atLeast"/>
          <w:jc w:val="center"/>
        </w:trPr>
        <w:tc>
          <w:tcPr>
            <w:tcW w:w="1056"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算申请</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1356"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p>
        </w:tc>
        <w:tc>
          <w:tcPr>
            <w:tcW w:w="175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61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trHeight w:val="581" w:hRule="atLeast"/>
          <w:jc w:val="center"/>
        </w:trPr>
        <w:tc>
          <w:tcPr>
            <w:tcW w:w="1056"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356"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75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582.66</w:t>
            </w:r>
          </w:p>
        </w:tc>
        <w:tc>
          <w:tcPr>
            <w:tcW w:w="1610"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782.13</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782.13</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r>
      <w:tr>
        <w:tblPrEx>
          <w:tblCellMar>
            <w:top w:w="0" w:type="dxa"/>
            <w:left w:w="108" w:type="dxa"/>
            <w:bottom w:w="0" w:type="dxa"/>
            <w:right w:w="108" w:type="dxa"/>
          </w:tblCellMar>
        </w:tblPrEx>
        <w:trPr>
          <w:trHeight w:val="513" w:hRule="atLeast"/>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71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按收入性质分：</w:t>
            </w:r>
            <w:r>
              <w:rPr>
                <w:rFonts w:hint="eastAsia" w:ascii="仿宋_GB2312" w:hAnsi="仿宋_GB2312" w:eastAsia="仿宋_GB2312" w:cs="仿宋_GB2312"/>
                <w:color w:val="000000"/>
                <w:sz w:val="20"/>
                <w:szCs w:val="20"/>
                <w:lang w:val="en-US" w:eastAsia="zh-CN"/>
              </w:rPr>
              <w:t>782.13</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按支出性质分：</w:t>
            </w:r>
            <w:r>
              <w:rPr>
                <w:rFonts w:hint="eastAsia" w:ascii="仿宋_GB2312" w:hAnsi="仿宋_GB2312" w:eastAsia="仿宋_GB2312" w:cs="仿宋_GB2312"/>
                <w:color w:val="000000"/>
                <w:sz w:val="20"/>
                <w:szCs w:val="20"/>
                <w:lang w:val="en-US" w:eastAsia="zh-CN"/>
              </w:rPr>
              <w:t>782.13</w:t>
            </w:r>
          </w:p>
        </w:tc>
      </w:tr>
      <w:tr>
        <w:tblPrEx>
          <w:tblCellMar>
            <w:top w:w="0" w:type="dxa"/>
            <w:left w:w="108" w:type="dxa"/>
            <w:bottom w:w="0" w:type="dxa"/>
            <w:right w:w="108" w:type="dxa"/>
          </w:tblCellMar>
        </w:tblPrEx>
        <w:trPr>
          <w:trHeight w:val="496" w:hRule="atLeast"/>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71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xml:space="preserve">  其中：  一般公共预算：</w:t>
            </w:r>
            <w:r>
              <w:rPr>
                <w:rFonts w:hint="eastAsia" w:ascii="仿宋_GB2312" w:hAnsi="仿宋_GB2312" w:eastAsia="仿宋_GB2312" w:cs="仿宋_GB2312"/>
                <w:color w:val="000000"/>
                <w:sz w:val="20"/>
                <w:szCs w:val="20"/>
                <w:lang w:val="en-US" w:eastAsia="zh-CN"/>
              </w:rPr>
              <w:t>700.09</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其中：基本支出：</w:t>
            </w:r>
            <w:r>
              <w:rPr>
                <w:rFonts w:hint="eastAsia" w:ascii="仿宋_GB2312" w:hAnsi="仿宋_GB2312" w:eastAsia="仿宋_GB2312" w:cs="仿宋_GB2312"/>
                <w:color w:val="000000"/>
                <w:sz w:val="20"/>
                <w:szCs w:val="20"/>
                <w:lang w:val="en-US" w:eastAsia="zh-CN"/>
              </w:rPr>
              <w:t>676.60</w:t>
            </w:r>
          </w:p>
        </w:tc>
      </w:tr>
      <w:tr>
        <w:tblPrEx>
          <w:tblCellMar>
            <w:top w:w="0" w:type="dxa"/>
            <w:left w:w="108" w:type="dxa"/>
            <w:bottom w:w="0" w:type="dxa"/>
            <w:right w:w="108" w:type="dxa"/>
          </w:tblCellMar>
        </w:tblPrEx>
        <w:trPr>
          <w:trHeight w:val="549" w:hRule="atLeast"/>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719"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政府性基金拨款：</w:t>
            </w:r>
            <w:r>
              <w:rPr>
                <w:rFonts w:hint="eastAsia" w:ascii="仿宋_GB2312" w:hAnsi="仿宋_GB2312" w:eastAsia="仿宋_GB2312" w:cs="仿宋_GB2312"/>
                <w:color w:val="000000"/>
                <w:sz w:val="20"/>
                <w:szCs w:val="20"/>
                <w:lang w:val="en-US" w:eastAsia="zh-CN"/>
              </w:rPr>
              <w:t>0</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项目支出：</w:t>
            </w:r>
            <w:r>
              <w:rPr>
                <w:rFonts w:hint="eastAsia" w:ascii="仿宋_GB2312" w:hAnsi="仿宋_GB2312" w:eastAsia="仿宋_GB2312" w:cs="仿宋_GB2312"/>
                <w:color w:val="000000"/>
                <w:sz w:val="20"/>
                <w:szCs w:val="20"/>
                <w:lang w:val="en-US" w:eastAsia="zh-CN"/>
              </w:rPr>
              <w:t>105.53</w:t>
            </w:r>
          </w:p>
        </w:tc>
      </w:tr>
      <w:tr>
        <w:tblPrEx>
          <w:tblCellMar>
            <w:top w:w="0" w:type="dxa"/>
            <w:left w:w="108" w:type="dxa"/>
            <w:bottom w:w="0" w:type="dxa"/>
            <w:right w:w="108" w:type="dxa"/>
          </w:tblCellMar>
        </w:tblPrEx>
        <w:trPr>
          <w:trHeight w:val="550" w:hRule="atLeast"/>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71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纳入专户管理的非税收入拨款：</w:t>
            </w:r>
            <w:r>
              <w:rPr>
                <w:rFonts w:hint="eastAsia" w:ascii="仿宋_GB2312" w:hAnsi="仿宋_GB2312" w:eastAsia="仿宋_GB2312" w:cs="仿宋_GB2312"/>
                <w:color w:val="000000"/>
                <w:sz w:val="20"/>
                <w:szCs w:val="20"/>
                <w:lang w:val="en-US" w:eastAsia="zh-CN"/>
              </w:rPr>
              <w:t>0</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546" w:hRule="atLeast"/>
          <w:jc w:val="center"/>
        </w:trPr>
        <w:tc>
          <w:tcPr>
            <w:tcW w:w="105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719"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其他资金：</w:t>
            </w:r>
            <w:r>
              <w:rPr>
                <w:rFonts w:hint="eastAsia" w:ascii="仿宋_GB2312" w:hAnsi="仿宋_GB2312" w:eastAsia="仿宋_GB2312" w:cs="仿宋_GB2312"/>
                <w:color w:val="000000"/>
                <w:sz w:val="20"/>
                <w:szCs w:val="20"/>
                <w:lang w:val="en-US" w:eastAsia="zh-CN"/>
              </w:rPr>
              <w:t>82.04万元</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403" w:hRule="atLeast"/>
          <w:jc w:val="center"/>
        </w:trPr>
        <w:tc>
          <w:tcPr>
            <w:tcW w:w="105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71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5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71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1.完成园区森林资源培育和生态修复等，造林绿化100亩、森林抚育200亩、低效林改造20亩。</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2.对园区主干道及游步道的损毁进行维修养护；对园区费家垄新地基—老樱花林道路（西边）建设工作做好前期准备工作。</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3.完成博览园林木病虫害防治，面积400亩，将白蚁成灾率控制在1%以下，发生率在10%以下，防止区周边基本无白蚁的扩散迹象。</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4.开展林业技术咨询与服务，有效组织相关林业技术培训，充分发挥项目的示范带动作用，促进科技与生产的结合；造林成活率达到90%以上、保存率达到80%以上，林木生长量提高15%。                                                                                  5.细化自身建设，保障资金高效运转。　　</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1.完成园区森林资源培育和生态修复等，造林绿化100亩、森林抚育200亩、低效林改造20亩。</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2.对园区主干道及游步道的损毁进行维修养护；对园区费家垄新地基—老樱花林道路（西边）建设工作做好前期准备工作。</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3.完成博览园林木病虫害防治，面积400亩，将白蚁成灾率控制在1%以下，发生率在10%以下，防止区周边基本无白蚁的扩散迹象。</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4.开展林业技术咨询与服务，有效组织相关林业技术培训，充分发挥项目的示范带动作用，促进科技与生产的结合；造林成活率达到90%以上、保存率达到80%以上，林木生长量提高15%。                                                                                  5.细化自身建设，保障资金高效运转。</w:t>
            </w:r>
          </w:p>
        </w:tc>
      </w:tr>
      <w:tr>
        <w:tblPrEx>
          <w:tblCellMar>
            <w:top w:w="0" w:type="dxa"/>
            <w:left w:w="108" w:type="dxa"/>
            <w:bottom w:w="0" w:type="dxa"/>
            <w:right w:w="108" w:type="dxa"/>
          </w:tblCellMar>
        </w:tblPrEx>
        <w:trPr>
          <w:trHeight w:val="599" w:hRule="atLeast"/>
          <w:jc w:val="center"/>
        </w:trPr>
        <w:tc>
          <w:tcPr>
            <w:tcW w:w="1056"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p>
            <w:pPr>
              <w:widowControl/>
              <w:spacing w:line="240" w:lineRule="exact"/>
              <w:jc w:val="center"/>
              <w:rPr>
                <w:rFonts w:hint="eastAsia" w:ascii="仿宋_GB2312" w:hAnsi="仿宋_GB2312" w:eastAsia="仿宋_GB2312" w:cs="仿宋_GB2312"/>
                <w:color w:val="000000"/>
                <w:sz w:val="20"/>
                <w:szCs w:val="20"/>
              </w:rPr>
            </w:pPr>
          </w:p>
        </w:tc>
        <w:tc>
          <w:tcPr>
            <w:tcW w:w="68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75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61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trHeight w:val="1186"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87"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40" w:lineRule="exact"/>
              <w:jc w:val="center"/>
              <w:rPr>
                <w:rFonts w:hint="eastAsia" w:ascii="仿宋_GB2312" w:hAnsi="仿宋_GB2312" w:eastAsia="仿宋_GB2312" w:cs="仿宋_GB2312"/>
                <w:color w:val="000000"/>
                <w:sz w:val="20"/>
                <w:szCs w:val="20"/>
              </w:rPr>
            </w:pP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669"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75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造林绿化、森林抚育、低效林改造</w:t>
            </w:r>
          </w:p>
        </w:tc>
        <w:tc>
          <w:tcPr>
            <w:tcW w:w="1610" w:type="dxa"/>
            <w:tcBorders>
              <w:top w:val="nil"/>
              <w:left w:val="nil"/>
              <w:bottom w:val="single" w:color="auto" w:sz="4" w:space="0"/>
              <w:right w:val="single" w:color="auto" w:sz="4" w:space="0"/>
            </w:tcBorders>
            <w:noWrap w:val="0"/>
            <w:vAlign w:val="top"/>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造林绿化100亩、森林抚育200亩、低效林改造20亩</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947"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87"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69"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75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病虫害防治，控制白蚁发生率</w:t>
            </w:r>
          </w:p>
        </w:tc>
        <w:tc>
          <w:tcPr>
            <w:tcW w:w="1610" w:type="dxa"/>
            <w:tcBorders>
              <w:top w:val="nil"/>
              <w:left w:val="nil"/>
              <w:bottom w:val="single" w:color="auto" w:sz="4" w:space="0"/>
              <w:right w:val="single" w:color="auto" w:sz="4" w:space="0"/>
            </w:tcBorders>
            <w:noWrap w:val="0"/>
            <w:vAlign w:val="top"/>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白蚁成灾率控制在1%以下，发生率在10%以下</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799"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87"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69"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753"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开展林业技术培训</w:t>
            </w:r>
          </w:p>
        </w:tc>
        <w:tc>
          <w:tcPr>
            <w:tcW w:w="1610" w:type="dxa"/>
            <w:tcBorders>
              <w:top w:val="nil"/>
              <w:left w:val="nil"/>
              <w:bottom w:val="single" w:color="auto" w:sz="4" w:space="0"/>
              <w:right w:val="single" w:color="auto" w:sz="4" w:space="0"/>
            </w:tcBorders>
            <w:noWrap w:val="0"/>
            <w:vAlign w:val="top"/>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开展林业技术培训3次</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064"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87"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753"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全面提升林业生态建设和产业发展的科技水平，达到珍稀树种收集与保护，改善区域生态环境和丰富园区景观的目标</w:t>
            </w:r>
          </w:p>
        </w:tc>
        <w:tc>
          <w:tcPr>
            <w:tcW w:w="161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造林成活率达到90%以上、保存率达到80%以上，林木生长量提高15%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80"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87"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6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75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确保2022年按时按量完成各项指标</w:t>
            </w:r>
          </w:p>
        </w:tc>
        <w:tc>
          <w:tcPr>
            <w:tcW w:w="161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2022年度</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已完成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980"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87"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69"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753"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开展林业技术培训</w:t>
            </w:r>
          </w:p>
        </w:tc>
        <w:tc>
          <w:tcPr>
            <w:tcW w:w="161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≤项目预算</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≤项目预算</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253"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87" w:type="dxa"/>
            <w:vMerge w:val="restart"/>
            <w:tcBorders>
              <w:top w:val="single" w:color="auto" w:sz="4" w:space="0"/>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40" w:lineRule="exact"/>
              <w:jc w:val="left"/>
              <w:rPr>
                <w:rFonts w:hint="eastAsia" w:ascii="仿宋_GB2312" w:hAnsi="仿宋_GB2312" w:eastAsia="仿宋_GB2312" w:cs="仿宋_GB2312"/>
                <w:color w:val="000000"/>
                <w:sz w:val="20"/>
                <w:szCs w:val="20"/>
              </w:rPr>
            </w:pP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69"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753" w:type="dxa"/>
            <w:tcBorders>
              <w:top w:val="single" w:color="auto" w:sz="4" w:space="0"/>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保护林业生态，促进林业经济发展</w:t>
            </w:r>
          </w:p>
        </w:tc>
        <w:tc>
          <w:tcPr>
            <w:tcW w:w="1610"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保护林业生态，促进林业经济发展</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显著</w:t>
            </w:r>
          </w:p>
        </w:tc>
        <w:tc>
          <w:tcPr>
            <w:tcW w:w="71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w:t>
            </w:r>
          </w:p>
        </w:tc>
        <w:tc>
          <w:tcPr>
            <w:tcW w:w="144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473"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87"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69"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753" w:type="dxa"/>
            <w:tcBorders>
              <w:top w:val="single" w:color="auto" w:sz="4" w:space="0"/>
              <w:left w:val="nil"/>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解决当地村民临时就业机会，提高经济收入，消化社会闲散劳动力，促进社会安定团结</w:t>
            </w:r>
          </w:p>
        </w:tc>
        <w:tc>
          <w:tcPr>
            <w:tcW w:w="1610"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解决当地村民临时就业机会，提高经济收入，消化社会闲散劳动力，促进社会安定团结</w:t>
            </w:r>
          </w:p>
        </w:tc>
        <w:tc>
          <w:tcPr>
            <w:tcW w:w="1269"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较显著</w:t>
            </w:r>
          </w:p>
        </w:tc>
        <w:tc>
          <w:tcPr>
            <w:tcW w:w="71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346"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87"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69"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753" w:type="dxa"/>
            <w:tcBorders>
              <w:top w:val="single" w:color="auto" w:sz="4" w:space="0"/>
              <w:left w:val="nil"/>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提升森林林分质量，提高森林覆盖率，改善区域生态环境和丰富园区景观</w:t>
            </w:r>
          </w:p>
        </w:tc>
        <w:tc>
          <w:tcPr>
            <w:tcW w:w="1610" w:type="dxa"/>
            <w:tcBorders>
              <w:top w:val="single" w:color="auto" w:sz="4" w:space="0"/>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提升森林林分质量，提高森林覆盖率，改善区域生态环境和丰富园区景观</w:t>
            </w:r>
          </w:p>
        </w:tc>
        <w:tc>
          <w:tcPr>
            <w:tcW w:w="1269" w:type="dxa"/>
            <w:tcBorders>
              <w:top w:val="single" w:color="auto" w:sz="4" w:space="0"/>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较显著</w:t>
            </w:r>
          </w:p>
        </w:tc>
        <w:tc>
          <w:tcPr>
            <w:tcW w:w="716" w:type="dxa"/>
            <w:tcBorders>
              <w:top w:val="single" w:color="auto" w:sz="4" w:space="0"/>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8</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single" w:color="auto" w:sz="4" w:space="0"/>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659" w:hRule="atLeast"/>
          <w:jc w:val="center"/>
        </w:trPr>
        <w:tc>
          <w:tcPr>
            <w:tcW w:w="1056"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687" w:type="dxa"/>
            <w:vMerge w:val="continue"/>
            <w:tcBorders>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669" w:type="dxa"/>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7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有效提高森林碳汇能力，对涵养水源、保持水土、减轻自然灾害、促进生态良性循环都起到良好的作用</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有效提高森林碳汇能力，对涵养水源、保持水土、减轻自然灾害、促进生态良性循环都起到良好的作用</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较显著</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p>
          <w:p>
            <w:pPr>
              <w:widowControl/>
              <w:spacing w:line="240" w:lineRule="exact"/>
              <w:ind w:firstLine="200" w:firstLineChars="100"/>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592" w:hRule="atLeast"/>
          <w:jc w:val="center"/>
        </w:trPr>
        <w:tc>
          <w:tcPr>
            <w:tcW w:w="1056"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687"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669" w:type="dxa"/>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753" w:type="dxa"/>
            <w:tcBorders>
              <w:top w:val="single" w:color="auto" w:sz="4" w:space="0"/>
              <w:left w:val="nil"/>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广大群众满意度</w:t>
            </w:r>
          </w:p>
        </w:tc>
        <w:tc>
          <w:tcPr>
            <w:tcW w:w="1610" w:type="dxa"/>
            <w:tcBorders>
              <w:top w:val="single" w:color="auto" w:sz="4" w:space="0"/>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宋体" w:hAnsi="宋体" w:eastAsia="宋体" w:cs="宋体"/>
                <w:color w:val="000000"/>
                <w:sz w:val="20"/>
                <w:szCs w:val="20"/>
              </w:rPr>
              <w:t>≧</w:t>
            </w:r>
            <w:r>
              <w:rPr>
                <w:rFonts w:hint="eastAsia" w:ascii="仿宋_GB2312" w:hAnsi="仿宋_GB2312" w:eastAsia="仿宋_GB2312" w:cs="仿宋_GB2312"/>
                <w:color w:val="000000"/>
                <w:sz w:val="20"/>
                <w:szCs w:val="20"/>
                <w:lang w:val="en-US" w:eastAsia="zh-CN"/>
              </w:rPr>
              <w:t>90%</w:t>
            </w:r>
          </w:p>
        </w:tc>
        <w:tc>
          <w:tcPr>
            <w:tcW w:w="1269" w:type="dxa"/>
            <w:tcBorders>
              <w:top w:val="single" w:color="auto" w:sz="4" w:space="0"/>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宋体" w:hAnsi="宋体" w:eastAsia="宋体" w:cs="宋体"/>
                <w:color w:val="000000"/>
                <w:sz w:val="20"/>
                <w:szCs w:val="20"/>
              </w:rPr>
              <w:t>≧</w:t>
            </w:r>
            <w:r>
              <w:rPr>
                <w:rFonts w:hint="eastAsia" w:ascii="仿宋_GB2312" w:hAnsi="仿宋_GB2312" w:eastAsia="仿宋_GB2312" w:cs="仿宋_GB2312"/>
                <w:color w:val="000000"/>
                <w:sz w:val="20"/>
                <w:szCs w:val="20"/>
                <w:lang w:val="en-US" w:eastAsia="zh-CN"/>
              </w:rPr>
              <w:t>90%</w:t>
            </w:r>
          </w:p>
        </w:tc>
        <w:tc>
          <w:tcPr>
            <w:tcW w:w="71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 xml:space="preserve"> 8</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8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1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94</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widowControl/>
        <w:spacing w:line="600" w:lineRule="exact"/>
        <w:jc w:val="left"/>
        <w:rPr>
          <w:rFonts w:hint="eastAsia" w:ascii="仿宋" w:hAnsi="仿宋" w:eastAsia="仿宋" w:cs="仿宋"/>
          <w:color w:val="000000"/>
          <w:sz w:val="32"/>
          <w:szCs w:val="32"/>
          <w:lang w:val="en-US" w:eastAsia="zh-CN"/>
        </w:rPr>
      </w:pPr>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eastAsia="zh-CN"/>
        </w:rPr>
        <w:t>付敏</w:t>
      </w:r>
      <w:r>
        <w:rPr>
          <w:rFonts w:hint="default"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2023.6.20</w:t>
      </w:r>
      <w:r>
        <w:rPr>
          <w:rFonts w:hint="default" w:ascii="Times New Roman" w:hAnsi="Times New Roman" w:eastAsia="仿宋_GB2312" w:cs="Times New Roman"/>
          <w:sz w:val="22"/>
          <w:szCs w:val="22"/>
        </w:rPr>
        <w:t xml:space="preserve">  联系电话：</w:t>
      </w:r>
      <w:r>
        <w:rPr>
          <w:rFonts w:hint="eastAsia" w:ascii="Times New Roman" w:hAnsi="Times New Roman" w:eastAsia="仿宋_GB2312" w:cs="Times New Roman"/>
          <w:sz w:val="22"/>
          <w:szCs w:val="22"/>
          <w:lang w:val="en-US" w:eastAsia="zh-CN"/>
        </w:rPr>
        <w:t>8622658</w:t>
      </w:r>
      <w:r>
        <w:rPr>
          <w:rFonts w:hint="default" w:ascii="Times New Roman" w:hAnsi="Times New Roman" w:eastAsia="仿宋_GB2312" w:cs="Times New Roman"/>
          <w:sz w:val="22"/>
          <w:szCs w:val="22"/>
        </w:rPr>
        <w:t xml:space="preserve">   单位负责人签字：</w:t>
      </w:r>
      <w:r>
        <w:rPr>
          <w:rFonts w:hint="eastAsia" w:ascii="Times New Roman" w:hAnsi="Times New Roman" w:eastAsia="仿宋_GB2312" w:cs="Times New Roman"/>
          <w:sz w:val="22"/>
          <w:szCs w:val="22"/>
          <w:lang w:eastAsia="zh-CN"/>
        </w:rPr>
        <w:t>李科</w:t>
      </w:r>
      <w:r>
        <w:rPr>
          <w:rFonts w:hint="default" w:ascii="Times New Roman" w:hAnsi="Times New Roman" w:eastAsia="仿宋_GB2312" w:cs="Times New Roman"/>
          <w:sz w:val="22"/>
          <w:szCs w:val="22"/>
        </w:rPr>
        <w:br w:type="page"/>
      </w:r>
      <w:r>
        <w:rPr>
          <w:rFonts w:hint="eastAsia" w:ascii="仿宋" w:hAnsi="仿宋" w:eastAsia="仿宋" w:cs="仿宋"/>
          <w:sz w:val="32"/>
          <w:szCs w:val="32"/>
        </w:rPr>
        <w:t>附件</w:t>
      </w:r>
      <w:r>
        <w:rPr>
          <w:rFonts w:hint="eastAsia" w:eastAsia="仿宋" w:cs="仿宋"/>
          <w:sz w:val="32"/>
          <w:szCs w:val="32"/>
          <w:lang w:val="en-US" w:eastAsia="zh-CN"/>
        </w:rPr>
        <w:t>2</w:t>
      </w:r>
      <w:bookmarkStart w:id="0" w:name="_GoBack"/>
      <w:bookmarkEnd w:id="0"/>
    </w:p>
    <w:p>
      <w:pPr>
        <w:widowControl/>
        <w:spacing w:line="60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2</w:t>
      </w:r>
      <w:r>
        <w:rPr>
          <w:rFonts w:hint="eastAsia" w:ascii="方正小标宋简体" w:hAnsi="方正小标宋简体" w:eastAsia="方正小标宋简体" w:cs="方正小标宋简体"/>
          <w:color w:val="000000"/>
          <w:sz w:val="36"/>
          <w:szCs w:val="36"/>
        </w:rPr>
        <w:t>年度项目支出绩效自评表</w:t>
      </w:r>
    </w:p>
    <w:p>
      <w:pPr>
        <w:widowControl/>
        <w:spacing w:line="600" w:lineRule="exact"/>
        <w:jc w:val="center"/>
        <w:rPr>
          <w:rFonts w:hint="eastAsia" w:ascii="方正小标宋简体" w:hAnsi="方正小标宋简体" w:eastAsia="方正小标宋简体" w:cs="方正小标宋简体"/>
          <w:color w:val="000000"/>
          <w:sz w:val="36"/>
          <w:szCs w:val="36"/>
        </w:rPr>
      </w:pPr>
    </w:p>
    <w:tbl>
      <w:tblPr>
        <w:tblStyle w:val="9"/>
        <w:tblW w:w="9851" w:type="dxa"/>
        <w:jc w:val="center"/>
        <w:tblLayout w:type="fixed"/>
        <w:tblCellMar>
          <w:top w:w="0" w:type="dxa"/>
          <w:left w:w="108" w:type="dxa"/>
          <w:bottom w:w="0" w:type="dxa"/>
          <w:right w:w="108" w:type="dxa"/>
        </w:tblCellMar>
      </w:tblPr>
      <w:tblGrid>
        <w:gridCol w:w="941"/>
        <w:gridCol w:w="1031"/>
        <w:gridCol w:w="668"/>
        <w:gridCol w:w="1898"/>
        <w:gridCol w:w="1084"/>
        <w:gridCol w:w="1139"/>
        <w:gridCol w:w="822"/>
        <w:gridCol w:w="868"/>
        <w:gridCol w:w="1400"/>
      </w:tblGrid>
      <w:tr>
        <w:tblPrEx>
          <w:tblCellMar>
            <w:top w:w="0" w:type="dxa"/>
            <w:left w:w="108" w:type="dxa"/>
            <w:bottom w:w="0" w:type="dxa"/>
            <w:right w:w="108" w:type="dxa"/>
          </w:tblCellMar>
        </w:tblPrEx>
        <w:trPr>
          <w:trHeight w:val="691" w:hRule="atLeast"/>
          <w:jc w:val="center"/>
        </w:trPr>
        <w:tc>
          <w:tcPr>
            <w:tcW w:w="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910"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业务工作经费</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49" w:hRule="atLeast"/>
          <w:jc w:val="center"/>
        </w:trPr>
        <w:tc>
          <w:tcPr>
            <w:tcW w:w="94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681"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岳阳市林业局</w:t>
            </w:r>
          </w:p>
        </w:tc>
        <w:tc>
          <w:tcPr>
            <w:tcW w:w="1139"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090"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岳阳市林业科学研究所</w:t>
            </w:r>
          </w:p>
        </w:tc>
      </w:tr>
      <w:tr>
        <w:tblPrEx>
          <w:tblCellMar>
            <w:top w:w="0" w:type="dxa"/>
            <w:left w:w="108" w:type="dxa"/>
            <w:bottom w:w="0" w:type="dxa"/>
            <w:right w:w="108" w:type="dxa"/>
          </w:tblCellMar>
        </w:tblPrEx>
        <w:trPr>
          <w:jc w:val="center"/>
        </w:trPr>
        <w:tc>
          <w:tcPr>
            <w:tcW w:w="94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1699"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trHeight w:val="368" w:hRule="atLeast"/>
          <w:jc w:val="center"/>
        </w:trPr>
        <w:tc>
          <w:tcPr>
            <w:tcW w:w="941"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699"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105.53</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105.53</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105.53</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100%</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r>
      <w:tr>
        <w:tblPrEx>
          <w:tblCellMar>
            <w:top w:w="0" w:type="dxa"/>
            <w:left w:w="108" w:type="dxa"/>
            <w:bottom w:w="0" w:type="dxa"/>
            <w:right w:w="108" w:type="dxa"/>
          </w:tblCellMar>
        </w:tblPrEx>
        <w:trPr>
          <w:trHeight w:val="368" w:hRule="atLeast"/>
          <w:jc w:val="center"/>
        </w:trPr>
        <w:tc>
          <w:tcPr>
            <w:tcW w:w="941"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699"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71.16</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71.16</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71.16</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441" w:hRule="atLeast"/>
          <w:jc w:val="center"/>
        </w:trPr>
        <w:tc>
          <w:tcPr>
            <w:tcW w:w="941"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699"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34.37</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34.37</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34.37</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77" w:hRule="atLeast"/>
          <w:jc w:val="center"/>
        </w:trPr>
        <w:tc>
          <w:tcPr>
            <w:tcW w:w="941"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699"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23" w:hRule="atLeast"/>
          <w:jc w:val="center"/>
        </w:trPr>
        <w:tc>
          <w:tcPr>
            <w:tcW w:w="94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年度总体目标</w:t>
            </w:r>
          </w:p>
        </w:tc>
        <w:tc>
          <w:tcPr>
            <w:tcW w:w="4681"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预期目标</w:t>
            </w:r>
          </w:p>
        </w:tc>
        <w:tc>
          <w:tcPr>
            <w:tcW w:w="4229"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trHeight w:val="3471" w:hRule="atLeast"/>
          <w:jc w:val="center"/>
        </w:trPr>
        <w:tc>
          <w:tcPr>
            <w:tcW w:w="941"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rPr>
            </w:pPr>
          </w:p>
        </w:tc>
        <w:tc>
          <w:tcPr>
            <w:tcW w:w="4681" w:type="dxa"/>
            <w:gridSpan w:val="4"/>
            <w:tcBorders>
              <w:top w:val="single" w:color="auto" w:sz="4" w:space="0"/>
              <w:left w:val="nil"/>
              <w:bottom w:val="single" w:color="auto"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lang w:val="en-US" w:eastAsia="zh-CN"/>
              </w:rPr>
              <w:t>1、</w:t>
            </w:r>
            <w:r>
              <w:rPr>
                <w:rFonts w:hint="eastAsia" w:ascii="仿宋" w:hAnsi="仿宋" w:eastAsia="仿宋" w:cs="仿宋"/>
                <w:color w:val="000000"/>
                <w:sz w:val="20"/>
                <w:szCs w:val="20"/>
                <w:lang w:eastAsia="zh-CN"/>
              </w:rPr>
              <w:t>本年度</w:t>
            </w:r>
            <w:r>
              <w:rPr>
                <w:rFonts w:hint="eastAsia" w:ascii="仿宋" w:hAnsi="仿宋" w:eastAsia="仿宋" w:cs="仿宋"/>
                <w:color w:val="000000"/>
                <w:sz w:val="20"/>
                <w:szCs w:val="20"/>
              </w:rPr>
              <w:t>完成野外调查工作，摸清洞庭湖区域川三蕊柳野生种质资源分布情况；在开发川三蕊柳种群特异性标记的基础上，收集川三蕊柳野生种质资源，建立种质资源苗圃5亩，收集部分野生种质资源。</w:t>
            </w:r>
            <w:r>
              <w:rPr>
                <w:rFonts w:hint="eastAsia" w:ascii="仿宋" w:hAnsi="仿宋" w:eastAsia="仿宋" w:cs="仿宋"/>
                <w:color w:val="000000"/>
                <w:sz w:val="20"/>
                <w:szCs w:val="20"/>
                <w:lang w:val="en-US" w:eastAsia="zh-CN"/>
              </w:rPr>
              <w:t xml:space="preserve">                                                           2、建立林业有害生物检测实验室一个，并</w:t>
            </w:r>
            <w:r>
              <w:rPr>
                <w:rFonts w:hint="eastAsia" w:ascii="仿宋" w:hAnsi="仿宋" w:eastAsia="仿宋" w:cs="仿宋"/>
                <w:color w:val="000000"/>
                <w:sz w:val="20"/>
                <w:szCs w:val="20"/>
              </w:rPr>
              <w:t>开展松材线虫病主要媒介昆虫松褐天牛的防控试验。开展松材线虫病防控效果调查，收集各个监测点重大林业有害生物监测数据，开展枯死松木就地处置方法对生态影响的相关调查和研究；撰写论文1篇；完成年终总结材料</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撰写项目结题报告，准备项目验收</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3、完善岳阳市森林生态博览园基础设施，提升园区道路使用质量，有利于更好地开展各项科研生产活动和组织科普宣教及森林康养等活动。                     4、</w:t>
            </w:r>
            <w:r>
              <w:rPr>
                <w:rFonts w:hint="eastAsia" w:ascii="仿宋" w:hAnsi="仿宋" w:eastAsia="仿宋" w:cs="仿宋"/>
                <w:sz w:val="20"/>
                <w:szCs w:val="20"/>
              </w:rPr>
              <w:t>开展湿地生态修复、森林资源优化培育、</w:t>
            </w:r>
            <w:r>
              <w:rPr>
                <w:rFonts w:hint="eastAsia" w:ascii="仿宋" w:hAnsi="仿宋" w:eastAsia="仿宋" w:cs="仿宋"/>
                <w:sz w:val="20"/>
                <w:szCs w:val="20"/>
                <w:lang w:val="en-US" w:eastAsia="zh-CN"/>
              </w:rPr>
              <w:t>长江岸线生态修复枫杨繁育技术及应用推广</w:t>
            </w:r>
            <w:r>
              <w:rPr>
                <w:rFonts w:hint="eastAsia" w:eastAsia="仿宋" w:cs="仿宋"/>
                <w:sz w:val="20"/>
                <w:szCs w:val="20"/>
                <w:lang w:val="en-US" w:eastAsia="zh-CN"/>
              </w:rPr>
              <w:t>工作。</w:t>
            </w:r>
            <w:r>
              <w:rPr>
                <w:rFonts w:hint="eastAsia" w:ascii="仿宋" w:hAnsi="仿宋" w:eastAsia="仿宋" w:cs="仿宋"/>
                <w:color w:val="000000"/>
                <w:sz w:val="20"/>
                <w:szCs w:val="20"/>
              </w:rPr>
              <w:t>　　</w:t>
            </w:r>
          </w:p>
        </w:tc>
        <w:tc>
          <w:tcPr>
            <w:tcW w:w="4229"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w:t>
            </w:r>
            <w:r>
              <w:rPr>
                <w:rFonts w:hint="eastAsia" w:ascii="仿宋_GB2312" w:hAnsi="仿宋_GB2312" w:eastAsia="仿宋_GB2312" w:cs="仿宋_GB2312"/>
                <w:color w:val="000000"/>
                <w:sz w:val="20"/>
                <w:szCs w:val="20"/>
                <w:lang w:eastAsia="zh-CN"/>
              </w:rPr>
              <w:t>本年度</w:t>
            </w:r>
            <w:r>
              <w:rPr>
                <w:rFonts w:hint="eastAsia" w:ascii="仿宋_GB2312" w:hAnsi="仿宋_GB2312" w:eastAsia="仿宋_GB2312" w:cs="仿宋_GB2312"/>
                <w:color w:val="000000"/>
                <w:sz w:val="20"/>
                <w:szCs w:val="20"/>
              </w:rPr>
              <w:t>完成了野外调查工作，摸清了洞庭湖区域川三蕊柳野生种质资源分布情况；在开发川三蕊柳种群特异性标记的基础上，</w:t>
            </w:r>
            <w:r>
              <w:rPr>
                <w:rFonts w:hint="eastAsia" w:ascii="仿宋_GB2312" w:hAnsi="仿宋_GB2312" w:eastAsia="仿宋_GB2312" w:cs="仿宋_GB2312"/>
                <w:color w:val="000000"/>
                <w:sz w:val="20"/>
                <w:szCs w:val="20"/>
                <w:lang w:eastAsia="zh-CN"/>
              </w:rPr>
              <w:t>已</w:t>
            </w:r>
            <w:r>
              <w:rPr>
                <w:rFonts w:hint="eastAsia" w:ascii="仿宋_GB2312" w:hAnsi="仿宋_GB2312" w:eastAsia="仿宋_GB2312" w:cs="仿宋_GB2312"/>
                <w:color w:val="000000"/>
                <w:sz w:val="20"/>
                <w:szCs w:val="20"/>
              </w:rPr>
              <w:t>收集川三蕊柳野生种质资源，建立种质资源苗圃5亩，收集了部分野生种质资源。</w:t>
            </w:r>
            <w:r>
              <w:rPr>
                <w:rFonts w:hint="eastAsia" w:ascii="仿宋_GB2312" w:hAnsi="仿宋_GB2312" w:eastAsia="仿宋_GB2312" w:cs="仿宋_GB2312"/>
                <w:color w:val="000000"/>
                <w:sz w:val="20"/>
                <w:szCs w:val="20"/>
                <w:lang w:val="en-US" w:eastAsia="zh-CN"/>
              </w:rPr>
              <w:t xml:space="preserve">                              2、</w:t>
            </w:r>
            <w:r>
              <w:rPr>
                <w:rFonts w:hint="eastAsia" w:eastAsia="仿宋_GB2312"/>
                <w:color w:val="000000"/>
                <w:sz w:val="20"/>
                <w:szCs w:val="20"/>
                <w:lang w:val="en-US" w:eastAsia="zh-CN"/>
              </w:rPr>
              <w:t>建立林业有害生物检测实验室一个，</w:t>
            </w:r>
            <w:r>
              <w:rPr>
                <w:rFonts w:hint="eastAsia" w:ascii="仿宋_GB2312" w:hAnsi="仿宋_GB2312" w:eastAsia="仿宋_GB2312" w:cs="仿宋_GB2312"/>
                <w:color w:val="000000"/>
                <w:sz w:val="20"/>
                <w:szCs w:val="20"/>
              </w:rPr>
              <w:t>开展松材线虫病主要媒介昆虫松褐天牛的防控试验。开展松材线虫病防控效果调查，收集各个监测点重大林业有害生物监测数据，开展枯死松木就地处置方法对生态影响的相关调查和研究；撰写论文1篇；完成年终总结材料</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撰写项目结题报告，准备项目验收</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 xml:space="preserve">                         3、全年在园区共完成向阳渠沿线林路改（扩）建2公里；费家垄西边林路（改）扩建1.5公里；林路护坡及路肩提质改造3公里。                  4、</w:t>
            </w:r>
            <w:r>
              <w:rPr>
                <w:rFonts w:hint="eastAsia" w:eastAsia="仿宋" w:cs="仿宋"/>
                <w:sz w:val="20"/>
                <w:szCs w:val="20"/>
                <w:lang w:eastAsia="zh-CN"/>
              </w:rPr>
              <w:t>完成</w:t>
            </w:r>
            <w:r>
              <w:rPr>
                <w:rFonts w:hint="eastAsia" w:ascii="仿宋" w:hAnsi="仿宋" w:eastAsia="仿宋" w:cs="仿宋"/>
                <w:sz w:val="20"/>
                <w:szCs w:val="20"/>
              </w:rPr>
              <w:t>湿地生态修复、森林资源优化培育、</w:t>
            </w:r>
            <w:r>
              <w:rPr>
                <w:rFonts w:hint="eastAsia" w:ascii="仿宋" w:hAnsi="仿宋" w:eastAsia="仿宋" w:cs="仿宋"/>
                <w:sz w:val="20"/>
                <w:szCs w:val="20"/>
                <w:lang w:val="en-US" w:eastAsia="zh-CN"/>
              </w:rPr>
              <w:t>长江岸线生态修复枫杨繁育技术及应用推广</w:t>
            </w:r>
            <w:r>
              <w:rPr>
                <w:rFonts w:hint="eastAsia" w:eastAsia="仿宋" w:cs="仿宋"/>
                <w:sz w:val="20"/>
                <w:szCs w:val="20"/>
                <w:lang w:val="en-US" w:eastAsia="zh-CN"/>
              </w:rPr>
              <w:t>工作。</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90" w:hRule="atLeast"/>
          <w:jc w:val="center"/>
        </w:trPr>
        <w:tc>
          <w:tcPr>
            <w:tcW w:w="941"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3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6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trHeight w:val="451"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668"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林业科技攻关与创新</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1项</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1项</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99"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建立种质资源苗圃</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5亩</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5亩</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58"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eastAsia="仿宋_GB2312"/>
                <w:color w:val="000000"/>
                <w:sz w:val="20"/>
                <w:szCs w:val="20"/>
                <w:lang w:val="en-US" w:eastAsia="zh-CN"/>
              </w:rPr>
              <w:t>建立林业有害生物检测实验室</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1个</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1个</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559"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林路改（扩）建里程</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6.5公里</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已完成</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620" w:hRule="atLeast"/>
          <w:jc w:val="center"/>
        </w:trPr>
        <w:tc>
          <w:tcPr>
            <w:tcW w:w="941" w:type="dxa"/>
            <w:vMerge w:val="continue"/>
            <w:tcBorders>
              <w:left w:val="single" w:color="auto" w:sz="4" w:space="0"/>
              <w:right w:val="single" w:color="auto" w:sz="4" w:space="0"/>
            </w:tcBorders>
            <w:noWrap w:val="0"/>
            <w:vAlign w:val="center"/>
          </w:tcPr>
          <w:p>
            <w:pPr>
              <w:rPr>
                <w:rFonts w:hint="eastAsia"/>
              </w:rPr>
            </w:pPr>
          </w:p>
        </w:tc>
        <w:tc>
          <w:tcPr>
            <w:tcW w:w="1031" w:type="dxa"/>
            <w:vMerge w:val="continue"/>
            <w:tcBorders>
              <w:left w:val="nil"/>
              <w:right w:val="single" w:color="auto" w:sz="4" w:space="0"/>
            </w:tcBorders>
            <w:noWrap w:val="0"/>
            <w:vAlign w:val="center"/>
          </w:tcPr>
          <w:p>
            <w:pPr>
              <w:rPr>
                <w:rFonts w:hint="eastAsia"/>
              </w:rPr>
            </w:pPr>
          </w:p>
        </w:tc>
        <w:tc>
          <w:tcPr>
            <w:tcW w:w="668" w:type="dxa"/>
            <w:vMerge w:val="restart"/>
            <w:tcBorders>
              <w:top w:val="single" w:color="auto" w:sz="4" w:space="0"/>
              <w:left w:val="nil"/>
              <w:right w:val="single" w:color="auto" w:sz="4" w:space="0"/>
            </w:tcBorders>
            <w:noWrap w:val="0"/>
            <w:vAlign w:val="center"/>
          </w:tcPr>
          <w:p>
            <w:pPr>
              <w:rPr>
                <w:rFonts w:hint="eastAsia" w:ascii="仿宋" w:hAnsi="仿宋" w:eastAsia="仿宋" w:cs="仿宋"/>
                <w:sz w:val="20"/>
                <w:szCs w:val="20"/>
              </w:rPr>
            </w:pPr>
            <w:r>
              <w:rPr>
                <w:rFonts w:hint="eastAsia" w:eastAsia="仿宋" w:cs="仿宋"/>
                <w:sz w:val="20"/>
                <w:szCs w:val="20"/>
                <w:lang w:eastAsia="zh-CN"/>
              </w:rPr>
              <w:t>质</w:t>
            </w:r>
            <w:r>
              <w:rPr>
                <w:rFonts w:hint="eastAsia" w:ascii="仿宋" w:hAnsi="仿宋" w:eastAsia="仿宋" w:cs="仿宋"/>
                <w:sz w:val="20"/>
                <w:szCs w:val="20"/>
              </w:rPr>
              <w:t>量指标</w:t>
            </w:r>
          </w:p>
        </w:tc>
        <w:tc>
          <w:tcPr>
            <w:tcW w:w="1898" w:type="dxa"/>
            <w:tcBorders>
              <w:top w:val="nil"/>
              <w:left w:val="nil"/>
              <w:bottom w:val="single" w:color="auto" w:sz="4" w:space="0"/>
              <w:right w:val="single" w:color="auto" w:sz="4" w:space="0"/>
            </w:tcBorders>
            <w:noWrap w:val="0"/>
            <w:vAlign w:val="center"/>
          </w:tcPr>
          <w:p>
            <w:pPr>
              <w:rPr>
                <w:rFonts w:hint="eastAsia" w:ascii="仿宋" w:hAnsi="仿宋" w:eastAsia="仿宋" w:cs="仿宋"/>
                <w:sz w:val="20"/>
                <w:szCs w:val="20"/>
              </w:rPr>
            </w:pPr>
            <w:r>
              <w:rPr>
                <w:rFonts w:hint="eastAsia" w:ascii="仿宋" w:hAnsi="仿宋" w:eastAsia="仿宋" w:cs="仿宋"/>
                <w:sz w:val="20"/>
                <w:szCs w:val="20"/>
              </w:rPr>
              <w:t>林业科研基础能力</w:t>
            </w:r>
          </w:p>
        </w:tc>
        <w:tc>
          <w:tcPr>
            <w:tcW w:w="1084" w:type="dxa"/>
            <w:tcBorders>
              <w:top w:val="nil"/>
              <w:left w:val="nil"/>
              <w:bottom w:val="single" w:color="auto" w:sz="4" w:space="0"/>
              <w:right w:val="single" w:color="auto" w:sz="4" w:space="0"/>
            </w:tcBorders>
            <w:noWrap w:val="0"/>
            <w:vAlign w:val="center"/>
          </w:tcPr>
          <w:p>
            <w:pPr>
              <w:rPr>
                <w:rFonts w:hint="eastAsia" w:ascii="仿宋" w:hAnsi="仿宋" w:eastAsia="仿宋" w:cs="仿宋"/>
                <w:sz w:val="20"/>
                <w:szCs w:val="20"/>
                <w:lang w:eastAsia="zh-CN"/>
              </w:rPr>
            </w:pPr>
            <w:r>
              <w:rPr>
                <w:rFonts w:hint="eastAsia" w:ascii="仿宋" w:hAnsi="仿宋" w:eastAsia="仿宋" w:cs="仿宋"/>
                <w:sz w:val="20"/>
                <w:szCs w:val="20"/>
                <w:lang w:eastAsia="zh-CN"/>
              </w:rPr>
              <w:t>稳步提升</w:t>
            </w:r>
          </w:p>
        </w:tc>
        <w:tc>
          <w:tcPr>
            <w:tcW w:w="1139" w:type="dxa"/>
            <w:tcBorders>
              <w:top w:val="nil"/>
              <w:left w:val="nil"/>
              <w:bottom w:val="single" w:color="auto" w:sz="4" w:space="0"/>
              <w:right w:val="single" w:color="auto" w:sz="4" w:space="0"/>
            </w:tcBorders>
            <w:noWrap w:val="0"/>
            <w:vAlign w:val="center"/>
          </w:tcPr>
          <w:p>
            <w:pPr>
              <w:rPr>
                <w:rFonts w:hint="eastAsia" w:ascii="仿宋" w:hAnsi="仿宋" w:eastAsia="仿宋" w:cs="仿宋"/>
                <w:sz w:val="20"/>
                <w:szCs w:val="20"/>
              </w:rPr>
            </w:pPr>
            <w:r>
              <w:rPr>
                <w:rFonts w:hint="eastAsia" w:ascii="仿宋" w:hAnsi="仿宋" w:eastAsia="仿宋" w:cs="仿宋"/>
                <w:sz w:val="20"/>
                <w:szCs w:val="20"/>
                <w:lang w:eastAsia="zh-CN"/>
              </w:rPr>
              <w:t>稳步提升</w:t>
            </w:r>
          </w:p>
        </w:tc>
        <w:tc>
          <w:tcPr>
            <w:tcW w:w="822" w:type="dxa"/>
            <w:tcBorders>
              <w:top w:val="nil"/>
              <w:left w:val="nil"/>
              <w:bottom w:val="single" w:color="auto" w:sz="4" w:space="0"/>
              <w:right w:val="single" w:color="auto" w:sz="4" w:space="0"/>
            </w:tcBorders>
            <w:noWrap w:val="0"/>
            <w:vAlign w:val="center"/>
          </w:tcPr>
          <w:p>
            <w:pPr>
              <w:ind w:firstLine="200" w:firstLineChars="100"/>
              <w:rPr>
                <w:rFonts w:hint="default" w:ascii="仿宋" w:hAnsi="仿宋" w:eastAsia="仿宋" w:cs="仿宋"/>
                <w:sz w:val="20"/>
                <w:szCs w:val="20"/>
                <w:lang w:val="en-US" w:eastAsia="zh-CN"/>
              </w:rPr>
            </w:pPr>
            <w:r>
              <w:rPr>
                <w:rFonts w:hint="eastAsia" w:eastAsia="仿宋" w:cs="仿宋"/>
                <w:sz w:val="20"/>
                <w:szCs w:val="20"/>
                <w:lang w:val="en-US" w:eastAsia="zh-CN"/>
              </w:rPr>
              <w:t>3</w:t>
            </w:r>
          </w:p>
        </w:tc>
        <w:tc>
          <w:tcPr>
            <w:tcW w:w="86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0"/>
                <w:szCs w:val="20"/>
                <w:lang w:val="en-US" w:eastAsia="zh-CN"/>
              </w:rPr>
            </w:pPr>
            <w:r>
              <w:rPr>
                <w:rFonts w:hint="eastAsia" w:eastAsia="仿宋" w:cs="仿宋"/>
                <w:sz w:val="20"/>
                <w:szCs w:val="20"/>
                <w:lang w:val="en-US" w:eastAsia="zh-CN"/>
              </w:rPr>
              <w:t>2</w:t>
            </w:r>
          </w:p>
        </w:tc>
        <w:tc>
          <w:tcPr>
            <w:tcW w:w="1400" w:type="dxa"/>
            <w:tcBorders>
              <w:top w:val="nil"/>
              <w:left w:val="nil"/>
              <w:bottom w:val="single" w:color="auto" w:sz="4" w:space="0"/>
              <w:right w:val="single" w:color="auto" w:sz="4" w:space="0"/>
            </w:tcBorders>
            <w:noWrap w:val="0"/>
            <w:vAlign w:val="center"/>
          </w:tcPr>
          <w:p>
            <w:pPr>
              <w:rPr>
                <w:rFonts w:hint="eastAsia" w:ascii="仿宋" w:hAnsi="仿宋" w:eastAsia="仿宋" w:cs="仿宋"/>
                <w:sz w:val="20"/>
                <w:szCs w:val="20"/>
              </w:rPr>
            </w:pPr>
            <w:r>
              <w:rPr>
                <w:rFonts w:hint="eastAsia" w:ascii="仿宋" w:hAnsi="仿宋" w:eastAsia="仿宋" w:cs="仿宋"/>
                <w:sz w:val="20"/>
                <w:szCs w:val="20"/>
              </w:rPr>
              <w:t>　</w:t>
            </w:r>
          </w:p>
        </w:tc>
      </w:tr>
      <w:tr>
        <w:tblPrEx>
          <w:tblCellMar>
            <w:top w:w="0" w:type="dxa"/>
            <w:left w:w="108" w:type="dxa"/>
            <w:bottom w:w="0" w:type="dxa"/>
            <w:right w:w="108" w:type="dxa"/>
          </w:tblCellMar>
        </w:tblPrEx>
        <w:trPr>
          <w:trHeight w:val="620"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林区森林质量有效增强</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 w:hAnsi="仿宋" w:eastAsia="仿宋" w:cs="仿宋"/>
                <w:color w:val="000000"/>
                <w:sz w:val="20"/>
                <w:szCs w:val="20"/>
                <w:lang w:eastAsia="zh-CN"/>
              </w:rPr>
            </w:pPr>
            <w:r>
              <w:rPr>
                <w:rFonts w:hint="eastAsia" w:ascii="仿宋" w:hAnsi="仿宋" w:eastAsia="仿宋" w:cs="仿宋"/>
                <w:color w:val="000000"/>
                <w:sz w:val="20"/>
                <w:szCs w:val="20"/>
                <w:lang w:eastAsia="zh-CN"/>
              </w:rPr>
              <w:t>是</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 w:hAnsi="仿宋" w:eastAsia="仿宋" w:cs="仿宋"/>
                <w:color w:val="000000"/>
                <w:sz w:val="20"/>
                <w:szCs w:val="20"/>
                <w:lang w:eastAsia="zh-CN"/>
              </w:rPr>
            </w:pPr>
            <w:r>
              <w:rPr>
                <w:rFonts w:hint="eastAsia" w:ascii="仿宋" w:hAnsi="仿宋" w:eastAsia="仿宋" w:cs="仿宋"/>
                <w:color w:val="000000"/>
                <w:sz w:val="20"/>
                <w:szCs w:val="20"/>
                <w:lang w:eastAsia="zh-CN"/>
              </w:rPr>
              <w:t>是</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 w:hAnsi="仿宋" w:eastAsia="仿宋" w:cs="仿宋"/>
                <w:color w:val="000000"/>
                <w:sz w:val="20"/>
                <w:szCs w:val="20"/>
                <w:lang w:val="en-US" w:eastAsia="zh-CN"/>
              </w:rPr>
            </w:pPr>
            <w:r>
              <w:rPr>
                <w:rFonts w:hint="eastAsia" w:eastAsia="仿宋" w:cs="仿宋"/>
                <w:color w:val="000000"/>
                <w:sz w:val="20"/>
                <w:szCs w:val="20"/>
                <w:lang w:val="en-US" w:eastAsia="zh-CN"/>
              </w:rPr>
              <w:t>3</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 w:hAnsi="仿宋" w:eastAsia="仿宋" w:cs="仿宋"/>
                <w:color w:val="000000"/>
                <w:sz w:val="20"/>
                <w:szCs w:val="20"/>
                <w:lang w:val="en-US" w:eastAsia="zh-CN"/>
              </w:rPr>
            </w:pPr>
            <w:r>
              <w:rPr>
                <w:rFonts w:hint="eastAsia" w:eastAsia="仿宋" w:cs="仿宋"/>
                <w:color w:val="000000"/>
                <w:sz w:val="20"/>
                <w:szCs w:val="20"/>
                <w:lang w:val="en-US" w:eastAsia="zh-CN"/>
              </w:rPr>
              <w:t>2</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 w:hAnsi="仿宋" w:eastAsia="仿宋" w:cs="仿宋"/>
                <w:color w:val="000000"/>
                <w:sz w:val="20"/>
                <w:szCs w:val="20"/>
              </w:rPr>
            </w:pPr>
          </w:p>
        </w:tc>
      </w:tr>
      <w:tr>
        <w:tblPrEx>
          <w:tblCellMar>
            <w:top w:w="0" w:type="dxa"/>
            <w:left w:w="108" w:type="dxa"/>
            <w:bottom w:w="0" w:type="dxa"/>
            <w:right w:w="108" w:type="dxa"/>
          </w:tblCellMar>
        </w:tblPrEx>
        <w:trPr>
          <w:trHeight w:val="90"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项目完成情况</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100%</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100%</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99"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restart"/>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林业科技攻关与创新</w:t>
            </w:r>
            <w:r>
              <w:rPr>
                <w:rFonts w:hint="eastAsia" w:ascii="仿宋_GB2312" w:hAnsi="仿宋_GB2312" w:eastAsia="仿宋_GB2312" w:cs="仿宋_GB2312"/>
                <w:color w:val="000000"/>
                <w:sz w:val="20"/>
                <w:szCs w:val="20"/>
                <w:lang w:eastAsia="zh-CN"/>
              </w:rPr>
              <w:t>项目点</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10.16万元/个</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10.16万元/个</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99"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林业有害生物防控经费预算</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宋体" w:hAnsi="宋体" w:eastAsia="宋体" w:cs="宋体"/>
                <w:color w:val="000000"/>
                <w:sz w:val="20"/>
                <w:szCs w:val="20"/>
              </w:rPr>
              <w:t>≦</w:t>
            </w:r>
            <w:r>
              <w:rPr>
                <w:rFonts w:hint="eastAsia" w:ascii="仿宋_GB2312" w:hAnsi="仿宋_GB2312" w:eastAsia="仿宋_GB2312" w:cs="仿宋_GB2312"/>
                <w:color w:val="000000"/>
                <w:sz w:val="20"/>
                <w:szCs w:val="20"/>
                <w:lang w:val="en-US" w:eastAsia="zh-CN"/>
              </w:rPr>
              <w:t>34.37万元</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34.37万元</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899"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林路改（扩）建（园区向阳渠沿线林路）</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000000"/>
                <w:sz w:val="20"/>
                <w:szCs w:val="20"/>
              </w:rPr>
            </w:pPr>
            <w:r>
              <w:rPr>
                <w:rFonts w:hint="eastAsia" w:ascii="仿宋_GB2312" w:hAnsi="仿宋_GB2312" w:eastAsia="仿宋_GB2312" w:cs="仿宋_GB2312"/>
                <w:color w:val="000000"/>
                <w:sz w:val="20"/>
                <w:szCs w:val="20"/>
              </w:rPr>
              <w:t>11.06万元</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eastAsia="zh-CN"/>
              </w:rPr>
              <w:t>已完成</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899"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林路改（扩）建（园区费家垄西边林路）</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7.74万元</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eastAsia="zh-CN"/>
              </w:rPr>
              <w:t>已完成</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899"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林路改（扩）建（园区林路护坡及路肩提质改造）</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000000"/>
                <w:sz w:val="20"/>
                <w:szCs w:val="20"/>
              </w:rPr>
            </w:pPr>
            <w:r>
              <w:rPr>
                <w:rFonts w:hint="eastAsia" w:ascii="宋体" w:hAnsi="宋体" w:eastAsia="宋体" w:cs="宋体"/>
                <w:color w:val="000000"/>
                <w:sz w:val="20"/>
                <w:szCs w:val="20"/>
              </w:rPr>
              <w:t>11.2万元</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eastAsia="zh-CN"/>
              </w:rPr>
              <w:t>已完成</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899"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基地运行维护及生态修复经费预算</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宋体" w:hAnsi="宋体" w:eastAsia="宋体" w:cs="宋体"/>
                <w:color w:val="000000"/>
                <w:sz w:val="20"/>
                <w:szCs w:val="20"/>
              </w:rPr>
              <w:t>≦</w:t>
            </w:r>
            <w:r>
              <w:rPr>
                <w:rFonts w:hint="eastAsia" w:ascii="仿宋_GB2312" w:hAnsi="仿宋_GB2312" w:eastAsia="仿宋_GB2312" w:cs="仿宋_GB2312"/>
                <w:color w:val="000000"/>
                <w:sz w:val="20"/>
                <w:szCs w:val="20"/>
                <w:lang w:val="en-US" w:eastAsia="zh-CN"/>
              </w:rPr>
              <w:t>31万元</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31万元</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1053"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restart"/>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效益指标（</w:t>
            </w:r>
            <w:r>
              <w:rPr>
                <w:rFonts w:hint="eastAsia" w:ascii="仿宋_GB2312" w:hAnsi="仿宋_GB2312" w:eastAsia="仿宋_GB2312" w:cs="仿宋_GB2312"/>
                <w:color w:val="000000"/>
                <w:sz w:val="20"/>
                <w:szCs w:val="20"/>
                <w:lang w:val="en-US" w:eastAsia="zh-CN"/>
              </w:rPr>
              <w:t>30分</w:t>
            </w:r>
            <w:r>
              <w:rPr>
                <w:rFonts w:hint="eastAsia" w:ascii="仿宋_GB2312" w:hAnsi="仿宋_GB2312" w:eastAsia="仿宋_GB2312" w:cs="仿宋_GB2312"/>
                <w:color w:val="000000"/>
                <w:sz w:val="20"/>
                <w:szCs w:val="20"/>
                <w:lang w:eastAsia="zh-CN"/>
              </w:rPr>
              <w:t>）</w:t>
            </w:r>
          </w:p>
        </w:tc>
        <w:tc>
          <w:tcPr>
            <w:tcW w:w="668" w:type="dxa"/>
            <w:vMerge w:val="restart"/>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是否增加野生动植物资源，促进资源有效利用和经济社会发展</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是</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是</w:t>
            </w:r>
            <w:r>
              <w:rPr>
                <w:rFonts w:hint="eastAsia" w:ascii="仿宋_GB2312" w:hAnsi="仿宋_GB2312" w:eastAsia="仿宋_GB2312" w:cs="仿宋_GB2312"/>
                <w:color w:val="000000"/>
                <w:sz w:val="20"/>
                <w:szCs w:val="20"/>
              </w:rPr>
              <w:t>　</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39"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林业有害生物防治有效挽回经济损失</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是</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是</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898"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restart"/>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89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提高全民野生动植物保护意识和科学素养</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是</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是</w:t>
            </w:r>
            <w:r>
              <w:rPr>
                <w:rFonts w:hint="eastAsia" w:ascii="仿宋_GB2312" w:hAnsi="仿宋_GB2312" w:eastAsia="仿宋_GB2312" w:cs="仿宋_GB2312"/>
                <w:color w:val="000000"/>
                <w:sz w:val="20"/>
                <w:szCs w:val="20"/>
              </w:rPr>
              <w:t>　</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98"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林业科技攻关与创新辐射带动效果</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明显</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较</w:t>
            </w:r>
            <w:r>
              <w:rPr>
                <w:rFonts w:hint="eastAsia" w:ascii="仿宋_GB2312" w:hAnsi="仿宋_GB2312" w:eastAsia="仿宋_GB2312" w:cs="仿宋_GB2312"/>
                <w:color w:val="000000"/>
                <w:sz w:val="20"/>
                <w:szCs w:val="20"/>
              </w:rPr>
              <w:t>明显</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98"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为人民群众提供生态休闲等社会服务能力</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是</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是</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1052"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提供林区就业，改善林区生产生活交通条件</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是</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711"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restart"/>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89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森林资源、生物多样性保护率</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≥95%</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≥95%</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812"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89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提供森林防火和病虫害防治通道</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是</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eastAsia="zh-CN"/>
              </w:rPr>
              <w:t>已完成</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794"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31" w:type="dxa"/>
            <w:vMerge w:val="continue"/>
            <w:tcBorders>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8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增强物种多样性可持续影响</w:t>
            </w:r>
          </w:p>
        </w:tc>
        <w:tc>
          <w:tcPr>
            <w:tcW w:w="108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长期</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长期</w:t>
            </w:r>
          </w:p>
        </w:tc>
        <w:tc>
          <w:tcPr>
            <w:tcW w:w="8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w:t>
            </w:r>
          </w:p>
        </w:tc>
        <w:tc>
          <w:tcPr>
            <w:tcW w:w="8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721"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vMerge w:val="continue"/>
            <w:tcBorders>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668"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89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科技创新水平</w:t>
            </w:r>
          </w:p>
        </w:tc>
        <w:tc>
          <w:tcPr>
            <w:tcW w:w="108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得到提升</w:t>
            </w:r>
          </w:p>
        </w:tc>
        <w:tc>
          <w:tcPr>
            <w:tcW w:w="113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得到提升</w:t>
            </w:r>
          </w:p>
        </w:tc>
        <w:tc>
          <w:tcPr>
            <w:tcW w:w="82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w:t>
            </w:r>
          </w:p>
        </w:tc>
        <w:tc>
          <w:tcPr>
            <w:tcW w:w="86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140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988" w:hRule="atLeast"/>
          <w:jc w:val="center"/>
        </w:trPr>
        <w:tc>
          <w:tcPr>
            <w:tcW w:w="941"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31" w:type="dxa"/>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668" w:type="dxa"/>
            <w:tcBorders>
              <w:top w:val="single" w:color="auto" w:sz="4" w:space="0"/>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89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周边群众满意度</w:t>
            </w:r>
          </w:p>
        </w:tc>
        <w:tc>
          <w:tcPr>
            <w:tcW w:w="10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w:t>
            </w:r>
            <w:r>
              <w:rPr>
                <w:rFonts w:hint="eastAsia" w:ascii="仿宋_GB2312" w:hAnsi="仿宋_GB2312" w:eastAsia="仿宋_GB2312" w:cs="仿宋_GB2312"/>
                <w:color w:val="000000"/>
                <w:sz w:val="20"/>
                <w:szCs w:val="20"/>
              </w:rPr>
              <w:t>0%</w:t>
            </w:r>
          </w:p>
        </w:tc>
        <w:tc>
          <w:tcPr>
            <w:tcW w:w="113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w:t>
            </w:r>
            <w:r>
              <w:rPr>
                <w:rFonts w:hint="eastAsia" w:ascii="仿宋_GB2312" w:hAnsi="仿宋_GB2312" w:eastAsia="仿宋_GB2312" w:cs="仿宋_GB2312"/>
                <w:color w:val="000000"/>
                <w:sz w:val="20"/>
                <w:szCs w:val="20"/>
              </w:rPr>
              <w:t>0%</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33" w:hRule="atLeast"/>
          <w:jc w:val="center"/>
        </w:trPr>
        <w:tc>
          <w:tcPr>
            <w:tcW w:w="6761"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90</w:t>
            </w:r>
          </w:p>
        </w:tc>
        <w:tc>
          <w:tcPr>
            <w:tcW w:w="14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eastAsia="仿宋_GB2312" w:cs="Times New Roman"/>
          <w:sz w:val="18"/>
          <w:szCs w:val="18"/>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eastAsia="仿宋_GB2312" w:cs="Times New Roman"/>
          <w:sz w:val="18"/>
          <w:szCs w:val="18"/>
          <w:lang w:eastAsia="zh-CN"/>
        </w:rPr>
      </w:pPr>
      <w:r>
        <w:rPr>
          <w:rFonts w:hint="default" w:ascii="Times New Roman" w:hAnsi="Times New Roman" w:eastAsia="仿宋_GB2312" w:cs="Times New Roman"/>
          <w:sz w:val="18"/>
          <w:szCs w:val="18"/>
        </w:rPr>
        <w:t>备注：一个一级项目支出一张表。</w:t>
      </w:r>
      <w:r>
        <w:rPr>
          <w:rFonts w:hint="eastAsia" w:ascii="Times New Roman" w:hAnsi="Times New Roman" w:eastAsia="仿宋_GB2312" w:cs="Times New Roman"/>
          <w:sz w:val="18"/>
          <w:szCs w:val="18"/>
          <w:lang w:eastAsia="zh-CN"/>
        </w:rPr>
        <w:t>如，</w:t>
      </w:r>
      <w:r>
        <w:rPr>
          <w:rFonts w:hint="default" w:ascii="Times New Roman" w:hAnsi="Times New Roman" w:eastAsia="仿宋_GB2312" w:cs="Times New Roman"/>
          <w:sz w:val="18"/>
          <w:szCs w:val="18"/>
        </w:rPr>
        <w:t>业务工作经费</w:t>
      </w:r>
      <w:r>
        <w:rPr>
          <w:rFonts w:hint="eastAsia" w:ascii="Times New Roman" w:hAnsi="Times New Roman" w:eastAsia="仿宋_GB2312" w:cs="Times New Roman"/>
          <w:sz w:val="18"/>
          <w:szCs w:val="18"/>
          <w:lang w:eastAsia="zh-CN"/>
        </w:rPr>
        <w:t>，</w:t>
      </w:r>
      <w:r>
        <w:rPr>
          <w:rFonts w:hint="default" w:ascii="Times New Roman" w:hAnsi="Times New Roman" w:eastAsia="仿宋_GB2312" w:cs="Times New Roman"/>
          <w:sz w:val="18"/>
          <w:szCs w:val="18"/>
        </w:rPr>
        <w:t>运行维护经费</w:t>
      </w:r>
      <w:r>
        <w:rPr>
          <w:rFonts w:hint="eastAsia" w:ascii="Times New Roman" w:hAnsi="Times New Roman" w:eastAsia="仿宋_GB2312" w:cs="Times New Roman"/>
          <w:sz w:val="18"/>
          <w:szCs w:val="18"/>
          <w:lang w:eastAsia="zh-CN"/>
        </w:rPr>
        <w:t>，其他事业发展类资金…各一张表</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黑体" w:hAnsi="黑体" w:eastAsia="黑体" w:cs="黑体"/>
          <w:sz w:val="32"/>
          <w:szCs w:val="32"/>
          <w:lang w:val="en-US" w:eastAsia="zh-CN"/>
        </w:rPr>
      </w:pPr>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eastAsia="zh-CN"/>
        </w:rPr>
        <w:t>付敏</w:t>
      </w:r>
      <w:r>
        <w:rPr>
          <w:rFonts w:hint="default"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2023.6.20</w:t>
      </w:r>
      <w:r>
        <w:rPr>
          <w:rFonts w:hint="default" w:ascii="Times New Roman" w:hAnsi="Times New Roman" w:eastAsia="仿宋_GB2312" w:cs="Times New Roman"/>
          <w:sz w:val="22"/>
          <w:szCs w:val="22"/>
        </w:rPr>
        <w:t xml:space="preserve"> 联系电话：</w:t>
      </w:r>
      <w:r>
        <w:rPr>
          <w:rFonts w:hint="eastAsia" w:ascii="Times New Roman" w:hAnsi="Times New Roman" w:eastAsia="仿宋_GB2312" w:cs="Times New Roman"/>
          <w:sz w:val="22"/>
          <w:szCs w:val="22"/>
          <w:lang w:val="en-US" w:eastAsia="zh-CN"/>
        </w:rPr>
        <w:t>8622658</w:t>
      </w:r>
      <w:r>
        <w:rPr>
          <w:rFonts w:hint="default" w:ascii="Times New Roman" w:hAnsi="Times New Roman" w:eastAsia="仿宋_GB2312" w:cs="Times New Roman"/>
          <w:sz w:val="22"/>
          <w:szCs w:val="22"/>
        </w:rPr>
        <w:t xml:space="preserve"> 单位负责人签字：</w:t>
      </w:r>
      <w:r>
        <w:rPr>
          <w:rFonts w:hint="eastAsia" w:ascii="Times New Roman" w:hAnsi="Times New Roman" w:eastAsia="仿宋_GB2312" w:cs="Times New Roman"/>
          <w:sz w:val="22"/>
          <w:szCs w:val="22"/>
          <w:lang w:eastAsia="zh-CN"/>
        </w:rPr>
        <w:t>李科</w:t>
      </w:r>
    </w:p>
    <w:p>
      <w:pPr>
        <w:pStyle w:val="2"/>
        <w:keepNext w:val="0"/>
        <w:keepLines w:val="0"/>
        <w:pageBreakBefore w:val="0"/>
        <w:widowControl w:val="0"/>
        <w:kinsoku/>
        <w:wordWrap/>
        <w:overflowPunct/>
        <w:topLinePunct w:val="0"/>
        <w:autoSpaceDE/>
        <w:autoSpaceDN/>
        <w:bidi w:val="0"/>
        <w:adjustRightInd/>
        <w:snapToGrid/>
        <w:ind w:left="0" w:leftChars="0"/>
        <w:jc w:val="lef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617CA7"/>
    <w:multiLevelType w:val="singleLevel"/>
    <w:tmpl w:val="B6617CA7"/>
    <w:lvl w:ilvl="0" w:tentative="0">
      <w:start w:val="1"/>
      <w:numFmt w:val="chineseCounting"/>
      <w:suff w:val="nothing"/>
      <w:lvlText w:val="%1、"/>
      <w:lvlJc w:val="left"/>
      <w:rPr>
        <w:rFonts w:hint="eastAsia"/>
      </w:rPr>
    </w:lvl>
  </w:abstractNum>
  <w:abstractNum w:abstractNumId="1">
    <w:nsid w:val="33EC21EA"/>
    <w:multiLevelType w:val="singleLevel"/>
    <w:tmpl w:val="33EC21EA"/>
    <w:lvl w:ilvl="0" w:tentative="0">
      <w:start w:val="8"/>
      <w:numFmt w:val="chineseCounting"/>
      <w:suff w:val="nothing"/>
      <w:lvlText w:val="%1、"/>
      <w:lvlJc w:val="left"/>
      <w:rPr>
        <w:rFonts w:hint="eastAsia"/>
      </w:rPr>
    </w:lvl>
  </w:abstractNum>
  <w:abstractNum w:abstractNumId="2">
    <w:nsid w:val="3A53CE58"/>
    <w:multiLevelType w:val="singleLevel"/>
    <w:tmpl w:val="3A53CE58"/>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wNDE4MDkxYTQ1Mzg5ODcyMjIzNDBjODdiOTgwOGIifQ=="/>
  </w:docVars>
  <w:rsids>
    <w:rsidRoot w:val="5E7D3231"/>
    <w:rsid w:val="022E414E"/>
    <w:rsid w:val="052A656F"/>
    <w:rsid w:val="059C5BB5"/>
    <w:rsid w:val="10E16B8A"/>
    <w:rsid w:val="17E10786"/>
    <w:rsid w:val="18E45469"/>
    <w:rsid w:val="195B53E8"/>
    <w:rsid w:val="20825C93"/>
    <w:rsid w:val="20D255B9"/>
    <w:rsid w:val="22192627"/>
    <w:rsid w:val="255676EF"/>
    <w:rsid w:val="28033B5E"/>
    <w:rsid w:val="287F0314"/>
    <w:rsid w:val="2BBB2623"/>
    <w:rsid w:val="2DDD275B"/>
    <w:rsid w:val="2F9432ED"/>
    <w:rsid w:val="31D9148B"/>
    <w:rsid w:val="3BC253A8"/>
    <w:rsid w:val="3DB72FC9"/>
    <w:rsid w:val="488C6E00"/>
    <w:rsid w:val="59B63CDD"/>
    <w:rsid w:val="5C645C72"/>
    <w:rsid w:val="5D777C27"/>
    <w:rsid w:val="5E7D3231"/>
    <w:rsid w:val="67612692"/>
    <w:rsid w:val="695102F8"/>
    <w:rsid w:val="6AED777A"/>
    <w:rsid w:val="6DDE15FC"/>
    <w:rsid w:val="70DF2143"/>
    <w:rsid w:val="761C7166"/>
    <w:rsid w:val="766D176F"/>
    <w:rsid w:val="78E623CF"/>
    <w:rsid w:val="7CB77BE8"/>
    <w:rsid w:val="7D0F532E"/>
    <w:rsid w:val="7F434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99"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annotation text"/>
    <w:basedOn w:val="1"/>
    <w:semiHidden/>
    <w:qFormat/>
    <w:uiPriority w:val="99"/>
    <w:pPr>
      <w:jc w:val="left"/>
    </w:pPr>
  </w:style>
  <w:style w:type="paragraph" w:styleId="5">
    <w:name w:val="Body Text Indent"/>
    <w:basedOn w:val="1"/>
    <w:next w:val="6"/>
    <w:qFormat/>
    <w:uiPriority w:val="0"/>
    <w:pPr>
      <w:spacing w:after="120"/>
      <w:ind w:left="420" w:leftChars="200"/>
    </w:pPr>
  </w:style>
  <w:style w:type="paragraph" w:styleId="6">
    <w:name w:val="annotation subject"/>
    <w:basedOn w:val="4"/>
    <w:next w:val="1"/>
    <w:semiHidden/>
    <w:qFormat/>
    <w:uiPriority w:val="99"/>
    <w:rPr>
      <w:bCs/>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2"/>
    <w:basedOn w:val="5"/>
    <w:qFormat/>
    <w:uiPriority w:val="0"/>
    <w:pPr>
      <w:ind w:firstLine="420" w:firstLineChars="200"/>
    </w:pPr>
  </w:style>
  <w:style w:type="paragraph" w:styleId="11">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5823</Words>
  <Characters>6377</Characters>
  <Lines>0</Lines>
  <Paragraphs>0</Paragraphs>
  <TotalTime>7</TotalTime>
  <ScaleCrop>false</ScaleCrop>
  <LinksUpToDate>false</LinksUpToDate>
  <CharactersWithSpaces>7016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2023-05-17T08:15:00Z</dcterms:created>
  <dc:creator>敏儿</dc:creator>
  <cp:lastModifiedBy>敏儿</cp:lastModifiedBy>
  <cp:lastPrinted>2023-07-14T01:31:00Z</cp:lastPrinted>
  <dcterms:modified xsi:type="dcterms:W3CDTF">2023-10-26T01:31:15Z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56694334A9C4461D82D7D5CFB5936EC9_11</vt:lpwstr>
  </property>
</Properties>
</file>