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岳阳市城市管理和综合执法局机关2021年度部门预算公开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第一部分  2021年部门预算说明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市城市管理和综合执法局主要承担市容环境卫生、园林绿化、城管执法、市政公共设施维护、路灯亮化、渣土运输（道路破占）、户外广告、城镇燃气、停车管理等职能。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我局设置15个内设机构，所属事业单位13个，纳入2021年部门预算编制范围的13个。 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内设机构分别是办公室、信访维稳科、政策法规科、行政审批科、城市管理考评科、市容环境卫生管理科、垃圾分类管理科、园林绿化科、城市绿线管理科、基础设施建设管理科、燃气管理科（安全管理科）、户外广告管理科、计划财务科、审计科、人事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/>
                <w:color w:val="auto"/>
                <w:lang w:eastAsia="zh-CN"/>
              </w:rPr>
              <w:t>　　按章程设置机关党委、机关纪委，按相关规定设置城市管理工会、离退休人员管理服务科。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所属单位包括</w:t>
            </w:r>
            <w:r>
              <w:rPr>
                <w:rFonts w:hint="eastAsia"/>
                <w:color w:val="auto"/>
                <w:lang w:eastAsia="zh-CN"/>
              </w:rPr>
              <w:t>：1、市市容环境卫生中心；2、市园林绿化中心；3、市城市管理综合行政执法支队；4、市市政维护管理处；5、市路灯管理处；6、市土石方调配运输服务中心（市破占道服务中心）；7、岳阳火车站地区综合执法支队；8、市沿湖风光带管理中心；9、市城市管理信息中心；10、市智慧城管指挥中心；11、市停车管理办公室；12、市静脉产业园管理中心；13、市城市管理和综合执法局湖南城陵矶新港区分局等十三个管理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本部门所属二级预算单位均由财政独立批复预算，并已单独公开预算，因此，纳入2021年部门预算公开范围的为本部门（单位）自己。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2021年部门预算包括本级预算和所含预算单位在内的汇总情况。收入包括经费拨款，也包括行政事业性收费收入和国有资源有偿使用收入；支出包括保障单位基本运行的经费，也包括项目经费。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入预算1,525.07万元，其中，一般公共预算拨款1,525.07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收入较去年增加8.2万元，增幅0.5%，原因是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人员调整和工资晋级晋档。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支出预算1,525.07万元，其中，社会保障和就业支出60.01万元，卫生健康支出39.24万元，城乡社区支出1,384.55万元，住房保障支出41.27万元。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支出较去年增加8.2万元，其中基本支出较去年增加23.2万元，原因是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人员调整和工资晋级晋档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；项目支出较去年减少15万元，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原因是本单位严格执行了压减一般性财政拨款支出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2021年一般公共预算拨款支出预算1,525.07万元，其中，社会保障和就业支出60.01万元，占3.9%，卫生健康支出39.24万元，占2.6%，城乡社区支出1,384.55万元，占90.8%，住房保障支出41.27万元，占2.7%。具体安排情况如下：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589.07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936.00万元，是指单位为完成特定行政工作任务或事业发展目标而发生的支出，包括有关业务工作经费、运行维护经费等。其中包括城市管理应急机动经费280.00万元、2020年重大节日期间摆花经费198.00万元、上缴广告拍卖收入财政支出160.00万元、非税收入执收成本113.00万元、城市综合管理宣传经费40.00万元、城管系统考评经费36.00万元、《岳阳市城市照明管理办法》立法修订服务费及《岳阳市城市绿线管理办法》立法服务费22.00万元、燃气市场管理经费18.00万元、户外广告整治工作经费14.00万元、城市综合管理及安全工作经费14.00万元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2021年机关运行经费当年一般公共预算拨款98.67万元。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较去年增加1.34万元，增幅1.4%，原因是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人员调整和厉行节约。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2021年“三公”经费预算数64.80万元，其中公务接待费21.80万元，因公出国（境）费0.00万元，公务用车购置及运行费等43.00万元（其中公务用车购置费0.00万元，公务用车运行费43.00万元）。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比上一年减少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万元，降低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%，主要原因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是本着厉行节约原则同城公务不接待，车辆运行维护费降低，压减三公经费开支。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　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2021年会议费预算2.00万元，拟召开3次，人数150人，内容为：1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城镇生活垃圾填埋场问题整改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农村垃圾治理及交通问题顽瘴痼疾集中整治工作推进会；2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市中心城区涉水野生动物户外广告整治行动专题会；3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局及系统年终工作总结表彰大会。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　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2021年培训费预算4.10万元，拟开展10次培训，人数500人，内容为：1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党史教育培训班；2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办公信息化系统操作培训；3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事业单位人事档案专项清理业务培训；4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住建领域行政处罚业务培训；5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燃气安全知识培训；6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财务审计知识培训；7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执法人员业务培训；8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消防安全教育培训；9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信访维稳接访业务培训；10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行政审批业务培训。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本部门（单位）2021年政府采购预算总额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190.2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万元。 其中货物类采购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47.2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万元，工程类采购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万元，服务类采购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截至上一年12月底，本部门（单位）共有车辆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都是一般公务用车辆。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所有支出实行绩效目标管理。纳入2021年单位整体支出绩效目标的金额为1,525.07万元，其中，基本支出589.07万元，项目支出936.00万元，绩效目标详见文尾附表中预算公开表格的表22-23。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YjE2NzhkNDM2Y2Y5NzI2YzFkODFmZGY5MzM4MWUifQ=="/>
  </w:docVars>
  <w:rsids>
    <w:rsidRoot w:val="48885009"/>
    <w:rsid w:val="00CE1D1C"/>
    <w:rsid w:val="060F4036"/>
    <w:rsid w:val="07453DF4"/>
    <w:rsid w:val="0DAB4C49"/>
    <w:rsid w:val="122B1C18"/>
    <w:rsid w:val="217100D7"/>
    <w:rsid w:val="28437BCE"/>
    <w:rsid w:val="2DC52AD5"/>
    <w:rsid w:val="312E36D8"/>
    <w:rsid w:val="34390DE3"/>
    <w:rsid w:val="37945B7C"/>
    <w:rsid w:val="3B51265F"/>
    <w:rsid w:val="4167715C"/>
    <w:rsid w:val="48885009"/>
    <w:rsid w:val="4E542F0D"/>
    <w:rsid w:val="50B30947"/>
    <w:rsid w:val="55FC0B81"/>
    <w:rsid w:val="5A6849F5"/>
    <w:rsid w:val="69647061"/>
    <w:rsid w:val="707F6E1E"/>
    <w:rsid w:val="7E5B0072"/>
    <w:rsid w:val="7F4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3817</Words>
  <Characters>4184</Characters>
  <Lines>0</Lines>
  <Paragraphs>0</Paragraphs>
  <TotalTime>0</TotalTime>
  <ScaleCrop>false</ScaleCrop>
  <LinksUpToDate>false</LinksUpToDate>
  <CharactersWithSpaces>4374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AOC</cp:lastModifiedBy>
  <dcterms:modified xsi:type="dcterms:W3CDTF">2022-09-07T00:35:23Z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A63417EA305C48F3B9F286A544D81E8A</vt:lpwstr>
  </property>
</Properties>
</file>