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岳阳市公安局2021年度部门预算公开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2021年部门预算说明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第二部分  部门预算公开表格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第一部分    2021年部门预算说明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一、部门基本概况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岳阳市公安局是主管全市公安工作的市人民政府工作部门。分别在各市、县（区）设有公安局（分局），在乡、镇、街道办事处设立公安派出所。受上级公安机关和地方党委、政府双重领导和管理。各级公安机关按照分工，依法履行下列职责：1.预防、制止和侦查违法犯罪活动；2.维护社会治安秩序，制止危害社会治安秩序的行为；3.维护交通安全和交通秩序，处理交通事故；4.组织、实施消防工作，实行消防监督；5.管理枪支弹药、管制刀具和易燃易爆、剧毒、放射等危险物品；6.对法律、法规制定的特种行业进行管理；7.警卫国家规定的特定人员，守卫重要的场所和设施；8.管理集会、游行、示威活动；9.管理户政、国籍、入境出境事务和外国人在中国境内居留、旅行的有关事务；10.维护国（边）境地区的治安秩序；11.对被判处管制、拘役、剥夺政治权利的罪犯和监外执行的罪犯执行刑罚，对被宣告缓刑、假释的罪犯实行监督、考察；12.监督管理计算机信息系统的安全保护工作；13.指导和监督国家机关、社会团体、企业事业组织和重点建设工程的治安保卫工作，指导治安保卫委员会等群众性组织的治安防范工作；14.法律、法规规定的其他职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根据编委核定，岳阳市公安局内设警令部、政治部、警务保障处、党风廉政室、审计室；下设警官培训中心、交通警察支队、监所管理支队、机场分局等22个直属机构；派出机构有岳阳楼分局、云溪分局、君山分局、经济技术开发区分局。除派出机构外，属于财务独立核算单位的有机场分局、森林警察支队、交通警察支队及其派出机构，其余内设、直属机构纳入市公安局本级财务统一核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二、部门预算单位构成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所属单位包括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1、岳阳市公安局本级；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、岳阳市公安局岳阳楼分局；3、岳阳市公安局云溪分局；4、岳阳市公安局君山分局；5、岳阳市公安局交通警察支队；6、岳阳市公安局三荷机场分局；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、岳阳市公安局森林警察支队（原岳阳市森林公安局）。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本部门所属二级预算单位均由财政独立批复预算，并已单独公开预算，因此，纳入2021年部门预算公开范围的为本部门（单位）自己。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三、部门（单位）收支总体情况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2021年部门预算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二级预算单位均由财政独立批复预算，并已单独公开预算，因此，纳入2021年部门预算公开范围的为本部门（单位）自己。收入包括经费拨款，也包括行政事业性收费收入和国有资源有偿使用收入；支出包括保障单位基本运行的经费，也包括项目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（一）收入预算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入预算19,026.65万元，其中，一般公共预算拨款19,026.65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收入较去年增加1482.92万元，增幅8.5%，原因是机构撤并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（一看守所、戒毒所、收教所、警官培训中心并入机关）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和人员变动，以及工资调标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支出预算19,026.65万元，其中，公共安全支出16,322.40万元，社会保障和就业支出1,162.34万元，卫生健康支出750.50万元，住房保障支出791.41万元。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支出较去年增加1482.92万元，其中基本支出较去年增加1549.88万元，原因是人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变动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及人员经费保障标准提高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；项目支出较去年减少66.96万元，原因是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非税收入征收成本降低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一般公共预算拨款支出预算19,026.65万元，其中，公共安全支出16,322.40万元，占85.8%，社会保障和就业支出1,162.34万元，占6.1%，卫生健康支出750.50万元，占3.9%，住房保障支出791.41万元，占4.2%。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基本支出：2021年基本支出年初预算数为13,354.51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项目支出：2021年项目支出年初预算数为5,672.14万元，是指单位为完成特定行政工作任务或事业发展目标而发生的支出，包括有关业务工作经费、运行维护经费等。其中包括人民警察加班补助、值勤岗位津贴1,561.04万元、办案业务经费1,085.00万元、科技强警专项经费500.00万元、中央政法转移支付办案费449.00万元、中央政法转移支付办案费（禁毒支出）390.00万元、办案成本300.00万元、禁毒委专项经费300.00万元、给养费（第一看守所）229.98万元、扫黑除恶220.00万元、城市快警153.00万元等</w:t>
            </w:r>
            <w:r>
              <w:rPr>
                <w:rFonts w:hint="default"/>
                <w:color w:val="auto"/>
              </w:rPr>
              <w:t>，主要用于办案经费、扫黑除恶及拘押收教场所管理等方面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无政府性基金安排的支出，所以公开的附件15-17为空。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2021年机关运行经费当年一般公共预算拨款1,861.43万元。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较去年增加54.36万元，增幅3.0%，原因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2021年“三公”经费预算数411.52万元，其中公务接待费25万元，因公出国（境）费10万元，公务用车购置及运行费376.52万元（其中公务用车购置费10万元，公务用车运行费366.52万元）。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比上一年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对应数据相比无变化。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会议费预算20.00万元，拟召开16次会议，人数1350人，内容为全市公安机关进度工作会议、网技工作会议、监管工作会议等；；培训费预算14.00万元，拟开展28次培训，人数1500人，内容为新警入警培训、民警业务技能培训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本部门（单位）2021年政府采购预算总额16487.51万元，其中工程类6380万元，货物类6538.26万元，服务类3569.25万元。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截至上一年12月底，本部门（单位）共有车辆343辆，其中领导干部用车0辆，一般公务用车303辆，其他用车40辆。单位价值50万元以上通用设备38台，单位价值100万元以上专用设备7台。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2021年拟报废处置公务用车13辆，拟新增配置车辆8辆，其中领导干部用车0辆，一般公务用车8辆，其他用车0辆，主要用于执法执勤，资金来源为单位自筹。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2021年拟新增配备单位价值50万元以上通用设备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台，单位价值100万元以上专用设备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所有支出实行绩效目标管理。纳入2021年单位整体支出绩效目标的金额为19,026.65万元，其中，基本支出13,354.51万元，项目支出5,672.14万元，绩效目标详见文尾附表中预算公开表格的表22-23。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第二部分  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00B789"/>
    <w:multiLevelType w:val="singleLevel"/>
    <w:tmpl w:val="CC00B7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843682"/>
    <w:multiLevelType w:val="singleLevel"/>
    <w:tmpl w:val="14843682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mE1ZTNlNzA4YjgyNDIxMDIwOGIzMWI3NDY0OTkifQ=="/>
  </w:docVars>
  <w:rsids>
    <w:rsidRoot w:val="48885009"/>
    <w:rsid w:val="00AD3675"/>
    <w:rsid w:val="021B163F"/>
    <w:rsid w:val="02282330"/>
    <w:rsid w:val="060F4036"/>
    <w:rsid w:val="0618237D"/>
    <w:rsid w:val="0834033F"/>
    <w:rsid w:val="09AD4173"/>
    <w:rsid w:val="0AB100FE"/>
    <w:rsid w:val="104D4694"/>
    <w:rsid w:val="16C764BC"/>
    <w:rsid w:val="1757400A"/>
    <w:rsid w:val="1AA52057"/>
    <w:rsid w:val="20C079C8"/>
    <w:rsid w:val="26C22AA4"/>
    <w:rsid w:val="27A10913"/>
    <w:rsid w:val="312E36D8"/>
    <w:rsid w:val="335D6DEB"/>
    <w:rsid w:val="3474171E"/>
    <w:rsid w:val="34A71D15"/>
    <w:rsid w:val="39834C18"/>
    <w:rsid w:val="3B51265F"/>
    <w:rsid w:val="3B8E39E8"/>
    <w:rsid w:val="3E471E20"/>
    <w:rsid w:val="44051DAD"/>
    <w:rsid w:val="47C47D13"/>
    <w:rsid w:val="48885009"/>
    <w:rsid w:val="4E2A0AA9"/>
    <w:rsid w:val="4E542F0D"/>
    <w:rsid w:val="555B14CE"/>
    <w:rsid w:val="59EF2A8B"/>
    <w:rsid w:val="5EC82B17"/>
    <w:rsid w:val="5F2C14F3"/>
    <w:rsid w:val="676C3F80"/>
    <w:rsid w:val="67B34EB9"/>
    <w:rsid w:val="684E77D6"/>
    <w:rsid w:val="707F6E1E"/>
    <w:rsid w:val="71A30B93"/>
    <w:rsid w:val="749F1AE5"/>
    <w:rsid w:val="75B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4013</Words>
  <Characters>4460</Characters>
  <Lines>0</Lines>
  <Paragraphs>0</Paragraphs>
  <TotalTime>3</TotalTime>
  <ScaleCrop>false</ScaleCrop>
  <LinksUpToDate>false</LinksUpToDate>
  <CharactersWithSpaces>4646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2022-06-06T11:01:00Z</dcterms:created>
  <dc:creator>German Phillip</dc:creator>
  <cp:lastModifiedBy>(๑• . •๑)</cp:lastModifiedBy>
  <dcterms:modified xsi:type="dcterms:W3CDTF">2022-09-06T01:53:06Z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BF328C9D3BED46C5ABCA8165103A93BB</vt:lpwstr>
  </property>
</Properties>
</file>