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公安局岳楼分局2021年度单位预算公开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单位预算公开表格</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二十四、一般公共预算基本支出总表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ind w:firstLine="560" w:firstLineChars="200"/>
              <w:textAlignment w:val="auto"/>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Theme="minorEastAsia" w:hAnsiTheme="minorEastAsia"/>
                <w:bCs/>
                <w:kern w:val="0"/>
                <w:sz w:val="32"/>
                <w:szCs w:val="32"/>
                <w:lang w:eastAsia="zh-CN"/>
              </w:rPr>
              <w:t>本</w:t>
            </w:r>
            <w:r>
              <w:rPr>
                <w:rFonts w:hint="eastAsia" w:asciiTheme="minorEastAsia" w:hAnsiTheme="minorEastAsia"/>
                <w:bCs/>
                <w:kern w:val="0"/>
                <w:sz w:val="32"/>
                <w:szCs w:val="32"/>
              </w:rPr>
              <w:t>单位内设机构</w:t>
            </w:r>
            <w:r>
              <w:rPr>
                <w:rFonts w:hint="eastAsia" w:asciiTheme="minorEastAsia" w:hAnsiTheme="minorEastAsia"/>
                <w:bCs/>
                <w:kern w:val="0"/>
                <w:sz w:val="32"/>
                <w:szCs w:val="32"/>
                <w:lang w:eastAsia="zh-CN"/>
              </w:rPr>
              <w:t>设置</w:t>
            </w:r>
            <w:r>
              <w:rPr>
                <w:rFonts w:hint="eastAsia" w:asciiTheme="minorEastAsia" w:hAnsiTheme="minorEastAsia"/>
                <w:bCs/>
                <w:kern w:val="0"/>
                <w:sz w:val="32"/>
                <w:szCs w:val="32"/>
              </w:rPr>
              <w:t>：</w:t>
            </w:r>
            <w:r>
              <w:rPr>
                <w:rFonts w:hint="eastAsia" w:asciiTheme="minorEastAsia" w:hAnsiTheme="minorEastAsia"/>
                <w:bCs/>
                <w:kern w:val="0"/>
                <w:sz w:val="32"/>
                <w:szCs w:val="32"/>
                <w:lang w:val="en-US" w:eastAsia="zh-CN"/>
              </w:rPr>
              <w:t>19个公安派出所、16个执法办案大队、5个机关科室。</w:t>
            </w:r>
            <w:r>
              <w:rPr>
                <w:rFonts w:hint="eastAsia" w:ascii="仿宋_GB2312" w:hAnsi="宋体" w:eastAsia="仿宋_GB2312" w:cs="仿宋_GB2312"/>
                <w:i w:val="0"/>
                <w:iCs w:val="0"/>
                <w:color w:val="auto"/>
                <w:kern w:val="0"/>
                <w:sz w:val="28"/>
                <w:szCs w:val="28"/>
                <w:u w:val="none"/>
                <w:lang w:val="en-US" w:eastAsia="zh-CN" w:bidi="ar"/>
              </w:rPr>
              <w:t>现有人员编制 540名，预算人数506名。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firstLineChars="20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本单位为二级预算单位，没有预算独立、财务核算的下属预算单位，因此纳入2021年部门预算公开范围的为本单位本级预算。</w:t>
            </w:r>
          </w:p>
          <w:p>
            <w:pPr>
              <w:keepNext w:val="0"/>
              <w:keepLines w:val="0"/>
              <w:widowControl/>
              <w:suppressLineNumbers w:val="0"/>
              <w:ind w:firstLine="56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（一）收入预算</w:t>
            </w:r>
            <w:bookmarkStart w:id="0" w:name="_GoBack"/>
            <w:bookmarkEnd w:id="0"/>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9,039.74万元，其中，一般公共预算拨款9,039.74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收入较去年增加200.7万元，增幅2.3%，原因是人员经费调增</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2021年本单位支出预算9,039.74万元，其中，公共安全支出7,404.91万元，社会保障和就业支出693.91万元，卫生健康支出457.97万元，住房保障支出482.95万元。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支出较去年增加200.7万元，其中基本支出较去年增加241.53万元，原因是民警工资提标、社会保障缴费增加而导致人员经费增加；项目支出较去年减少40.83万元，原因是响应国家厉行节约的号召压减支出的要求。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9,039.74万元，其中，公共安全支出7,404.91万元，占81.9%，社会保障和就业支出693.91万元，占7.7%，卫生健康支出457.97万元，占5.1%，住房保障支出482.95万元，占5.3%。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6,774.36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2,265.38万元，是指单位为完成特定行政工作任务或事业发展目标而发生的支出，包括有关业务工作经费、运行维护经费等。其中包括人民警察加班、值勤岗位津贴1,048.56万元、乡镇派出所民警工作津贴7.30万元</w:t>
            </w:r>
            <w:r>
              <w:rPr>
                <w:rFonts w:hint="eastAsia" w:ascii="仿宋_GB2312" w:hAnsi="宋体" w:cs="仿宋_GB2312"/>
                <w:i w:val="0"/>
                <w:iCs w:val="0"/>
                <w:color w:val="auto"/>
                <w:kern w:val="0"/>
                <w:sz w:val="28"/>
                <w:szCs w:val="28"/>
                <w:u w:val="none"/>
                <w:lang w:val="en-US" w:eastAsia="zh-CN" w:bidi="ar"/>
              </w:rPr>
              <w:t>，主要是用于人民警察加班执勤岗位津贴及乡镇派出所民警工作津贴的支出；</w:t>
            </w:r>
            <w:r>
              <w:rPr>
                <w:rFonts w:hint="eastAsia" w:ascii="仿宋_GB2312" w:hAnsi="宋体" w:eastAsia="仿宋_GB2312" w:cs="仿宋_GB2312"/>
                <w:i w:val="0"/>
                <w:iCs w:val="0"/>
                <w:color w:val="auto"/>
                <w:kern w:val="0"/>
                <w:sz w:val="28"/>
                <w:szCs w:val="28"/>
                <w:u w:val="none"/>
                <w:lang w:val="en-US" w:eastAsia="zh-CN" w:bidi="ar"/>
              </w:rPr>
              <w:t>中央政法转移支付办案费637.70万元、办案费350.00万元、公安监管人员医疗伙食费166.54万元、城市治安电子监控工作经费55.00万元、非税收入征收成本0.28万元，主要用于城市治安电子监控、公安监管人员医疗伙食费及中央政法转移办案费等方面的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本单位2021年机关运行经费当年一般公共预算拨款1,114.97万元。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较去年减少13.6万元，降幅1.2%，原因是响应国家厉行节约的号召压减基本开支。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本单位2021年“三公”经费预算数5</w:t>
            </w:r>
            <w:r>
              <w:rPr>
                <w:rFonts w:hint="eastAsia" w:ascii="仿宋_GB2312" w:hAnsi="宋体" w:cs="仿宋_GB2312"/>
                <w:i w:val="0"/>
                <w:iCs w:val="0"/>
                <w:color w:val="auto"/>
                <w:kern w:val="0"/>
                <w:sz w:val="28"/>
                <w:szCs w:val="28"/>
                <w:u w:val="none"/>
                <w:lang w:val="en-US" w:eastAsia="zh-CN" w:bidi="ar"/>
              </w:rPr>
              <w:t>1</w:t>
            </w:r>
            <w:r>
              <w:rPr>
                <w:rFonts w:hint="eastAsia" w:ascii="仿宋_GB2312" w:hAnsi="宋体" w:eastAsia="仿宋_GB2312" w:cs="仿宋_GB2312"/>
                <w:i w:val="0"/>
                <w:iCs w:val="0"/>
                <w:color w:val="auto"/>
                <w:kern w:val="0"/>
                <w:sz w:val="28"/>
                <w:szCs w:val="28"/>
                <w:u w:val="none"/>
                <w:lang w:val="en-US" w:eastAsia="zh-CN" w:bidi="ar"/>
              </w:rPr>
              <w:t>2.00万元，其中公务接待费18.00万元，因公出国（境）费0.00万元，公务用车购置及运行费</w:t>
            </w:r>
            <w:r>
              <w:rPr>
                <w:rFonts w:hint="eastAsia" w:ascii="仿宋_GB2312" w:hAnsi="宋体" w:cs="仿宋_GB2312"/>
                <w:i w:val="0"/>
                <w:iCs w:val="0"/>
                <w:color w:val="auto"/>
                <w:kern w:val="0"/>
                <w:sz w:val="28"/>
                <w:szCs w:val="28"/>
                <w:u w:val="none"/>
                <w:lang w:val="en-US" w:eastAsia="zh-CN" w:bidi="ar"/>
              </w:rPr>
              <w:t>494</w:t>
            </w:r>
            <w:r>
              <w:rPr>
                <w:rFonts w:hint="eastAsia" w:ascii="仿宋_GB2312" w:hAnsi="宋体" w:eastAsia="仿宋_GB2312" w:cs="仿宋_GB2312"/>
                <w:i w:val="0"/>
                <w:iCs w:val="0"/>
                <w:color w:val="auto"/>
                <w:kern w:val="0"/>
                <w:sz w:val="28"/>
                <w:szCs w:val="28"/>
                <w:u w:val="none"/>
                <w:lang w:val="en-US" w:eastAsia="zh-CN" w:bidi="ar"/>
              </w:rPr>
              <w:t>.00万元（其中公务用车购置费100.00万元，公务用车运行费394.00万元）。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比上一年减少8</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万元，降低13.</w:t>
            </w:r>
            <w:r>
              <w:rPr>
                <w:rFonts w:hint="eastAsia" w:ascii="仿宋_GB2312" w:hAnsi="宋体" w:cs="仿宋_GB2312"/>
                <w:i w:val="0"/>
                <w:iCs w:val="0"/>
                <w:color w:val="auto"/>
                <w:kern w:val="0"/>
                <w:sz w:val="28"/>
                <w:szCs w:val="28"/>
                <w:u w:val="none"/>
                <w:lang w:val="en-US" w:eastAsia="zh-CN" w:bidi="ar"/>
              </w:rPr>
              <w:t>5</w:t>
            </w:r>
            <w:r>
              <w:rPr>
                <w:rFonts w:hint="eastAsia" w:ascii="仿宋_GB2312" w:hAnsi="宋体" w:eastAsia="仿宋_GB2312" w:cs="仿宋_GB2312"/>
                <w:i w:val="0"/>
                <w:iCs w:val="0"/>
                <w:color w:val="auto"/>
                <w:kern w:val="0"/>
                <w:sz w:val="28"/>
                <w:szCs w:val="28"/>
                <w:u w:val="none"/>
                <w:lang w:val="en-US" w:eastAsia="zh-CN" w:bidi="ar"/>
              </w:rPr>
              <w:t>%，主要原因是响应国家厉行节约的号召严控“三公”经费</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2021年度本单位未计划召开会议；培训费预算26.00万元，拟开展21次培训，人数506人，内容为新聘辅警的岗位培训、新警培训及民警轮训</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本单位2021年政府采购预算总额1950万元，其中工程类350万元，货物类1120万元，服务类480万元。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截至上一年12月底，本单位共有车辆67辆，其中，机要通信用车1辆，应急保障用车0辆，执法执勤用车59辆，特种专业技术用车5辆，其他按照规定配备的公务用车2辆。单位价值50万元以上通用设备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2021年拟报废处置公务用车</w:t>
            </w:r>
            <w:r>
              <w:rPr>
                <w:rFonts w:hint="eastAsia" w:ascii="仿宋_GB2312" w:hAnsi="宋体" w:cs="仿宋_GB2312"/>
                <w:i w:val="0"/>
                <w:iCs w:val="0"/>
                <w:color w:val="auto"/>
                <w:kern w:val="0"/>
                <w:sz w:val="28"/>
                <w:szCs w:val="28"/>
                <w:u w:val="none"/>
                <w:lang w:val="en-US" w:eastAsia="zh-CN" w:bidi="ar"/>
              </w:rPr>
              <w:t>4</w:t>
            </w:r>
            <w:r>
              <w:rPr>
                <w:rFonts w:hint="eastAsia" w:ascii="仿宋_GB2312" w:hAnsi="宋体" w:eastAsia="仿宋_GB2312" w:cs="仿宋_GB2312"/>
                <w:i w:val="0"/>
                <w:iCs w:val="0"/>
                <w:color w:val="auto"/>
                <w:kern w:val="0"/>
                <w:sz w:val="28"/>
                <w:szCs w:val="28"/>
                <w:u w:val="none"/>
                <w:lang w:val="en-US" w:eastAsia="zh-CN" w:bidi="ar"/>
              </w:rPr>
              <w:t>辆，拟新增配置车辆</w:t>
            </w:r>
            <w:r>
              <w:rPr>
                <w:rFonts w:hint="eastAsia" w:ascii="仿宋_GB2312" w:hAnsi="宋体" w:cs="仿宋_GB2312"/>
                <w:i w:val="0"/>
                <w:iCs w:val="0"/>
                <w:color w:val="auto"/>
                <w:kern w:val="0"/>
                <w:sz w:val="28"/>
                <w:szCs w:val="28"/>
                <w:u w:val="none"/>
                <w:lang w:val="en-US" w:eastAsia="zh-CN" w:bidi="ar"/>
              </w:rPr>
              <w:t>4</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辆，其他执法执勤用车</w:t>
            </w:r>
            <w:r>
              <w:rPr>
                <w:rFonts w:hint="eastAsia" w:ascii="仿宋_GB2312" w:hAnsi="宋体" w:cs="仿宋_GB2312"/>
                <w:i w:val="0"/>
                <w:iCs w:val="0"/>
                <w:color w:val="auto"/>
                <w:kern w:val="0"/>
                <w:sz w:val="28"/>
                <w:szCs w:val="28"/>
                <w:u w:val="none"/>
                <w:lang w:val="en-US" w:eastAsia="zh-CN" w:bidi="ar"/>
              </w:rPr>
              <w:t>4</w:t>
            </w:r>
            <w:r>
              <w:rPr>
                <w:rFonts w:hint="eastAsia" w:ascii="仿宋_GB2312" w:hAnsi="宋体" w:eastAsia="仿宋_GB2312" w:cs="仿宋_GB2312"/>
                <w:i w:val="0"/>
                <w:iCs w:val="0"/>
                <w:color w:val="auto"/>
                <w:kern w:val="0"/>
                <w:sz w:val="28"/>
                <w:szCs w:val="28"/>
                <w:u w:val="none"/>
                <w:lang w:val="en-US" w:eastAsia="zh-CN" w:bidi="ar"/>
              </w:rPr>
              <w:t>辆，主要用于各办案单位执法办案及执行公安勤务用，资金来源为本部门自筹。</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2021年拟新增配备单位价值50万元以上通用设备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本单位所有支出实行绩效目标管理。纳入2021年单位整体支出绩效目标的金额为9,039.74万元，其中，基本支出6,774.36万元，项目支出2,265.38万元，绩效目标详见文尾附表中预算公开表格的表22-23。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8"/>
                <w:szCs w:val="28"/>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黑体" w:hAnsi="宋体" w:eastAsia="黑体" w:cs="黑体"/>
                <w:i w:val="0"/>
                <w:iCs w:val="0"/>
                <w:color w:val="auto"/>
                <w:sz w:val="36"/>
                <w:szCs w:val="36"/>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MDgyMjI1ZDJjZTY4MjNiNmE1MGY5Y2QxNWU0ZmEifQ=="/>
  </w:docVars>
  <w:rsids>
    <w:rsidRoot w:val="48885009"/>
    <w:rsid w:val="007B4590"/>
    <w:rsid w:val="00AD3675"/>
    <w:rsid w:val="017F5C35"/>
    <w:rsid w:val="021B163F"/>
    <w:rsid w:val="02282330"/>
    <w:rsid w:val="060F4036"/>
    <w:rsid w:val="0618237D"/>
    <w:rsid w:val="0834033F"/>
    <w:rsid w:val="09AD4173"/>
    <w:rsid w:val="0AB100FE"/>
    <w:rsid w:val="104D4694"/>
    <w:rsid w:val="1757400A"/>
    <w:rsid w:val="20C079C8"/>
    <w:rsid w:val="26C22AA4"/>
    <w:rsid w:val="27A10913"/>
    <w:rsid w:val="312E36D8"/>
    <w:rsid w:val="3474171E"/>
    <w:rsid w:val="34A71D15"/>
    <w:rsid w:val="36C26D87"/>
    <w:rsid w:val="3B51265F"/>
    <w:rsid w:val="3B8E39E8"/>
    <w:rsid w:val="3E471E20"/>
    <w:rsid w:val="44051DAD"/>
    <w:rsid w:val="44DC7522"/>
    <w:rsid w:val="47C47D13"/>
    <w:rsid w:val="48885009"/>
    <w:rsid w:val="4B2772B4"/>
    <w:rsid w:val="4E542F0D"/>
    <w:rsid w:val="555B14CE"/>
    <w:rsid w:val="59EF2A8B"/>
    <w:rsid w:val="5F066969"/>
    <w:rsid w:val="676C3F80"/>
    <w:rsid w:val="67B34EB9"/>
    <w:rsid w:val="684E77D6"/>
    <w:rsid w:val="6C6D6759"/>
    <w:rsid w:val="707F6E1E"/>
    <w:rsid w:val="71A30B93"/>
    <w:rsid w:val="749F1AE5"/>
    <w:rsid w:val="75BB63EA"/>
    <w:rsid w:val="77B77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3448</Words>
  <Characters>3809</Characters>
  <Lines>0</Lines>
  <Paragraphs>0</Paragraphs>
  <TotalTime>2</TotalTime>
  <ScaleCrop>false</ScaleCrop>
  <LinksUpToDate>false</LinksUpToDate>
  <CharactersWithSpaces>3976</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小娇</cp:lastModifiedBy>
  <dcterms:modified xsi:type="dcterms:W3CDTF">2022-09-05T03:02:52Z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FE00644909C94CE5924EB1429C30038E</vt:lpwstr>
  </property>
</Properties>
</file>