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岳阳市2020年度部门整体支出</w:t>
      </w:r>
    </w:p>
    <w:p>
      <w:pPr>
        <w:spacing w:line="800" w:lineRule="exact"/>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岳阳市人民防空办公室</w:t>
      </w:r>
      <w:r>
        <w:rPr>
          <w:rFonts w:hint="eastAsia" w:eastAsia="仿宋_GB2312"/>
          <w:sz w:val="32"/>
          <w:szCs w:val="32"/>
          <w:u w:val="single"/>
          <w:lang w:val="en-US" w:eastAsia="zh-CN"/>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508</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2020</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34"/>
        <w:gridCol w:w="992"/>
        <w:gridCol w:w="210"/>
        <w:gridCol w:w="1145"/>
        <w:gridCol w:w="272"/>
        <w:gridCol w:w="808"/>
        <w:gridCol w:w="1385"/>
        <w:gridCol w:w="94"/>
        <w:gridCol w:w="226"/>
        <w:gridCol w:w="196"/>
        <w:gridCol w:w="721"/>
        <w:gridCol w:w="883"/>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陈  琴</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8886673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highlight w:val="none"/>
                <w:lang w:val="en-US" w:eastAsia="zh-CN"/>
              </w:rPr>
              <w:t>115</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1、贯彻和监督执行国家、省关于人民防空的法律、法规和政策，拟订全市人民防空的基本战略方案，编制中长期发展规划和年度工作计划，经批准后组织实施。</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根据国家批准的防护类别、防护标准，会同有关部门编制和审批人民防空建设与城市建设相结合的规划；审核城市总体规划中有关贯彻落实人民防空要求及人民防空建设规划情况，依法对城市重要经济目标的人民防空建设进行监督检查。</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3、组织和指导制订城市防空袭方案；监督检查群众防空组织建设、训练；组织协调应急</w:t>
            </w:r>
            <w:r>
              <w:rPr>
                <w:rFonts w:hint="eastAsia" w:ascii="仿宋_GB2312" w:hAnsi="仿宋_GB2312" w:eastAsia="仿宋_GB2312" w:cs="仿宋_GB2312"/>
                <w:color w:val="000000"/>
                <w:sz w:val="24"/>
                <w:lang w:val="en-US" w:eastAsia="zh-CN"/>
              </w:rPr>
              <w:t>救</w:t>
            </w:r>
            <w:r>
              <w:rPr>
                <w:rFonts w:hint="eastAsia" w:ascii="仿宋_GB2312" w:hAnsi="仿宋_GB2312" w:eastAsia="仿宋_GB2312" w:cs="仿宋_GB2312"/>
                <w:color w:val="000000"/>
                <w:sz w:val="24"/>
              </w:rPr>
              <w:t>援、抢险救灾工作。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4、组织管理人民防空通信警报建设；对人民防空通信警报网建设实施计划、技术和质量管理，监督保证全市人民防空通信警报畅通；实施人防无线电管制。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管理人民防空工程建设；根据国家和省批准的防护标准和质量标准，对人民防空工程建设实施计划、技术和质量管理；指导和监督结合民用建筑修建防空地下室工作；监管人民防空工程维护管理和平时开发利用；在城市地下空间的开发和利用中监督落实人民防空要求的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6、会同有关部门组织开展人民防空宣传教育工作；普及人民防空知识和技能；负责组织人民防空干部、职工的教育培训工作。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7、管理人民防空经费和资产；编制人民防空经费预决算，对使用情况实施监督检查。</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8、组织人民防空工程、通信、防化等科学技术研究，推广应用科技成果。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9、战时组织开展城市人民防空袭斗争。</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10、承办市委、市政府、岳阳军分区和市国防动员委员会交办的其他事项。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加强党的建设和党风廉政建设。践行“四个始终”，强化党建引领。一是始终突出政治建设。坚持把“三个表率、一个模范”作为推进机关党的政治建设的重要载体，不断引导干部职工树牢“四个意识”，坚定“四个自信”，做到“两个维护”。二是始终抓牢意识形态。完成落实市委《意识形态工作责任制述职评议及绩效评估的情况反馈》问题整改。</w:t>
            </w:r>
          </w:p>
          <w:p>
            <w:pPr>
              <w:autoSpaceDN w:val="0"/>
              <w:spacing w:line="32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rPr>
              <w:t>任务2：打赢新冠肺炎疫情防控阻击战。全力投入疫情防控工作。按照市委、政府和省人防办战备值班三级响应要求，成立疫情防控工作领导小组，针对人防小区发现3例新冠肺炎患者，全面升级管控措施</w:t>
            </w:r>
            <w:r>
              <w:rPr>
                <w:rFonts w:hint="eastAsia" w:ascii="仿宋_GB2312" w:hAnsi="仿宋_GB2312" w:eastAsia="仿宋_GB2312" w:cs="仿宋_GB2312"/>
                <w:color w:val="000000"/>
                <w:sz w:val="24"/>
                <w:highlight w:val="none"/>
                <w:lang w:eastAsia="zh-CN"/>
              </w:rPr>
              <w:t>。</w:t>
            </w:r>
          </w:p>
          <w:p>
            <w:pPr>
              <w:autoSpaceDN w:val="0"/>
              <w:spacing w:line="32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任务3：深化人防行业整治。按照国家、省人防办和我市人防系统深化行业整治工作方案要求，在2019年自查自纠基础上，全面开展摸排复核、梳理完善问题清单，分组分类制定整改清单、整改方案和整改措施，落实整改责任，实现问题清零。加强督查指导，重点对违法违规擅自批准少建、不建或降低标准，把关不严、违规减免缓降问题进行严肃处理。按照“安全第一、预防为主、综合治理”的方针，压实安全生产责任，消除安全隐患，做好风险防控。严格人防保密管理，严防失泄密事故发生。</w:t>
            </w:r>
          </w:p>
          <w:p>
            <w:pPr>
              <w:autoSpaceDN w:val="0"/>
              <w:spacing w:line="32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任务4：推进防护体系建设。在国土空间规划的指导下，结合中心城区地下空间开发利用专项规划，市本级完成人防专项规划编制工作。抓好人防建设“十三五”规划目标任务落实，科学编制人防建设“十四五”规划。结合“十三五”规划任务落实和“十四五”规划编制，完成人防规划的前期工作。坚持“建管并重”，严格落实人防工程维护管理责任制，扎实开展人防工程安全巡查和早期人防工程加固升级改造，推动人防工程管理市场化。完善警报系统维护与管理，市本级新安装14台警报器，确保防空警报系统全覆盖。</w:t>
            </w:r>
          </w:p>
          <w:p>
            <w:pPr>
              <w:autoSpaceDN w:val="0"/>
              <w:spacing w:line="32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任务5：突出重点项目建设。（涉密）。任务6：（涉密）。任务7：严格依法行政。按照《湖南省人民防空工程建设与维护管理规定》（省政府令第297号）规定，完善相关配套政策、组织专项宣传活动，加大执法监督力度，解决“零结建”问题。按照工程建设审批制度改革和“最多跑一次”的要求，严格人防行政审批，坚决做到“以建为主、以收促建、应建尽建、应收尽收”，严把审批关，坚决杜绝逃建、漏建和减免缓现象，严格执行省物价部门批准的收费标准。加强人防工程建设、审批、执法档案的管理，确保人防工程建设管理有序，审批规范，案卷完整，建设合法依规。</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8：注重军民融合。贯彻平战结合方针，树立大局意识、积极融入经济社会建设，主动融入和服务城市建设，促进城市地下空间开发利用，合理开发利用人防工程作为停车、便民等公益设施，积极融入应急管理体系，强化指挥通信体系与应急管理体系相融合。</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9：加强人防宣传教育。组织开展专题教育活动，组织好“三湘作家走进岳阳人防”活动及征文活动，强化人防信息员队伍建设，宣传和展示全市人防改革发展新成果。做好“警报试鸣日”、“国防教育日”、“防灾减灾日”等重大时间节点的人防宣传教育，扩大辐射面。县（市、区）要不断扩大宣传阵地，扎实推动人防宣传“五进”活动常态化制度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10：夯实基层基础。根据人防工作实际，理顺机关人员编制结构，加强队伍建设。完成机关档案数字化管理平台建设。整合技术力量，推动人防与住建协调发展。强化教育培训和岗位锻炼，规范内部管理，严格人防战备资产和经费使用管理，做好文明创建、综治维稳、机要保密、老干、工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1、我们在市委统一部署下，对照省委领导指出我市存在4个方面6个问题，</w:t>
            </w:r>
            <w:r>
              <w:rPr>
                <w:rFonts w:hint="eastAsia" w:ascii="仿宋_GB2312" w:hAnsi="仿宋_GB2312" w:eastAsia="仿宋_GB2312" w:cs="仿宋_GB2312"/>
                <w:color w:val="000000"/>
                <w:sz w:val="24"/>
                <w:lang w:val="en-US" w:eastAsia="zh-CN"/>
              </w:rPr>
              <w:t>一是</w:t>
            </w:r>
            <w:r>
              <w:rPr>
                <w:rFonts w:hint="eastAsia" w:ascii="仿宋_GB2312" w:hAnsi="仿宋_GB2312" w:eastAsia="仿宋_GB2312" w:cs="仿宋_GB2312"/>
                <w:color w:val="000000"/>
                <w:sz w:val="24"/>
              </w:rPr>
              <w:t>集中传达学习</w:t>
            </w:r>
            <w:r>
              <w:rPr>
                <w:rFonts w:hint="eastAsia" w:ascii="仿宋_GB2312" w:hAnsi="仿宋_GB2312" w:eastAsia="仿宋_GB2312" w:cs="仿宋_GB2312"/>
                <w:color w:val="000000"/>
                <w:sz w:val="24"/>
                <w:lang w:val="en-US" w:eastAsia="zh-CN"/>
              </w:rPr>
              <w:t>领导</w:t>
            </w:r>
            <w:r>
              <w:rPr>
                <w:rFonts w:hint="eastAsia" w:ascii="仿宋_GB2312" w:hAnsi="仿宋_GB2312" w:eastAsia="仿宋_GB2312" w:cs="仿宋_GB2312"/>
                <w:color w:val="000000"/>
                <w:sz w:val="24"/>
              </w:rPr>
              <w:t>对岳阳情况的点评意见，邀请市直工委</w:t>
            </w:r>
            <w:r>
              <w:rPr>
                <w:rFonts w:hint="eastAsia" w:ascii="仿宋_GB2312" w:hAnsi="仿宋_GB2312" w:eastAsia="仿宋_GB2312" w:cs="仿宋_GB2312"/>
                <w:color w:val="000000"/>
                <w:sz w:val="24"/>
                <w:lang w:val="en-US" w:eastAsia="zh-CN"/>
              </w:rPr>
              <w:t>领导</w:t>
            </w:r>
            <w:r>
              <w:rPr>
                <w:rFonts w:hint="eastAsia" w:ascii="仿宋_GB2312" w:hAnsi="仿宋_GB2312" w:eastAsia="仿宋_GB2312" w:cs="仿宋_GB2312"/>
                <w:color w:val="000000"/>
                <w:sz w:val="24"/>
              </w:rPr>
              <w:t>以“牢牢掌握新时代意识形态工作的领导权管理权话语权”为主题作意识形态工作专题辅导讲座</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二是</w:t>
            </w:r>
            <w:r>
              <w:rPr>
                <w:rFonts w:hint="eastAsia" w:ascii="仿宋_GB2312" w:hAnsi="仿宋_GB2312" w:eastAsia="仿宋_GB2312" w:cs="仿宋_GB2312"/>
                <w:color w:val="000000"/>
                <w:sz w:val="24"/>
              </w:rPr>
              <w:t>完成党组中心组理论（扩大）学习12次，由党组书记、主任卢志平组织对《中国共产党宣传工作条例》进行了系统学习。三是始终高标准开展组织生活。积极参与“</w:t>
            </w:r>
            <w:r>
              <w:rPr>
                <w:rFonts w:hint="eastAsia" w:ascii="仿宋_GB2312" w:hAnsi="仿宋_GB2312" w:eastAsia="仿宋_GB2312" w:cs="仿宋_GB2312"/>
                <w:color w:val="000000"/>
                <w:sz w:val="24"/>
                <w:lang w:eastAsia="zh-CN"/>
              </w:rPr>
              <w:t>巴陵</w:t>
            </w:r>
            <w:r>
              <w:rPr>
                <w:rFonts w:hint="eastAsia" w:ascii="仿宋_GB2312" w:hAnsi="仿宋_GB2312" w:eastAsia="仿宋_GB2312" w:cs="仿宋_GB2312"/>
                <w:color w:val="000000"/>
                <w:sz w:val="24"/>
              </w:rPr>
              <w:t>先锋.党课开讲啦”活动，四是始终深化廉政建设。不断筑牢干部职工思想防线</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继续推动在去年市委巡察反馈32个问题的整改，严防“四风”问题反弹回潮，有效加强了机关党风廉政建设防控。</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为践行人民防空“战时应战、平时服务”的宗旨，检验全市防空警报系统的性能、布局及音响覆盖效果，提高广大市民自救互救和应急避险的能力，根据《中华人民共和国人民防空法》规定和省人防办的统一部署，于11月1日上午进行防空警报试鸣活动。警报鸣放采取统控模式进行，由“1506”指挥中心统一发放信号进行控制</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全面贯彻落实“安全第一，预防为主”的方针，定期对地一大道、891人防工程、早期人防工程开展综合性安全生产检查，对存在的隐患，督促其制定整改措施，限期整改，并将情况及时上报。协调解决了地一大道与友谊阿波罗施工引起人和春天4号口部损坏等相关问题。汛期，严格实行24小时值班巡查，确保安全度汛。加强对湘阴县人防责任单位的抗洪指导，</w:t>
            </w:r>
            <w:r>
              <w:rPr>
                <w:rFonts w:hint="eastAsia" w:ascii="仿宋_GB2312" w:hAnsi="仿宋_GB2312" w:eastAsia="仿宋_GB2312" w:cs="仿宋_GB2312"/>
                <w:color w:val="000000"/>
                <w:sz w:val="24"/>
                <w:lang w:val="en-US" w:eastAsia="zh-CN"/>
              </w:rPr>
              <w:t>办领导</w:t>
            </w:r>
            <w:r>
              <w:rPr>
                <w:rFonts w:hint="eastAsia" w:ascii="仿宋_GB2312" w:hAnsi="仿宋_GB2312" w:eastAsia="仿宋_GB2312" w:cs="仿宋_GB2312"/>
                <w:color w:val="000000"/>
                <w:sz w:val="24"/>
              </w:rPr>
              <w:t>蹲守湘阴县抗洪一线指导抗洪20余天。</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（涉密）。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深入贯彻习主席“能打仗，打胜仗”的战略要求。训练以“检验装备、锻炼队伍”，市人防办组织市、县两级人防机动指挥通信联合训练，共出动机动指挥车10台、人员35人。通过组织机动指挥通信系统开设、撤收和各种环境下的对接训练演练，规范了通信用语和设备操作方法，掌握了机动指挥通信行动的工作流程，强化了实战意识、标准意识、安全意识和服务意识。全面检验了机动指挥通信系统装备性能，提升了人防机动指挥通信系统的组织指挥能力。</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继续精减行政审批事项，严格执行“五减一优”要求，优化并全面应用“互联网+政务服务”一体化平台，分类优化审批流程，进一步压减审批时间，实行网上联办，力争基本实现群众不用跑或者最多跑一次。严格按照“应建必建”原则，严格将超面积部分易地建设费追缴到位，确保“颗粒归仓”，坚决做到征缴无折扣，杜绝“免、减、缓”现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加强自身建设，发展基础更加坚实。一是坚持建章立制。完善了《党组议事规则》、《主任办公会议制度》等33项制度,做到用制度管权、管事、管人，提升管理水平。二是强化演训结合。提高了参训人员的业务技能、锻炼了体魄、增强了团队意识；三是加强作风建设。严格“一岗双责”，干部参加警示教育，现场监督招投标和政府采购等活动23次，开展重大节假日“四风”问题督查。整改超标办公用房57间385平方米，腾退办公用房6间。四是丰富职工生活。“省级文明标兵单位”工作贯穿全年。五是实现人防档案的信息化管理，是新时代国防建设赋予人防军事化建设的必备条件，是衡量人防机关工作业绩与管理水平的重要尺度。实现室藏纸质档案信息化，需要通过现代信息扫描、影像等技术手段转化成计算机可识别和处理的数字化档案，通过室藏数字化档案和电子文件档案，达到规范要求。</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围绕中心大局，综合服务能力明显增强。一是组织打赢脱贫攻坚战。为实现平江县田湖村整村出列、贫困户脱贫目标，在通过省委、省政府考核验收和第三方评估的基础上，投入20万元扶贫资金助力攻坚，加快扶贫对象脱贫速度。二是推进“最多跑一次” 改革。确定审批事项清单19项，严格落实“三集中、三到位”，压缩办理时限。三是参与城区交通综合整治。积极协调沟通湖南岳阳友阿国际商业广场有限公司、岳阳春天公共设施有限公司和君临新世界物业公司三方地下停车场贯通使用相关事宜，进一步解决了市民停车难问题。四是拓展志愿服务内容。市人防工程管理站为配合市区交通整治的工作，组织全站17名文明劝导志愿者，在青年中路开展“文明劝导”志愿活动。向广大市民宣传绿色出行理念，传递文明出行正能量。</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根据单位年度工作目标，在保障单位基本运行的前提下完成各项相关工作，提高我市的人防组织指挥、通信保障能力；通过广泛的宣传教育，提高广大人民群众的国防观念和防空防灾技能。所有工作达到预算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992"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88"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8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5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963" w:type="dxa"/>
            <w:gridSpan w:val="3"/>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465"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37"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22"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37"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2407.72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1782.42</w:t>
            </w:r>
          </w:p>
        </w:tc>
        <w:tc>
          <w:tcPr>
            <w:tcW w:w="138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62.53</w:t>
            </w:r>
          </w:p>
        </w:tc>
        <w:tc>
          <w:tcPr>
            <w:tcW w:w="123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22"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2407.72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1782.42</w:t>
            </w:r>
          </w:p>
        </w:tc>
        <w:tc>
          <w:tcPr>
            <w:tcW w:w="138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62.53</w:t>
            </w:r>
          </w:p>
        </w:tc>
        <w:tc>
          <w:tcPr>
            <w:tcW w:w="123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22"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3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3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200"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w:t>
            </w:r>
          </w:p>
        </w:tc>
        <w:tc>
          <w:tcPr>
            <w:tcW w:w="1385"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200"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w:t>
            </w:r>
          </w:p>
        </w:tc>
        <w:tc>
          <w:tcPr>
            <w:tcW w:w="1385"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200"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00"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00"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auto"/>
                <w:sz w:val="24"/>
              </w:rPr>
              <w:t>按（</w:t>
            </w:r>
            <w:r>
              <w:rPr>
                <w:rFonts w:hint="eastAsia" w:ascii="仿宋_GB2312" w:hAnsi="仿宋_GB2312" w:eastAsia="仿宋_GB2312" w:cs="仿宋_GB2312"/>
                <w:color w:val="auto"/>
                <w:sz w:val="24"/>
                <w:lang w:val="en-US" w:eastAsia="zh-CN"/>
              </w:rPr>
              <w:t>湘办发电</w:t>
            </w: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号）</w:t>
            </w:r>
            <w:r>
              <w:rPr>
                <w:rFonts w:hint="eastAsia" w:ascii="仿宋_GB2312" w:hAnsi="仿宋_GB2312" w:eastAsia="仿宋_GB2312" w:cs="仿宋_GB2312"/>
                <w:color w:val="auto"/>
                <w:sz w:val="24"/>
                <w:lang w:val="en-US" w:eastAsia="zh-CN"/>
              </w:rPr>
              <w:t>关于印发</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highlight w:val="none"/>
                <w:lang w:val="en-US" w:eastAsia="zh-CN"/>
              </w:rPr>
              <w:t>张剑飞同志在全省档案工作会议上的讲话</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的通知</w:t>
            </w:r>
            <w:r>
              <w:rPr>
                <w:rFonts w:hint="eastAsia" w:ascii="仿宋_GB2312" w:hAnsi="仿宋_GB2312" w:eastAsia="仿宋_GB2312" w:cs="仿宋_GB2312"/>
                <w:color w:val="000000"/>
                <w:sz w:val="24"/>
                <w:highlight w:val="none"/>
              </w:rPr>
              <w:t>要求，完成机关档案数字化管理平台建设。</w:t>
            </w:r>
            <w:r>
              <w:rPr>
                <w:rFonts w:hint="eastAsia" w:ascii="仿宋_GB2312" w:hAnsi="仿宋_GB2312" w:eastAsia="仿宋_GB2312" w:cs="仿宋_GB2312"/>
                <w:color w:val="000000"/>
                <w:sz w:val="24"/>
                <w:highlight w:val="none"/>
              </w:rPr>
              <w:br w:type="textWrapping"/>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涉密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目标3：按照既定的工作任务完成20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年度人防宣传教育工作，做好人防人防法律法规的宣传和党校、少年军校的人防宣传培训工作，做好人防志愿者服务工作等。</w:t>
            </w:r>
            <w:r>
              <w:rPr>
                <w:rFonts w:hint="eastAsia" w:ascii="仿宋_GB2312" w:hAnsi="仿宋_GB2312" w:eastAsia="仿宋_GB2312" w:cs="仿宋_GB2312"/>
                <w:color w:val="000000"/>
                <w:sz w:val="24"/>
              </w:rPr>
              <w:br w:type="textWrapping"/>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w:t>
            </w:r>
            <w:r>
              <w:rPr>
                <w:rFonts w:hint="eastAsia" w:ascii="仿宋_GB2312" w:hAnsi="仿宋_GB2312" w:eastAsia="仿宋_GB2312" w:cs="仿宋_GB2312"/>
                <w:color w:val="000000"/>
                <w:sz w:val="24"/>
                <w:highlight w:val="none"/>
                <w:lang w:val="en-US" w:eastAsia="zh-CN"/>
              </w:rPr>
              <w:t>涉密。</w:t>
            </w:r>
            <w:r>
              <w:rPr>
                <w:rFonts w:hint="eastAsia" w:ascii="仿宋_GB2312" w:hAnsi="仿宋_GB2312" w:eastAsia="仿宋_GB2312" w:cs="仿宋_GB2312"/>
                <w:color w:val="000000"/>
                <w:sz w:val="24"/>
                <w:highlight w:val="yellow"/>
                <w:lang w:val="en-US" w:eastAsia="zh-CN"/>
              </w:rPr>
              <w:br w:type="textWrapping"/>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目标5：按照市委市政府的工作安排，早期公共人防工程综合整治工作在2020年度全面开展；积极按照《专项整治行动方案》完成工作目标。</w:t>
            </w:r>
            <w:r>
              <w:rPr>
                <w:rFonts w:hint="eastAsia" w:ascii="仿宋_GB2312" w:hAnsi="仿宋_GB2312" w:eastAsia="仿宋_GB2312" w:cs="仿宋_GB2312"/>
                <w:color w:val="000000"/>
                <w:sz w:val="24"/>
                <w:lang w:val="en-US" w:eastAsia="zh-CN"/>
              </w:rPr>
              <w:br w:type="textWrapping"/>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目标6：在完成专项项目工作的同时，积极维护机关的正常运转和二级机构的运行，保障单位全面工作按照年初的绩效目标完成。</w:t>
            </w:r>
          </w:p>
        </w:tc>
        <w:tc>
          <w:tcPr>
            <w:tcW w:w="4585" w:type="dxa"/>
            <w:gridSpan w:val="8"/>
            <w:vAlign w:val="top"/>
          </w:tcPr>
          <w:p>
            <w:pPr>
              <w:numPr>
                <w:ilvl w:val="0"/>
                <w:numId w:val="1"/>
              </w:numPr>
              <w:tabs>
                <w:tab w:val="left" w:pos="2811"/>
              </w:tabs>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实现人防档案的信息管化理，实现室藏纸质档案信息化，通过现代信息扫描、影像等技术手段转化成计算机可识别和处理的数字化档案，通过室藏数字化档案和电子文件档案，达到规范要求。</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组织开展专题教育活动，宣传和展示全市人防改革发展新成果，弘扬干事创业新风貌。做好“警报试鸣日”、“国防教育日”、“防灾减灾日”等重大时间节点的人防宣传教育，增强民众的国防观念和人防意识。扎实推动人防宣传“五进”活动常态化制度化。</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实现群众办事“最多跑一次”工作目标。</w:t>
            </w: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主动对接省办、市人大、市纪委和各县市区，加强工作统筹。与纪委联合开展督查，人防行业整治工作评议结果为满意。专门成立了行业整治领导小组，深入查摆2013年以来全市人防系统存在的突出问题，制定责任清单，实行整改销号。（含跟踪追缴项目84个）。</w:t>
            </w:r>
          </w:p>
          <w:p>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加强自身建设，发展基础更加坚实。一是坚持建章立制。完善了《党组议事规则》、《主任办公会议制度》等33项制度,做到用制度管权、管事、管人，提升管理水平。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tcBorders>
              <w:top w:val="single" w:color="auto" w:sz="4" w:space="0"/>
              <w:left w:val="single" w:color="auto" w:sz="4" w:space="0"/>
              <w:bottom w:val="nil"/>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tcBorders>
              <w:left w:val="single" w:color="auto" w:sz="4" w:space="0"/>
            </w:tcBorders>
            <w:vAlign w:val="center"/>
          </w:tcPr>
          <w:p>
            <w:pPr>
              <w:tabs>
                <w:tab w:val="center" w:pos="1339"/>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实现人防档案的信息化管理</w:t>
            </w:r>
          </w:p>
        </w:tc>
        <w:tc>
          <w:tcPr>
            <w:tcW w:w="2684" w:type="dxa"/>
            <w:gridSpan w:val="4"/>
            <w:vAlign w:val="center"/>
          </w:tcPr>
          <w:p>
            <w:pPr>
              <w:tabs>
                <w:tab w:val="left" w:pos="236"/>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color w:val="000000"/>
                <w:sz w:val="24"/>
                <w:lang w:val="en-US" w:eastAsia="zh-CN"/>
              </w:rPr>
              <w:t>实现了人防档案的信息管化理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continue"/>
            <w:tcBorders>
              <w:top w:val="nil"/>
              <w:left w:val="single" w:color="auto" w:sz="4" w:space="0"/>
              <w:bottom w:val="nil"/>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涉密</w:t>
            </w:r>
          </w:p>
        </w:tc>
        <w:tc>
          <w:tcPr>
            <w:tcW w:w="2684" w:type="dxa"/>
            <w:gridSpan w:val="4"/>
            <w:vAlign w:val="center"/>
          </w:tcPr>
          <w:p>
            <w:pPr>
              <w:tabs>
                <w:tab w:val="left" w:pos="269"/>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color w:val="000000"/>
                <w:sz w:val="24"/>
                <w:lang w:val="en-US" w:eastAsia="zh-CN"/>
              </w:rPr>
              <w:t>涉密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continue"/>
            <w:tcBorders>
              <w:top w:val="nil"/>
              <w:left w:val="single" w:color="auto" w:sz="4" w:space="0"/>
              <w:bottom w:val="nil"/>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宣传和展示全市人防改革发展新成果</w:t>
            </w:r>
          </w:p>
        </w:tc>
        <w:tc>
          <w:tcPr>
            <w:tcW w:w="2684" w:type="dxa"/>
            <w:gridSpan w:val="4"/>
            <w:vAlign w:val="center"/>
          </w:tcPr>
          <w:p>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强化</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人防信息员队伍</w:t>
            </w:r>
            <w:r>
              <w:rPr>
                <w:rFonts w:hint="eastAsia" w:ascii="仿宋_GB2312" w:hAnsi="仿宋_GB2312" w:eastAsia="仿宋_GB2312" w:cs="仿宋_GB2312"/>
                <w:b/>
                <w:color w:val="000000"/>
                <w:sz w:val="24"/>
                <w:lang w:eastAsia="zh-CN"/>
              </w:rPr>
              <w:tab/>
            </w:r>
            <w:r>
              <w:rPr>
                <w:rFonts w:hint="default" w:ascii="仿宋_GB2312" w:hAnsi="仿宋_GB2312" w:eastAsia="仿宋_GB2312" w:cs="仿宋_GB2312"/>
                <w:color w:val="000000"/>
                <w:sz w:val="24"/>
                <w:lang w:val="en-US" w:eastAsia="zh-CN"/>
              </w:rPr>
              <w:t>扩大宣传阵地，扎实推动人防宣传“五进”活动常态化制度化。</w:t>
            </w:r>
          </w:p>
          <w:p>
            <w:pPr>
              <w:tabs>
                <w:tab w:val="left" w:pos="480"/>
              </w:tabs>
              <w:autoSpaceDN w:val="0"/>
              <w:spacing w:line="320" w:lineRule="exact"/>
              <w:jc w:val="left"/>
              <w:textAlignment w:val="center"/>
              <w:rPr>
                <w:rFonts w:hint="eastAsia" w:ascii="仿宋_GB2312" w:hAnsi="仿宋_GB2312" w:eastAsia="仿宋_GB2312" w:cs="仿宋_GB2312"/>
                <w:b/>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restart"/>
            <w:tcBorders>
              <w:top w:val="nil"/>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抓好市本级疏散地域建设试点工作</w:t>
            </w:r>
          </w:p>
        </w:tc>
        <w:tc>
          <w:tcPr>
            <w:tcW w:w="2684" w:type="dxa"/>
            <w:gridSpan w:val="4"/>
            <w:vAlign w:val="center"/>
          </w:tcPr>
          <w:p>
            <w:pPr>
              <w:tabs>
                <w:tab w:val="left" w:pos="458"/>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default" w:ascii="仿宋_GB2312" w:hAnsi="仿宋_GB2312" w:eastAsia="仿宋_GB2312" w:cs="仿宋_GB2312"/>
                <w:color w:val="000000"/>
                <w:sz w:val="24"/>
                <w:lang w:val="en-US" w:eastAsia="zh-CN"/>
              </w:rPr>
              <w:t>实现信息资源共享提升</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实现群众办事“最多跑一次”工作目标</w:t>
            </w:r>
          </w:p>
        </w:tc>
        <w:tc>
          <w:tcPr>
            <w:tcW w:w="2684" w:type="dxa"/>
            <w:gridSpan w:val="4"/>
            <w:vAlign w:val="center"/>
          </w:tcPr>
          <w:p>
            <w:pPr>
              <w:tabs>
                <w:tab w:val="left" w:pos="325"/>
              </w:tabs>
              <w:autoSpaceDN w:val="0"/>
              <w:spacing w:line="320" w:lineRule="exact"/>
              <w:ind w:firstLine="240" w:firstLineChars="100"/>
              <w:jc w:val="left"/>
              <w:textAlignment w:val="center"/>
              <w:rPr>
                <w:rFonts w:hint="eastAsia" w:ascii="仿宋_GB2312" w:hAnsi="仿宋_GB2312" w:eastAsia="仿宋_GB2312" w:cs="仿宋_GB2312"/>
                <w:b/>
                <w:color w:val="000000"/>
                <w:sz w:val="24"/>
                <w:lang w:eastAsia="zh-CN"/>
              </w:rPr>
            </w:pPr>
            <w:r>
              <w:rPr>
                <w:rFonts w:hint="default" w:ascii="仿宋_GB2312" w:hAnsi="仿宋_GB2312" w:eastAsia="仿宋_GB2312" w:cs="仿宋_GB2312"/>
                <w:color w:val="000000"/>
                <w:sz w:val="24"/>
                <w:lang w:val="en-US" w:eastAsia="zh-CN"/>
              </w:rPr>
              <w:t>没有出现违规减、免、缓、降的情况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完成市人大常委会</w:t>
            </w:r>
            <w:r>
              <w:rPr>
                <w:rFonts w:hint="eastAsia" w:ascii="仿宋_GB2312" w:hAnsi="仿宋_GB2312" w:eastAsia="仿宋_GB2312" w:cs="仿宋_GB2312"/>
                <w:color w:val="000000"/>
                <w:sz w:val="24"/>
                <w:lang w:val="en-US" w:eastAsia="zh-CN"/>
              </w:rPr>
              <w:t>对</w:t>
            </w:r>
            <w:r>
              <w:rPr>
                <w:rFonts w:hint="default" w:ascii="仿宋_GB2312" w:hAnsi="仿宋_GB2312" w:eastAsia="仿宋_GB2312" w:cs="仿宋_GB2312"/>
                <w:color w:val="000000"/>
                <w:sz w:val="24"/>
                <w:lang w:val="en-US" w:eastAsia="zh-CN"/>
              </w:rPr>
              <w:t>人防行业整治工作评议</w:t>
            </w:r>
          </w:p>
        </w:tc>
        <w:tc>
          <w:tcPr>
            <w:tcW w:w="2684" w:type="dxa"/>
            <w:gridSpan w:val="4"/>
            <w:vAlign w:val="center"/>
          </w:tcPr>
          <w:p>
            <w:pPr>
              <w:tabs>
                <w:tab w:val="left" w:pos="558"/>
              </w:tabs>
              <w:autoSpaceDN w:val="0"/>
              <w:spacing w:line="320" w:lineRule="exact"/>
              <w:ind w:firstLine="240" w:firstLineChars="100"/>
              <w:jc w:val="left"/>
              <w:textAlignment w:val="center"/>
              <w:rPr>
                <w:rFonts w:hint="default" w:ascii="仿宋_GB2312" w:hAnsi="仿宋_GB2312" w:eastAsia="仿宋_GB2312" w:cs="仿宋_GB2312"/>
                <w:b/>
                <w:color w:val="000000"/>
                <w:kern w:val="2"/>
                <w:sz w:val="24"/>
                <w:szCs w:val="24"/>
                <w:lang w:val="en-US" w:eastAsia="zh-CN" w:bidi="ar-SA"/>
              </w:rPr>
            </w:pPr>
            <w:r>
              <w:rPr>
                <w:rFonts w:hint="default" w:ascii="仿宋_GB2312" w:hAnsi="仿宋_GB2312" w:eastAsia="仿宋_GB2312" w:cs="仿宋_GB2312"/>
                <w:color w:val="000000"/>
                <w:sz w:val="24"/>
                <w:lang w:val="en-US" w:eastAsia="zh-CN"/>
              </w:rPr>
              <w:t>完成市人大常委会</w:t>
            </w:r>
            <w:r>
              <w:rPr>
                <w:rFonts w:hint="eastAsia" w:ascii="仿宋_GB2312" w:hAnsi="仿宋_GB2312" w:eastAsia="仿宋_GB2312" w:cs="仿宋_GB2312"/>
                <w:color w:val="000000"/>
                <w:sz w:val="24"/>
                <w:lang w:val="en-US" w:eastAsia="zh-CN"/>
              </w:rPr>
              <w:t>对</w:t>
            </w:r>
            <w:r>
              <w:rPr>
                <w:rFonts w:hint="default" w:ascii="仿宋_GB2312" w:hAnsi="仿宋_GB2312" w:eastAsia="仿宋_GB2312" w:cs="仿宋_GB2312"/>
                <w:color w:val="000000"/>
                <w:sz w:val="24"/>
                <w:lang w:val="en-US" w:eastAsia="zh-CN"/>
              </w:rPr>
              <w:t>人防行业整治工作评议，结果为满意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val="en-US" w:eastAsia="zh-CN"/>
              </w:rPr>
              <w:t>标7</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加强自身建设，坚持建章立制</w:t>
            </w:r>
          </w:p>
        </w:tc>
        <w:tc>
          <w:tcPr>
            <w:tcW w:w="2684" w:type="dxa"/>
            <w:gridSpan w:val="4"/>
            <w:vAlign w:val="center"/>
          </w:tcPr>
          <w:p>
            <w:pPr>
              <w:tabs>
                <w:tab w:val="left" w:pos="569"/>
              </w:tabs>
              <w:autoSpaceDN w:val="0"/>
              <w:spacing w:line="32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ab/>
            </w:r>
            <w:r>
              <w:rPr>
                <w:rFonts w:hint="default" w:ascii="仿宋_GB2312" w:hAnsi="仿宋_GB2312" w:eastAsia="仿宋_GB2312" w:cs="仿宋_GB2312"/>
                <w:color w:val="000000"/>
                <w:sz w:val="24"/>
                <w:lang w:val="en-US" w:eastAsia="zh-CN"/>
              </w:rPr>
              <w:t>提升</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1"/>
                <w:szCs w:val="21"/>
              </w:rPr>
              <w:t>指标1：</w:t>
            </w:r>
            <w:r>
              <w:rPr>
                <w:rFonts w:hint="eastAsia" w:ascii="仿宋_GB2312" w:hAnsi="仿宋_GB2312" w:eastAsia="仿宋_GB2312" w:cs="仿宋_GB2312"/>
                <w:color w:val="000000"/>
                <w:sz w:val="21"/>
                <w:szCs w:val="21"/>
                <w:lang w:val="en-US" w:eastAsia="zh-CN"/>
              </w:rPr>
              <w:t>涉密</w:t>
            </w:r>
          </w:p>
        </w:tc>
        <w:tc>
          <w:tcPr>
            <w:tcW w:w="2684" w:type="dxa"/>
            <w:gridSpan w:val="4"/>
            <w:vAlign w:val="center"/>
          </w:tcPr>
          <w:p>
            <w:pPr>
              <w:autoSpaceDN w:val="0"/>
              <w:spacing w:line="320" w:lineRule="exact"/>
              <w:jc w:val="center"/>
              <w:textAlignment w:val="center"/>
              <w:rPr>
                <w:rFonts w:hint="eastAsia" w:ascii="仿宋" w:hAnsi="仿宋" w:eastAsia="仿宋" w:cs="仿宋"/>
                <w:sz w:val="24"/>
              </w:rPr>
            </w:pPr>
            <w:r>
              <w:rPr>
                <w:rFonts w:hint="eastAsia" w:ascii="仿宋" w:hAnsi="仿宋" w:eastAsia="仿宋" w:cs="仿宋"/>
                <w:sz w:val="24"/>
              </w:rPr>
              <w:t>达到预期目标</w:t>
            </w:r>
          </w:p>
          <w:p>
            <w:pPr>
              <w:autoSpaceDN w:val="0"/>
              <w:spacing w:line="320" w:lineRule="exact"/>
              <w:jc w:val="center"/>
              <w:textAlignment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numPr>
                <w:ilvl w:val="0"/>
                <w:numId w:val="0"/>
              </w:numPr>
              <w:tabs>
                <w:tab w:val="left" w:pos="2811"/>
              </w:tabs>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涉密</w:t>
            </w:r>
          </w:p>
        </w:tc>
        <w:tc>
          <w:tcPr>
            <w:tcW w:w="2684" w:type="dxa"/>
            <w:gridSpan w:val="4"/>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完成年度计划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完成年度计划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default" w:ascii="仿宋_GB2312" w:hAnsi="仿宋_GB2312" w:eastAsia="仿宋_GB2312" w:cs="仿宋_GB2312"/>
                <w:color w:val="000000"/>
                <w:sz w:val="24"/>
                <w:lang w:val="en-US" w:eastAsia="zh-CN"/>
              </w:rPr>
              <w:t>没有出现违规减、免、缓、降的情况。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auto"/>
                <w:sz w:val="24"/>
                <w:lang w:val="en-US" w:eastAsia="zh-CN"/>
              </w:rPr>
              <w:t>涉密</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完成年度计划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2684" w:type="dxa"/>
            <w:gridSpan w:val="4"/>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完成年度计划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指标</w:t>
            </w:r>
            <w:r>
              <w:rPr>
                <w:rFonts w:hint="eastAsia" w:ascii="仿宋_GB2312" w:hAnsi="仿宋_GB2312" w:eastAsia="仿宋_GB2312" w:cs="仿宋_GB2312"/>
                <w:color w:val="000000"/>
                <w:sz w:val="18"/>
                <w:szCs w:val="18"/>
                <w:lang w:val="en-US" w:eastAsia="zh-CN"/>
              </w:rPr>
              <w:t>7</w:t>
            </w:r>
            <w:r>
              <w:rPr>
                <w:rFonts w:hint="eastAsia" w:ascii="仿宋_GB2312" w:hAnsi="仿宋_GB2312" w:eastAsia="仿宋_GB2312" w:cs="仿宋_GB2312"/>
                <w:color w:val="000000"/>
                <w:sz w:val="18"/>
                <w:szCs w:val="18"/>
              </w:rPr>
              <w:t>：</w:t>
            </w:r>
            <w:r>
              <w:rPr>
                <w:rFonts w:hint="eastAsia" w:ascii="宋体" w:hAnsi="宋体" w:eastAsia="宋体" w:cs="宋体"/>
                <w:kern w:val="0"/>
                <w:sz w:val="18"/>
                <w:szCs w:val="18"/>
                <w:lang w:val="en-US" w:eastAsia="zh-CN" w:bidi="ar"/>
              </w:rPr>
              <w:t>向市民发放防空防灾安全口袋书、人防（民防）知识手册、省政府297号令等宣传资料500余册，现场接受群众咨询100余人次</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2684" w:type="dxa"/>
            <w:gridSpan w:val="4"/>
            <w:vAlign w:val="center"/>
          </w:tcPr>
          <w:p>
            <w:pPr>
              <w:tabs>
                <w:tab w:val="left" w:pos="725"/>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仿宋_GB2312" w:hAnsi="仿宋_GB2312" w:eastAsia="仿宋_GB2312" w:cs="仿宋_GB2312"/>
                <w:color w:val="000000"/>
                <w:sz w:val="24"/>
              </w:rPr>
              <w:t>指标1：</w:t>
            </w:r>
            <w:r>
              <w:rPr>
                <w:rFonts w:hint="eastAsia" w:ascii="宋体" w:hAnsi="宋体" w:eastAsia="宋体" w:cs="宋体"/>
                <w:kern w:val="0"/>
                <w:sz w:val="24"/>
                <w:szCs w:val="24"/>
                <w:lang w:val="en-US" w:eastAsia="zh-CN" w:bidi="ar"/>
              </w:rPr>
              <w:t>合理利用人防非税收入征收成本。保障人防执法等工作的顺利开展。</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行政经费的使用</w:t>
            </w:r>
            <w:r>
              <w:rPr>
                <w:rFonts w:hint="eastAsia" w:ascii="宋体" w:hAnsi="宋体" w:eastAsia="宋体" w:cs="宋体"/>
                <w:kern w:val="0"/>
                <w:sz w:val="24"/>
                <w:szCs w:val="24"/>
                <w:lang w:val="en-US" w:eastAsia="zh-CN" w:bidi="ar"/>
              </w:rPr>
              <w:t>保障了单位正常的基本运转</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宋体" w:hAnsi="宋体" w:eastAsia="宋体" w:cs="宋体"/>
                <w:kern w:val="0"/>
                <w:sz w:val="24"/>
                <w:szCs w:val="24"/>
                <w:lang w:val="en-US" w:eastAsia="zh-CN" w:bidi="ar"/>
              </w:rPr>
              <w:t>提高我市人防组织指挥、通信保障和遂行能力</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国防观念</w:t>
            </w:r>
            <w:r>
              <w:rPr>
                <w:rFonts w:hint="eastAsia" w:ascii="宋体" w:hAnsi="宋体" w:eastAsia="宋体" w:cs="宋体"/>
                <w:kern w:val="0"/>
                <w:sz w:val="24"/>
                <w:szCs w:val="24"/>
                <w:lang w:val="en-US" w:eastAsia="zh-CN" w:bidi="ar"/>
              </w:rPr>
              <w:t>在社会造成积极而强烈的反响，提升了岳阳人防正面形象</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rPr>
                <w:rFonts w:hint="default"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应急经费</w:t>
            </w:r>
            <w:r>
              <w:rPr>
                <w:rFonts w:hint="eastAsia" w:ascii="宋体" w:hAnsi="宋体" w:cs="宋体"/>
                <w:sz w:val="24"/>
                <w:szCs w:val="24"/>
                <w:lang w:val="en-US" w:eastAsia="zh-CN"/>
              </w:rPr>
              <w:t>的使用，</w:t>
            </w:r>
            <w:r>
              <w:rPr>
                <w:rFonts w:hint="eastAsia" w:ascii="宋体" w:hAnsi="宋体" w:eastAsia="宋体" w:cs="宋体"/>
                <w:kern w:val="0"/>
                <w:sz w:val="24"/>
                <w:szCs w:val="24"/>
                <w:lang w:val="en-US" w:eastAsia="zh-CN" w:bidi="ar"/>
              </w:rPr>
              <w:t>保障省了人防办、市委市政府、军分区及其他相关单位临时性交办的工作安排及早期人防工程防汛防旱抢险救灾及其他抢险救灾任务</w:t>
            </w:r>
            <w:r>
              <w:rPr>
                <w:rFonts w:hint="eastAsia" w:ascii="宋体" w:hAnsi="宋体" w:cs="宋体"/>
                <w:kern w:val="0"/>
                <w:sz w:val="24"/>
                <w:szCs w:val="24"/>
                <w:lang w:val="en-US" w:eastAsia="zh-CN" w:bidi="ar"/>
              </w:rPr>
              <w:t>按时</w:t>
            </w:r>
            <w:r>
              <w:rPr>
                <w:rFonts w:hint="eastAsia" w:ascii="宋体" w:hAnsi="宋体" w:eastAsia="宋体" w:cs="宋体"/>
                <w:kern w:val="0"/>
                <w:sz w:val="24"/>
                <w:szCs w:val="24"/>
                <w:lang w:val="en-US" w:eastAsia="zh-CN" w:bidi="ar"/>
              </w:rPr>
              <w:t>完成</w:t>
            </w:r>
          </w:p>
          <w:p>
            <w:pPr>
              <w:autoSpaceDN w:val="0"/>
              <w:spacing w:line="320" w:lineRule="exact"/>
              <w:jc w:val="both"/>
              <w:textAlignment w:val="center"/>
              <w:rPr>
                <w:rFonts w:hint="eastAsia" w:ascii="仿宋_GB2312" w:hAnsi="仿宋_GB2312" w:eastAsia="仿宋_GB2312" w:cs="仿宋_GB2312"/>
                <w:color w:val="000000"/>
                <w:sz w:val="24"/>
              </w:rPr>
            </w:pP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tabs>
                <w:tab w:val="left" w:pos="434"/>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组织指挥经费的支出，</w:t>
            </w:r>
            <w:r>
              <w:rPr>
                <w:rFonts w:hint="eastAsia" w:ascii="宋体" w:hAnsi="宋体" w:cs="宋体"/>
                <w:sz w:val="24"/>
                <w:szCs w:val="24"/>
                <w:lang w:val="en-US" w:eastAsia="zh-CN"/>
              </w:rPr>
              <w:t>保证</w:t>
            </w:r>
            <w:r>
              <w:rPr>
                <w:rFonts w:hint="eastAsia" w:ascii="宋体" w:hAnsi="宋体" w:cs="宋体"/>
                <w:kern w:val="0"/>
                <w:sz w:val="24"/>
                <w:szCs w:val="24"/>
                <w:lang w:val="en-US" w:eastAsia="zh-CN" w:bidi="ar"/>
              </w:rPr>
              <w:t>按时</w:t>
            </w:r>
            <w:r>
              <w:rPr>
                <w:rFonts w:hint="eastAsia" w:ascii="宋体" w:hAnsi="宋体" w:eastAsia="宋体" w:cs="宋体"/>
                <w:kern w:val="0"/>
                <w:sz w:val="24"/>
                <w:szCs w:val="24"/>
                <w:lang w:val="en-US" w:eastAsia="zh-CN" w:bidi="ar"/>
              </w:rPr>
              <w:t>完善了指挥功能，保</w:t>
            </w:r>
            <w:r>
              <w:rPr>
                <w:rFonts w:hint="eastAsia" w:ascii="宋体" w:hAnsi="宋体" w:cs="宋体"/>
                <w:kern w:val="0"/>
                <w:sz w:val="24"/>
                <w:szCs w:val="24"/>
                <w:lang w:val="en-US" w:eastAsia="zh-CN" w:bidi="ar"/>
              </w:rPr>
              <w:t>障</w:t>
            </w:r>
            <w:r>
              <w:rPr>
                <w:rFonts w:hint="eastAsia" w:ascii="宋体" w:hAnsi="宋体" w:eastAsia="宋体" w:cs="宋体"/>
                <w:kern w:val="0"/>
                <w:sz w:val="24"/>
                <w:szCs w:val="24"/>
                <w:lang w:val="en-US" w:eastAsia="zh-CN" w:bidi="ar"/>
              </w:rPr>
              <w:t>防空防灾工作落实</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1"/>
                <w:szCs w:val="21"/>
              </w:rPr>
              <w:t>指标1：</w:t>
            </w:r>
            <w:r>
              <w:rPr>
                <w:rFonts w:hint="eastAsia" w:ascii="宋体" w:hAnsi="宋体" w:cs="宋体"/>
                <w:sz w:val="21"/>
                <w:szCs w:val="21"/>
                <w:lang w:val="en-US" w:eastAsia="zh-CN"/>
              </w:rPr>
              <w:t>涉密</w:t>
            </w:r>
          </w:p>
        </w:tc>
        <w:tc>
          <w:tcPr>
            <w:tcW w:w="2684" w:type="dxa"/>
            <w:gridSpan w:val="4"/>
            <w:vAlign w:val="center"/>
          </w:tcPr>
          <w:p>
            <w:pPr>
              <w:tabs>
                <w:tab w:val="left" w:pos="447"/>
              </w:tabs>
              <w:autoSpaceDN w:val="0"/>
              <w:spacing w:line="320" w:lineRule="exact"/>
              <w:jc w:val="lef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b/>
                <w:color w:val="000000"/>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指标2：</w:t>
            </w:r>
            <w:r>
              <w:rPr>
                <w:rFonts w:hint="eastAsia" w:ascii="宋体" w:hAnsi="宋体" w:eastAsia="宋体" w:cs="宋体"/>
                <w:sz w:val="24"/>
                <w:szCs w:val="24"/>
                <w:lang w:eastAsia="zh-CN"/>
              </w:rPr>
              <w:t>机关运转费用</w:t>
            </w:r>
            <w:r>
              <w:rPr>
                <w:rFonts w:hint="eastAsia" w:ascii="宋体" w:hAnsi="宋体" w:eastAsia="宋体" w:cs="宋体"/>
                <w:sz w:val="24"/>
                <w:szCs w:val="24"/>
                <w:lang w:val="en-US" w:eastAsia="zh-CN"/>
              </w:rPr>
              <w:t>预算资金</w:t>
            </w:r>
            <w:r>
              <w:rPr>
                <w:rFonts w:hint="eastAsia" w:ascii="宋体" w:hAnsi="宋体" w:cs="宋体"/>
                <w:sz w:val="24"/>
                <w:szCs w:val="24"/>
                <w:lang w:val="en-US" w:eastAsia="zh-CN"/>
              </w:rPr>
              <w:t>281万元，</w:t>
            </w:r>
            <w:r>
              <w:rPr>
                <w:rFonts w:hint="eastAsia" w:ascii="宋体" w:hAnsi="宋体" w:eastAsia="宋体" w:cs="宋体"/>
                <w:kern w:val="0"/>
                <w:sz w:val="24"/>
                <w:szCs w:val="24"/>
                <w:lang w:val="en-US" w:eastAsia="zh-CN" w:bidi="ar"/>
              </w:rPr>
              <w:t>项目年度产出指标281万元，</w:t>
            </w:r>
            <w:r>
              <w:rPr>
                <w:rFonts w:hint="eastAsia" w:ascii="宋体" w:hAnsi="宋体" w:cs="宋体"/>
                <w:kern w:val="0"/>
                <w:sz w:val="24"/>
                <w:szCs w:val="24"/>
                <w:lang w:val="en-US" w:eastAsia="zh-CN" w:bidi="ar"/>
              </w:rPr>
              <w:t>按预算执行</w:t>
            </w:r>
          </w:p>
        </w:tc>
        <w:tc>
          <w:tcPr>
            <w:tcW w:w="2684" w:type="dxa"/>
            <w:gridSpan w:val="4"/>
            <w:vAlign w:val="center"/>
          </w:tcPr>
          <w:p>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其中：办公费24万元、印刷费16万元、手续费2万元、水费4.5万元、电费8万元、取暖费7万元、物业管理费43万元、差旅费4万元、培训费26万元、公务接待费12万元、专用材料购置费3万元、公车运行费22.19万元（50%公车补贴），劳务费28万元、其他商品和服务支出 81.31万元等。</w:t>
            </w:r>
            <w:r>
              <w:rPr>
                <w:rFonts w:hint="eastAsia" w:ascii="宋体" w:hAnsi="宋体" w:eastAsia="宋体" w:cs="宋体"/>
                <w:kern w:val="0"/>
                <w:sz w:val="24"/>
                <w:szCs w:val="24"/>
                <w:lang w:val="en-US" w:eastAsia="zh-CN" w:bidi="ar"/>
              </w:rPr>
              <w:t>达到预算既定目标</w:t>
            </w:r>
          </w:p>
          <w:p>
            <w:pPr>
              <w:tabs>
                <w:tab w:val="left" w:pos="269"/>
              </w:tabs>
              <w:autoSpaceDN w:val="0"/>
              <w:spacing w:line="320" w:lineRule="exact"/>
              <w:jc w:val="left"/>
              <w:textAlignment w:val="center"/>
              <w:rPr>
                <w:rFonts w:hint="eastAsia" w:ascii="仿宋_GB2312" w:hAnsi="仿宋_GB2312" w:eastAsia="仿宋_GB2312" w:cs="仿宋_GB2312"/>
                <w:b/>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宋体" w:hAnsi="宋体" w:cs="宋体"/>
                <w:sz w:val="24"/>
                <w:szCs w:val="24"/>
                <w:lang w:val="en-US" w:eastAsia="zh-CN"/>
              </w:rPr>
              <w:t>涉密项目</w:t>
            </w:r>
            <w:r>
              <w:rPr>
                <w:rFonts w:hint="eastAsia" w:ascii="宋体" w:hAnsi="宋体" w:cs="宋体"/>
                <w:kern w:val="0"/>
                <w:sz w:val="24"/>
                <w:szCs w:val="24"/>
                <w:lang w:val="en-US" w:eastAsia="zh-CN" w:bidi="ar"/>
              </w:rPr>
              <w:t>按预算执行</w:t>
            </w:r>
          </w:p>
        </w:tc>
        <w:tc>
          <w:tcPr>
            <w:tcW w:w="2684" w:type="dxa"/>
            <w:gridSpan w:val="4"/>
            <w:vAlign w:val="center"/>
          </w:tcPr>
          <w:p>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人防宣传教育预算资金166万元</w:t>
            </w:r>
            <w:r>
              <w:rPr>
                <w:rFonts w:hint="eastAsia" w:ascii="宋体" w:hAnsi="宋体" w:cs="宋体"/>
                <w:sz w:val="24"/>
                <w:szCs w:val="24"/>
                <w:lang w:val="en-US" w:eastAsia="zh-CN"/>
              </w:rPr>
              <w:t>，</w:t>
            </w:r>
            <w:r>
              <w:rPr>
                <w:rFonts w:hint="eastAsia" w:ascii="宋体" w:hAnsi="宋体" w:cs="宋体"/>
                <w:kern w:val="0"/>
                <w:sz w:val="24"/>
                <w:szCs w:val="24"/>
                <w:lang w:val="en-US" w:eastAsia="zh-CN" w:bidi="ar"/>
              </w:rPr>
              <w:t>按预算执行</w:t>
            </w:r>
          </w:p>
        </w:tc>
        <w:tc>
          <w:tcPr>
            <w:tcW w:w="2684" w:type="dxa"/>
            <w:gridSpan w:val="4"/>
            <w:vAlign w:val="center"/>
          </w:tcPr>
          <w:p>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rPr>
                <w:rFonts w:hint="eastAsia"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应急经费预算资金50万元</w:t>
            </w:r>
            <w:r>
              <w:rPr>
                <w:rFonts w:hint="eastAsia" w:ascii="宋体" w:hAnsi="宋体" w:cs="宋体"/>
                <w:sz w:val="24"/>
                <w:szCs w:val="24"/>
                <w:lang w:val="en-US" w:eastAsia="zh-CN"/>
              </w:rPr>
              <w:t>，</w:t>
            </w:r>
            <w:r>
              <w:rPr>
                <w:rFonts w:hint="eastAsia" w:ascii="宋体" w:hAnsi="宋体" w:cs="宋体"/>
                <w:kern w:val="0"/>
                <w:sz w:val="24"/>
                <w:szCs w:val="24"/>
                <w:lang w:val="en-US" w:eastAsia="zh-CN" w:bidi="ar"/>
              </w:rPr>
              <w:t>按预算执行</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4"/>
            <w:vAlign w:val="center"/>
          </w:tcPr>
          <w:p>
            <w:pPr>
              <w:keepNext w:val="0"/>
              <w:keepLines w:val="0"/>
              <w:widowControl/>
              <w:suppressLineNumbers w:val="0"/>
              <w:autoSpaceDN w:val="0"/>
              <w:spacing w:line="320" w:lineRule="exact"/>
              <w:jc w:val="left"/>
              <w:textAlignment w:val="center"/>
              <w:rPr>
                <w:rFonts w:ascii="仿宋_GB2312" w:hAnsi="仿宋_GB2312" w:eastAsia="仿宋_GB2312" w:cs="仿宋_GB2312"/>
                <w:b/>
                <w:color w:val="000000"/>
                <w:sz w:val="24"/>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pPr>
              <w:rPr>
                <w:rFonts w:hint="eastAsia"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宋体" w:hAnsi="宋体" w:cs="宋体"/>
                <w:sz w:val="24"/>
                <w:szCs w:val="24"/>
                <w:lang w:val="en-US" w:eastAsia="zh-CN"/>
              </w:rPr>
              <w:t>奢靡项目</w:t>
            </w:r>
            <w:r>
              <w:rPr>
                <w:rFonts w:hint="eastAsia" w:ascii="宋体" w:hAnsi="宋体" w:cs="宋体"/>
                <w:kern w:val="0"/>
                <w:sz w:val="24"/>
                <w:szCs w:val="24"/>
                <w:lang w:val="en-US" w:eastAsia="zh-CN" w:bidi="ar"/>
              </w:rPr>
              <w:t>按预算执行</w:t>
            </w:r>
          </w:p>
          <w:p>
            <w:pPr>
              <w:autoSpaceDN w:val="0"/>
              <w:spacing w:line="320" w:lineRule="exact"/>
              <w:jc w:val="both"/>
              <w:textAlignment w:val="center"/>
              <w:rPr>
                <w:rFonts w:hint="eastAsia" w:ascii="仿宋_GB2312" w:hAnsi="仿宋_GB2312" w:eastAsia="仿宋_GB2312" w:cs="仿宋_GB2312"/>
                <w:color w:val="000000"/>
                <w:sz w:val="24"/>
              </w:rPr>
            </w:pPr>
          </w:p>
        </w:tc>
        <w:tc>
          <w:tcPr>
            <w:tcW w:w="2684" w:type="dxa"/>
            <w:gridSpan w:val="4"/>
            <w:vAlign w:val="center"/>
          </w:tcPr>
          <w:p>
            <w:pPr>
              <w:keepNext w:val="0"/>
              <w:keepLines w:val="0"/>
              <w:widowControl/>
              <w:suppressLineNumbers w:val="0"/>
              <w:autoSpaceDN w:val="0"/>
              <w:spacing w:line="320" w:lineRule="exact"/>
              <w:jc w:val="left"/>
              <w:textAlignment w:val="center"/>
              <w:rPr>
                <w:rFonts w:ascii="仿宋_GB2312" w:hAnsi="仿宋_GB2312" w:eastAsia="仿宋_GB2312" w:cs="仿宋_GB2312"/>
                <w:b/>
                <w:color w:val="000000"/>
                <w:sz w:val="24"/>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：涉密。</w:t>
            </w:r>
          </w:p>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涉密。</w:t>
            </w:r>
          </w:p>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涉密。</w:t>
            </w:r>
          </w:p>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涉密；</w:t>
            </w:r>
          </w:p>
          <w:p>
            <w:pPr>
              <w:bidi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eastAsia="zh-CN"/>
              </w:rPr>
              <w:t>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：主动融入和服务城市建设，促进城市地下空间开发利用，合理开发利用人防工程作为停车、便民等公益设施，积极融入应急管理体系，强化指挥通信体系与应急管理体系相融合。</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320" w:lineRule="exact"/>
              <w:ind w:firstLine="234"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国防</w:t>
            </w:r>
          </w:p>
          <w:p>
            <w:pPr>
              <w:tabs>
                <w:tab w:val="center" w:pos="1339"/>
              </w:tabs>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公益事业</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人防工程布局合理，避免城市内塌方等安全隐患，</w:t>
            </w:r>
            <w:r>
              <w:rPr>
                <w:rFonts w:hint="eastAsia" w:ascii="仿宋_GB2312" w:hAnsi="仿宋_GB2312" w:eastAsia="仿宋_GB2312" w:cs="仿宋_GB2312"/>
                <w:color w:val="000000"/>
                <w:sz w:val="24"/>
                <w:lang w:val="en-US" w:eastAsia="zh-CN"/>
              </w:rPr>
              <w:t>强化对突发事件的监测，尽快采取措施，迅速控制和消除危害，</w:t>
            </w:r>
            <w:r>
              <w:rPr>
                <w:rFonts w:hint="eastAsia" w:ascii="仿宋_GB2312" w:hAnsi="仿宋_GB2312" w:eastAsia="仿宋_GB2312" w:cs="仿宋_GB2312"/>
                <w:color w:val="000000"/>
                <w:sz w:val="24"/>
                <w:lang w:eastAsia="zh-CN"/>
              </w:rPr>
              <w:t>有利于环境生态发展，</w:t>
            </w:r>
            <w:r>
              <w:rPr>
                <w:rFonts w:hint="eastAsia" w:ascii="仿宋_GB2312" w:hAnsi="仿宋_GB2312" w:eastAsia="仿宋_GB2312" w:cs="仿宋_GB2312"/>
                <w:color w:val="000000"/>
                <w:sz w:val="24"/>
                <w:lang w:val="en-US" w:eastAsia="zh-CN"/>
              </w:rPr>
              <w:t xml:space="preserve">对保障公共财产和人民生命安全，维护社会稳定，促进了社会和经济的协调发展。 </w:t>
            </w:r>
          </w:p>
        </w:tc>
        <w:tc>
          <w:tcPr>
            <w:tcW w:w="2684"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服务对象满意率=项目区被调查人数中表示满意的人数(户数)/ 被调查人数(户数)×100%</w:t>
            </w:r>
          </w:p>
        </w:tc>
        <w:tc>
          <w:tcPr>
            <w:tcW w:w="2684" w:type="dxa"/>
            <w:gridSpan w:val="4"/>
            <w:vAlign w:val="center"/>
          </w:tcPr>
          <w:p>
            <w:pPr>
              <w:autoSpaceDN w:val="0"/>
              <w:spacing w:line="320" w:lineRule="exact"/>
              <w:jc w:val="center"/>
              <w:textAlignment w:val="center"/>
              <w:rPr>
                <w:rFonts w:hint="default" w:ascii="仿宋_GB2312" w:hAnsi="仿宋_GB2312" w:eastAsia="仿宋" w:cs="仿宋_GB2312"/>
                <w:b/>
                <w:color w:val="000000"/>
                <w:sz w:val="24"/>
                <w:lang w:val="en-US" w:eastAsia="zh-CN"/>
              </w:rPr>
            </w:pPr>
            <w:r>
              <w:rPr>
                <w:rFonts w:hint="eastAsia" w:ascii="仿宋" w:hAnsi="仿宋" w:eastAsia="仿宋" w:cs="仿宋"/>
                <w:color w:val="000000"/>
                <w:sz w:val="24"/>
                <w:lang w:val="en-US" w:eastAsia="zh-CN"/>
              </w:rPr>
              <w:t>通过对</w:t>
            </w:r>
            <w:r>
              <w:rPr>
                <w:rFonts w:hint="eastAsia" w:ascii="仿宋" w:hAnsi="仿宋" w:eastAsia="仿宋" w:cs="仿宋"/>
                <w:color w:val="000000"/>
                <w:sz w:val="24"/>
              </w:rPr>
              <w:t>服务对象</w:t>
            </w:r>
            <w:r>
              <w:rPr>
                <w:rFonts w:hint="eastAsia" w:ascii="仿宋" w:hAnsi="仿宋" w:eastAsia="仿宋" w:cs="仿宋"/>
                <w:color w:val="000000"/>
                <w:sz w:val="24"/>
                <w:lang w:val="en-US" w:eastAsia="zh-CN"/>
              </w:rPr>
              <w:t>20人</w:t>
            </w:r>
            <w:r>
              <w:rPr>
                <w:rFonts w:hint="eastAsia" w:ascii="仿宋" w:hAnsi="仿宋" w:eastAsia="仿宋" w:cs="仿宋"/>
                <w:color w:val="000000"/>
                <w:sz w:val="24"/>
              </w:rPr>
              <w:t>满意</w:t>
            </w:r>
            <w:r>
              <w:rPr>
                <w:rFonts w:hint="eastAsia" w:ascii="仿宋" w:hAnsi="仿宋" w:eastAsia="仿宋" w:cs="仿宋"/>
                <w:color w:val="000000"/>
                <w:sz w:val="24"/>
                <w:lang w:val="en-US" w:eastAsia="zh-CN"/>
              </w:rPr>
              <w:t>度</w:t>
            </w:r>
            <w:r>
              <w:rPr>
                <w:rFonts w:hint="eastAsia" w:ascii="仿宋" w:hAnsi="仿宋" w:eastAsia="仿宋" w:cs="仿宋"/>
                <w:color w:val="000000"/>
                <w:sz w:val="24"/>
              </w:rPr>
              <w:t>调查</w:t>
            </w:r>
            <w:r>
              <w:rPr>
                <w:rFonts w:hint="eastAsia" w:ascii="仿宋" w:hAnsi="仿宋" w:eastAsia="仿宋" w:cs="仿宋"/>
                <w:color w:val="000000"/>
                <w:sz w:val="24"/>
                <w:lang w:eastAsia="zh-CN"/>
              </w:rPr>
              <w:t>，</w:t>
            </w:r>
            <w:r>
              <w:rPr>
                <w:rFonts w:hint="eastAsia" w:ascii="仿宋" w:hAnsi="仿宋" w:eastAsia="仿宋" w:cs="仿宋"/>
                <w:color w:val="000000"/>
                <w:sz w:val="24"/>
              </w:rPr>
              <w:t>满意</w:t>
            </w:r>
            <w:r>
              <w:rPr>
                <w:rFonts w:hint="eastAsia" w:ascii="仿宋" w:hAnsi="仿宋" w:eastAsia="仿宋" w:cs="仿宋"/>
                <w:color w:val="000000"/>
                <w:sz w:val="24"/>
                <w:lang w:val="en-US" w:eastAsia="zh-CN"/>
              </w:rPr>
              <w:t>度为100%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tabs>
                <w:tab w:val="left" w:pos="1862"/>
                <w:tab w:val="left" w:pos="2618"/>
              </w:tabs>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 xml:space="preserve">     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卢志平</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主任、党组书记</w:t>
            </w:r>
          </w:p>
        </w:tc>
        <w:tc>
          <w:tcPr>
            <w:tcW w:w="1479"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刘绍斌</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副主任、党组成员</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任伟明</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党组成员、机关党委书记</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鲁殿群</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行财科科长</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陈琴</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8886673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rPr>
              <w:t>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sz w:val="24"/>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top"/>
          </w:tcPr>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在不违反相关政策的前提下，用以补充基本支出中财政拨款的差额部分，以保障单位正常的基本运转。</w:t>
            </w:r>
            <w:r>
              <w:rPr>
                <w:rFonts w:hint="eastAsia" w:eastAsia="仿宋_GB2312"/>
                <w:b w:val="0"/>
                <w:bCs/>
                <w:sz w:val="24"/>
                <w:lang w:val="en-US" w:eastAsia="zh-CN"/>
              </w:rPr>
              <w:br w:type="textWrapping"/>
            </w:r>
          </w:p>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根据省办工作要求，加快指挥通信体系建设，重点抓好指挥平台建设、通信训练演练、人防数据库建设和专业队伍训练演练，全面完成全省人防应急指挥通信专网和警报报知网建设目标任务，不断提高我市人防组织指挥、通信保障和遂行能力。</w:t>
            </w:r>
            <w:r>
              <w:rPr>
                <w:rFonts w:hint="eastAsia" w:eastAsia="仿宋_GB2312"/>
                <w:b w:val="0"/>
                <w:bCs/>
                <w:sz w:val="24"/>
                <w:lang w:val="en-US" w:eastAsia="zh-CN"/>
              </w:rPr>
              <w:br w:type="textWrapping"/>
            </w:r>
          </w:p>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通过扎实有效的人防宣传教育，扭转人防建设单打独斗的局面，全市上下形成领导重视支持、部门协调配合、社会高度关注，关心人防、支持人防、建设人防的良好氛围。</w:t>
            </w:r>
            <w:r>
              <w:rPr>
                <w:rFonts w:hint="eastAsia" w:eastAsia="仿宋_GB2312"/>
                <w:b w:val="0"/>
                <w:bCs/>
                <w:sz w:val="24"/>
                <w:lang w:val="en-US" w:eastAsia="zh-CN"/>
              </w:rPr>
              <w:br w:type="textWrapping"/>
            </w:r>
          </w:p>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按照中发办[2014]15号文件精神及2019年省人防绩效评估指标、人防工作要点的内容，通过建立健全预警机制，强化对突发事件的监测，尽快采取措施，迅速控制和消除危害，保障公共财产和人民生命安全，维护社会稳定，促进社会和经济的协调发展。</w:t>
            </w:r>
            <w:r>
              <w:rPr>
                <w:rFonts w:hint="eastAsia" w:eastAsia="仿宋_GB2312"/>
                <w:b w:val="0"/>
                <w:bCs/>
                <w:sz w:val="24"/>
                <w:lang w:val="en-US" w:eastAsia="zh-CN"/>
              </w:rPr>
              <w:br w:type="textWrapping"/>
            </w:r>
          </w:p>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根据岳政办函〔2014〕78号文件精神，合理利用人防非税收入征收成本。为更好的保障2019年度人防执法、机关正常运转等工作的顺利开展。</w:t>
            </w:r>
            <w:r>
              <w:rPr>
                <w:rFonts w:hint="eastAsia" w:eastAsia="仿宋_GB2312"/>
                <w:b w:val="0"/>
                <w:bCs/>
                <w:sz w:val="24"/>
                <w:lang w:val="en-US" w:eastAsia="zh-CN"/>
              </w:rPr>
              <w:br w:type="textWrapping"/>
            </w:r>
          </w:p>
          <w:p>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完善指挥功能，保证防空防灾工作落实。</w:t>
            </w:r>
          </w:p>
        </w:tc>
        <w:tc>
          <w:tcPr>
            <w:tcW w:w="3036" w:type="dxa"/>
            <w:gridSpan w:val="3"/>
            <w:tcBorders>
              <w:bottom w:val="single" w:color="auto" w:sz="4" w:space="0"/>
            </w:tcBorders>
            <w:vAlign w:val="top"/>
          </w:tcPr>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为保障机关正常运转，主要用于补贴基本支出中财政拨款公用支出中的差额部分。年度执行达到预算既定目标。</w:t>
            </w:r>
          </w:p>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提高我市人防组织指挥、通信保障和遂行能力。达到预算既定目标。</w:t>
            </w:r>
          </w:p>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提高广大人民群众的国防观念和防空防灾技能。社会公众满意度100%。</w:t>
            </w:r>
          </w:p>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主要用于保障省人防办、市委市政府、军分区及其他相关单位临时性交办的工作安排及早期人防工程防汛防旱抢险救灾及其他抢险救灾任务所需要的费用等。应急支援抢险经费20万元；专项业务应急经费10万元；省人防办、市委市政府、市军分区及其他相关单位临时性交办的工作安排经费20万元。按照实际工作安排费用支出。达到预算既定目标。</w:t>
            </w:r>
          </w:p>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按照财政标准公式核定安排。易地建设费252万（5600*4.5%），租赁收入5.96万（29.80*20%）。主要用于列支行政执法、执法人员经费及其他相关事宜以及其它在人防非税执法过程中消耗的人力、物力、财力等费用。达到预算既定目标。</w:t>
            </w:r>
          </w:p>
          <w:p>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人防封闭式训练、准军事化建设、应急支援训练10万元；人防战备资源储备10万元；指挥部专业训练5万元；岳阳市重要经济目标防护演练10万元；国防动员网第二路由建设585万元（省人防办文件通知）。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600" w:firstLineChars="200"/>
              <w:rPr>
                <w:rFonts w:eastAsia="仿宋_GB2312"/>
                <w:sz w:val="30"/>
                <w:szCs w:val="30"/>
              </w:rPr>
            </w:pPr>
            <w:r>
              <w:rPr>
                <w:rFonts w:hint="eastAsia" w:eastAsia="仿宋_GB2312"/>
                <w:sz w:val="30"/>
                <w:szCs w:val="30"/>
              </w:rPr>
              <w:t>（一）项目基本概况</w:t>
            </w:r>
          </w:p>
          <w:p>
            <w:pPr>
              <w:spacing w:line="560" w:lineRule="exact"/>
              <w:ind w:firstLine="600" w:firstLineChars="200"/>
              <w:rPr>
                <w:rFonts w:eastAsia="仿宋_GB2312"/>
                <w:sz w:val="30"/>
                <w:szCs w:val="30"/>
              </w:rPr>
            </w:pPr>
            <w:r>
              <w:rPr>
                <w:rFonts w:hint="eastAsia" w:eastAsia="仿宋_GB2312"/>
                <w:sz w:val="30"/>
                <w:szCs w:val="30"/>
              </w:rPr>
              <w:t>（二）项目资金使用及管理情况</w:t>
            </w:r>
          </w:p>
          <w:p>
            <w:pPr>
              <w:spacing w:line="560" w:lineRule="exact"/>
              <w:ind w:firstLine="600" w:firstLineChars="200"/>
              <w:rPr>
                <w:rFonts w:eastAsia="仿宋_GB2312"/>
                <w:sz w:val="30"/>
                <w:szCs w:val="30"/>
              </w:rPr>
            </w:pPr>
            <w:r>
              <w:rPr>
                <w:rFonts w:hint="eastAsia" w:eastAsia="仿宋_GB2312"/>
                <w:sz w:val="30"/>
                <w:szCs w:val="30"/>
              </w:rPr>
              <w:t>（三）项目组织实施情况</w:t>
            </w:r>
          </w:p>
          <w:p>
            <w:pPr>
              <w:spacing w:line="560" w:lineRule="exact"/>
              <w:ind w:firstLine="600" w:firstLineChars="200"/>
              <w:rPr>
                <w:rFonts w:eastAsia="仿宋_GB2312"/>
                <w:sz w:val="30"/>
                <w:szCs w:val="30"/>
              </w:rPr>
            </w:pPr>
            <w:r>
              <w:rPr>
                <w:rFonts w:hint="eastAsia" w:eastAsia="仿宋_GB2312"/>
                <w:sz w:val="30"/>
                <w:szCs w:val="30"/>
              </w:rPr>
              <w:t>（四）综合评价情况及评价结论</w:t>
            </w:r>
          </w:p>
          <w:p>
            <w:pPr>
              <w:spacing w:line="560" w:lineRule="exact"/>
              <w:ind w:firstLine="600" w:firstLineChars="200"/>
              <w:rPr>
                <w:rFonts w:eastAsia="仿宋_GB2312"/>
                <w:sz w:val="30"/>
                <w:szCs w:val="30"/>
              </w:rPr>
            </w:pPr>
            <w:r>
              <w:rPr>
                <w:rFonts w:hint="eastAsia" w:eastAsia="仿宋_GB2312"/>
                <w:sz w:val="30"/>
                <w:szCs w:val="30"/>
              </w:rPr>
              <w:t>（五）项目主要绩效情况分析</w:t>
            </w:r>
          </w:p>
          <w:p>
            <w:pPr>
              <w:spacing w:line="560" w:lineRule="exact"/>
              <w:ind w:firstLine="600" w:firstLineChars="200"/>
              <w:rPr>
                <w:rFonts w:eastAsia="仿宋_GB2312"/>
                <w:sz w:val="30"/>
                <w:szCs w:val="30"/>
              </w:rPr>
            </w:pPr>
            <w:r>
              <w:rPr>
                <w:rFonts w:hint="eastAsia" w:eastAsia="仿宋_GB2312"/>
                <w:sz w:val="30"/>
                <w:szCs w:val="30"/>
              </w:rPr>
              <w:t>（六）主要经验及做法、存在问题和建议</w:t>
            </w:r>
          </w:p>
          <w:p>
            <w:pPr>
              <w:spacing w:line="560" w:lineRule="exact"/>
              <w:ind w:firstLine="600" w:firstLineChars="200"/>
              <w:rPr>
                <w:rFonts w:eastAsia="仿宋_GB2312"/>
                <w:sz w:val="30"/>
                <w:szCs w:val="30"/>
              </w:rPr>
            </w:pPr>
            <w:r>
              <w:rPr>
                <w:rFonts w:hint="eastAsia" w:eastAsia="仿宋_GB2312"/>
                <w:sz w:val="30"/>
                <w:szCs w:val="30"/>
              </w:rPr>
              <w:t>（七）附件</w:t>
            </w:r>
          </w:p>
          <w:p>
            <w:pPr>
              <w:rPr>
                <w:rFonts w:eastAsia="楷体_GB2312"/>
                <w:bCs/>
                <w:sz w:val="28"/>
                <w:szCs w:val="28"/>
              </w:rPr>
            </w:pP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9</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CBDAA"/>
    <w:multiLevelType w:val="singleLevel"/>
    <w:tmpl w:val="EE8CBDAA"/>
    <w:lvl w:ilvl="0" w:tentative="0">
      <w:start w:val="1"/>
      <w:numFmt w:val="decimal"/>
      <w:suff w:val="nothing"/>
      <w:lvlText w:val="%1、"/>
      <w:lvlJc w:val="left"/>
    </w:lvl>
  </w:abstractNum>
  <w:abstractNum w:abstractNumId="1">
    <w:nsid w:val="52A6AF0A"/>
    <w:multiLevelType w:val="singleLevel"/>
    <w:tmpl w:val="52A6AF0A"/>
    <w:lvl w:ilvl="0" w:tentative="0">
      <w:start w:val="1"/>
      <w:numFmt w:val="decimal"/>
      <w:suff w:val="nothing"/>
      <w:lvlText w:val="%1、"/>
      <w:lvlJc w:val="left"/>
    </w:lvl>
  </w:abstractNum>
  <w:abstractNum w:abstractNumId="2">
    <w:nsid w:val="743973A5"/>
    <w:multiLevelType w:val="singleLevel"/>
    <w:tmpl w:val="743973A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5CDD"/>
    <w:rsid w:val="00A1279C"/>
    <w:rsid w:val="00CC1DBD"/>
    <w:rsid w:val="03CC0081"/>
    <w:rsid w:val="05D54DEF"/>
    <w:rsid w:val="09BC0C2F"/>
    <w:rsid w:val="0C0F5957"/>
    <w:rsid w:val="0C5B1F08"/>
    <w:rsid w:val="0C675AFA"/>
    <w:rsid w:val="0C7360B3"/>
    <w:rsid w:val="0C8E2EC3"/>
    <w:rsid w:val="0CA44F67"/>
    <w:rsid w:val="0CD3461E"/>
    <w:rsid w:val="0D3C1FD6"/>
    <w:rsid w:val="0F015588"/>
    <w:rsid w:val="0FD35AD4"/>
    <w:rsid w:val="13380D9C"/>
    <w:rsid w:val="173A679A"/>
    <w:rsid w:val="17D43F23"/>
    <w:rsid w:val="19B920A7"/>
    <w:rsid w:val="19C24D42"/>
    <w:rsid w:val="1B2D7A11"/>
    <w:rsid w:val="1B823FCC"/>
    <w:rsid w:val="1CD96EBA"/>
    <w:rsid w:val="1F2F77E7"/>
    <w:rsid w:val="1FC82782"/>
    <w:rsid w:val="204C4D88"/>
    <w:rsid w:val="21A47C40"/>
    <w:rsid w:val="22256AAA"/>
    <w:rsid w:val="225D19E6"/>
    <w:rsid w:val="226B5B71"/>
    <w:rsid w:val="23CF4305"/>
    <w:rsid w:val="240B3537"/>
    <w:rsid w:val="26114A29"/>
    <w:rsid w:val="26C543B1"/>
    <w:rsid w:val="28857326"/>
    <w:rsid w:val="28FE5225"/>
    <w:rsid w:val="29F0265C"/>
    <w:rsid w:val="2A784B6D"/>
    <w:rsid w:val="2CE86091"/>
    <w:rsid w:val="2D864BDF"/>
    <w:rsid w:val="2EA82936"/>
    <w:rsid w:val="2F4803A1"/>
    <w:rsid w:val="2FD42DB4"/>
    <w:rsid w:val="2FEE7D48"/>
    <w:rsid w:val="306B403C"/>
    <w:rsid w:val="311B1DCF"/>
    <w:rsid w:val="33C00BF7"/>
    <w:rsid w:val="344D1160"/>
    <w:rsid w:val="347D629E"/>
    <w:rsid w:val="34A14D79"/>
    <w:rsid w:val="34A42009"/>
    <w:rsid w:val="36B25B0C"/>
    <w:rsid w:val="385628C5"/>
    <w:rsid w:val="38A30AC5"/>
    <w:rsid w:val="38BD3C18"/>
    <w:rsid w:val="3C5119B6"/>
    <w:rsid w:val="3CE91317"/>
    <w:rsid w:val="3E871887"/>
    <w:rsid w:val="3ED56502"/>
    <w:rsid w:val="3F952832"/>
    <w:rsid w:val="43217313"/>
    <w:rsid w:val="437F720E"/>
    <w:rsid w:val="45786B88"/>
    <w:rsid w:val="45B8168A"/>
    <w:rsid w:val="46E84E66"/>
    <w:rsid w:val="47844C42"/>
    <w:rsid w:val="48397FCA"/>
    <w:rsid w:val="4ACB69AE"/>
    <w:rsid w:val="4D9C19F0"/>
    <w:rsid w:val="4DE76880"/>
    <w:rsid w:val="4E200B54"/>
    <w:rsid w:val="4F0F7456"/>
    <w:rsid w:val="4F3A3BD8"/>
    <w:rsid w:val="4FEE4E63"/>
    <w:rsid w:val="4FF54062"/>
    <w:rsid w:val="50334B6C"/>
    <w:rsid w:val="52214DED"/>
    <w:rsid w:val="525538D6"/>
    <w:rsid w:val="52CD6811"/>
    <w:rsid w:val="532D7C73"/>
    <w:rsid w:val="544C6B6C"/>
    <w:rsid w:val="54854DB8"/>
    <w:rsid w:val="564F0BEC"/>
    <w:rsid w:val="569C45CD"/>
    <w:rsid w:val="57455CDD"/>
    <w:rsid w:val="58815722"/>
    <w:rsid w:val="59370D02"/>
    <w:rsid w:val="5A2E2693"/>
    <w:rsid w:val="5B8447E5"/>
    <w:rsid w:val="5BF54374"/>
    <w:rsid w:val="5CFB4FC2"/>
    <w:rsid w:val="5D417E72"/>
    <w:rsid w:val="5E601449"/>
    <w:rsid w:val="5E74549D"/>
    <w:rsid w:val="5F8001F0"/>
    <w:rsid w:val="60832732"/>
    <w:rsid w:val="61F41355"/>
    <w:rsid w:val="64F44AE9"/>
    <w:rsid w:val="672E75EC"/>
    <w:rsid w:val="67F36680"/>
    <w:rsid w:val="687C6618"/>
    <w:rsid w:val="68B4378D"/>
    <w:rsid w:val="68F204A3"/>
    <w:rsid w:val="69B4051F"/>
    <w:rsid w:val="69F43EBC"/>
    <w:rsid w:val="69FF1CE2"/>
    <w:rsid w:val="6A937051"/>
    <w:rsid w:val="6D6F1C70"/>
    <w:rsid w:val="6E2D5175"/>
    <w:rsid w:val="6ECD019B"/>
    <w:rsid w:val="712E1711"/>
    <w:rsid w:val="720F59D9"/>
    <w:rsid w:val="7375260F"/>
    <w:rsid w:val="74DC27CE"/>
    <w:rsid w:val="750715B9"/>
    <w:rsid w:val="75801FDE"/>
    <w:rsid w:val="767A5C6B"/>
    <w:rsid w:val="77251CC6"/>
    <w:rsid w:val="776E1622"/>
    <w:rsid w:val="7A926AE3"/>
    <w:rsid w:val="7AA06778"/>
    <w:rsid w:val="7BA2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2021-06-12T06:36:00Z</dcterms:created>
  <dc:creator>dont ask</dc:creator>
  <cp:lastModifiedBy>周  丹</cp:lastModifiedBy>
  <cp:lastPrinted>2021-06-22T01:39:00Z</cp:lastPrinted>
  <dcterms:modified xsi:type="dcterms:W3CDTF">2022-08-19T09:02:27Z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67C9F6D6DFAB4293B4C48BBA396BF1EC</vt:lpwstr>
  </property>
</Properties>
</file>