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11FC6B6E">
      <w:pPr>
        <w:pStyle w:val="style4099"/>
        <w:jc w:val="center"/>
        <w:rPr>
          <w:sz w:val="56"/>
          <w:szCs w:val="56"/>
        </w:rPr>
      </w:pPr>
    </w:p>
    <w:p w14:paraId="222316CF">
      <w:pPr>
        <w:pStyle w:val="style4099"/>
        <w:jc w:val="center"/>
        <w:rPr>
          <w:sz w:val="56"/>
          <w:szCs w:val="56"/>
        </w:rPr>
      </w:pPr>
    </w:p>
    <w:p w14:paraId="2420F22F">
      <w:pPr>
        <w:pStyle w:val="style4099"/>
        <w:jc w:val="center"/>
        <w:rPr>
          <w:sz w:val="84"/>
          <w:szCs w:val="84"/>
        </w:rPr>
      </w:pPr>
    </w:p>
    <w:p w14:paraId="12762458">
      <w:pPr>
        <w:pStyle w:val="style4099"/>
        <w:jc w:val="center"/>
        <w:rPr>
          <w:sz w:val="84"/>
          <w:szCs w:val="84"/>
        </w:rPr>
      </w:pPr>
    </w:p>
    <w:p w14:paraId="751E3017">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202</w:t>
      </w:r>
      <w:r>
        <w:rPr>
          <w:rFonts w:ascii="方正小标宋_GBK" w:cs="方正小标宋_GBK" w:eastAsia="方正小标宋_GBK" w:hAnsi="方正小标宋_GBK" w:hint="eastAsia"/>
          <w:sz w:val="84"/>
          <w:szCs w:val="84"/>
          <w:lang w:val="en-US" w:eastAsia="zh-CN"/>
        </w:rPr>
        <w:t>3</w:t>
      </w:r>
      <w:r>
        <w:rPr>
          <w:rFonts w:ascii="方正小标宋_GBK" w:cs="方正小标宋_GBK" w:eastAsia="方正小标宋_GBK" w:hAnsi="方正小标宋_GBK" w:hint="eastAsia"/>
          <w:sz w:val="84"/>
          <w:szCs w:val="84"/>
        </w:rPr>
        <w:t>年度</w:t>
      </w:r>
    </w:p>
    <w:p w14:paraId="64DEAA34">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lang w:eastAsia="zh-CN"/>
        </w:rPr>
        <w:t>岳阳市统计局</w:t>
      </w:r>
      <w:r>
        <w:rPr>
          <w:rFonts w:ascii="方正小标宋_GBK" w:cs="方正小标宋_GBK" w:eastAsia="方正小标宋_GBK" w:hAnsi="方正小标宋_GBK" w:hint="eastAsia"/>
          <w:sz w:val="84"/>
          <w:szCs w:val="84"/>
        </w:rPr>
        <w:t>部门决算</w:t>
      </w:r>
    </w:p>
    <w:p w14:paraId="43F32E1F">
      <w:pPr>
        <w:pStyle w:val="style4099"/>
        <w:jc w:val="center"/>
        <w:rPr>
          <w:rFonts w:ascii="方正小标宋_GBK" w:cs="方正小标宋_GBK" w:eastAsia="方正小标宋_GBK" w:hAnsi="方正小标宋_GBK" w:hint="eastAsia"/>
          <w:sz w:val="56"/>
          <w:szCs w:val="56"/>
        </w:rPr>
      </w:pPr>
    </w:p>
    <w:p w14:paraId="22979DB9">
      <w:pPr>
        <w:pStyle w:val="style4099"/>
        <w:jc w:val="center"/>
        <w:rPr>
          <w:sz w:val="56"/>
          <w:szCs w:val="56"/>
        </w:rPr>
      </w:pPr>
    </w:p>
    <w:p w14:paraId="54E750BC">
      <w:pPr>
        <w:pStyle w:val="style4099"/>
        <w:jc w:val="center"/>
        <w:rPr>
          <w:sz w:val="56"/>
          <w:szCs w:val="56"/>
        </w:rPr>
      </w:pPr>
    </w:p>
    <w:p w14:paraId="2E773F52">
      <w:pPr>
        <w:pStyle w:val="style4099"/>
        <w:jc w:val="center"/>
        <w:rPr>
          <w:sz w:val="56"/>
          <w:szCs w:val="56"/>
        </w:rPr>
      </w:pPr>
    </w:p>
    <w:p w14:paraId="42F0CCD5">
      <w:pPr>
        <w:pStyle w:val="style4099"/>
        <w:jc w:val="center"/>
        <w:rPr>
          <w:sz w:val="32"/>
          <w:szCs w:val="32"/>
        </w:rPr>
      </w:pPr>
    </w:p>
    <w:p w14:paraId="239AE0EF">
      <w:pPr>
        <w:pStyle w:val="style4099"/>
        <w:jc w:val="center"/>
        <w:rPr>
          <w:sz w:val="32"/>
          <w:szCs w:val="32"/>
        </w:rPr>
      </w:pPr>
    </w:p>
    <w:p w14:paraId="0C8160E2">
      <w:pPr>
        <w:pStyle w:val="style4099"/>
        <w:jc w:val="center"/>
        <w:rPr>
          <w:sz w:val="32"/>
          <w:szCs w:val="32"/>
        </w:rPr>
      </w:pPr>
    </w:p>
    <w:p w14:paraId="23348D64">
      <w:pPr>
        <w:pStyle w:val="style4099"/>
        <w:spacing w:lineRule="exact" w:line="540"/>
        <w:jc w:val="both"/>
        <w:rPr>
          <w:sz w:val="56"/>
          <w:szCs w:val="56"/>
        </w:rPr>
      </w:pPr>
    </w:p>
    <w:p w14:paraId="000809B3">
      <w:pPr>
        <w:pStyle w:val="style4099"/>
        <w:spacing w:lineRule="exact" w:line="500"/>
        <w:jc w:val="both"/>
        <w:rPr>
          <w:b/>
          <w:sz w:val="36"/>
          <w:szCs w:val="28"/>
        </w:rPr>
      </w:pPr>
    </w:p>
    <w:p w14:paraId="23696236">
      <w:pPr>
        <w:pStyle w:val="style4099"/>
        <w:spacing w:lineRule="exact" w:line="500"/>
        <w:jc w:val="center"/>
        <w:rPr>
          <w:rFonts w:hint="eastAsia"/>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5CFC1E4C">
      <w:pPr>
        <w:pStyle w:val="style4099"/>
        <w:spacing w:lineRule="exact" w:line="500"/>
        <w:jc w:val="center"/>
        <w:rPr>
          <w:rFonts w:hint="eastAsia"/>
          <w:b/>
          <w:sz w:val="36"/>
          <w:szCs w:val="28"/>
        </w:rPr>
      </w:pPr>
    </w:p>
    <w:p w14:paraId="5E24BFAF">
      <w:pPr>
        <w:pStyle w:val="style4099"/>
        <w:keepNext w:val="false"/>
        <w:keepLines w:val="false"/>
        <w:pageBreakBefore w:val="false"/>
        <w:widowControl w:val="false"/>
        <w:kinsoku/>
        <w:wordWrap/>
        <w:overflowPunct/>
        <w:topLinePunct w:val="false"/>
        <w:bidi w:val="false"/>
        <w:snapToGrid/>
        <w:spacing w:lineRule="exact" w:line="600"/>
        <w:ind w:firstLine="560" w:firstLineChars="200"/>
        <w:textAlignment w:val="auto"/>
        <w:rPr>
          <w:rFonts w:ascii="黑体" w:cs="黑体" w:eastAsia="黑体" w:hAnsi="黑体" w:hint="eastAsia"/>
          <w:b w:val="false"/>
          <w:bCs/>
          <w:sz w:val="28"/>
          <w:szCs w:val="28"/>
        </w:rPr>
      </w:pPr>
      <w:r>
        <w:rPr>
          <w:rFonts w:ascii="黑体" w:cs="黑体" w:eastAsia="黑体" w:hAnsi="黑体" w:hint="eastAsia"/>
          <w:b w:val="false"/>
          <w:bCs/>
          <w:sz w:val="28"/>
          <w:szCs w:val="28"/>
        </w:rPr>
        <w:t>第一部分</w:t>
      </w:r>
      <w:r>
        <w:rPr>
          <w:rFonts w:ascii="黑体" w:cs="黑体" w:eastAsia="黑体" w:hAnsi="黑体" w:hint="eastAsia"/>
          <w:b w:val="false"/>
          <w:bCs/>
          <w:sz w:val="28"/>
          <w:szCs w:val="28"/>
          <w:lang w:val="en-US" w:eastAsia="zh-CN"/>
        </w:rPr>
        <w:t xml:space="preserve"> </w:t>
      </w:r>
      <w:r>
        <w:rPr>
          <w:rFonts w:cs="黑体" w:hAnsi="黑体" w:hint="eastAsia"/>
          <w:b w:val="false"/>
          <w:bCs/>
          <w:sz w:val="28"/>
          <w:szCs w:val="28"/>
          <w:lang w:eastAsia="zh-CN"/>
        </w:rPr>
        <w:t>岳阳市统计局</w:t>
      </w:r>
      <w:r>
        <w:rPr>
          <w:rFonts w:ascii="黑体" w:cs="黑体" w:eastAsia="黑体" w:hAnsi="黑体" w:hint="eastAsia"/>
          <w:b w:val="false"/>
          <w:bCs/>
          <w:sz w:val="28"/>
          <w:szCs w:val="28"/>
          <w:lang w:eastAsia="zh-CN"/>
        </w:rPr>
        <w:t>部门</w:t>
      </w:r>
      <w:r>
        <w:rPr>
          <w:rFonts w:ascii="黑体" w:cs="黑体" w:eastAsia="黑体" w:hAnsi="黑体" w:hint="eastAsia"/>
          <w:b w:val="false"/>
          <w:bCs/>
          <w:sz w:val="28"/>
          <w:szCs w:val="28"/>
        </w:rPr>
        <w:t>概况</w:t>
      </w:r>
    </w:p>
    <w:p w14:paraId="5C390883">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一、部门职责</w:t>
      </w:r>
    </w:p>
    <w:p w14:paraId="796B74E6">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二、机构设置</w:t>
      </w:r>
    </w:p>
    <w:p w14:paraId="62C69E7E">
      <w:pPr>
        <w:pStyle w:val="style4099"/>
        <w:keepNext w:val="false"/>
        <w:keepLines w:val="false"/>
        <w:pageBreakBefore w:val="false"/>
        <w:widowControl w:val="false"/>
        <w:kinsoku/>
        <w:wordWrap/>
        <w:overflowPunct/>
        <w:topLinePunct w:val="false"/>
        <w:bidi w:val="false"/>
        <w:snapToGrid/>
        <w:spacing w:lineRule="exact" w:line="600"/>
        <w:ind w:firstLine="560" w:firstLineChars="200"/>
        <w:textAlignment w:val="auto"/>
        <w:rPr>
          <w:rFonts w:ascii="黑体" w:cs="黑体" w:eastAsia="黑体" w:hAnsi="黑体" w:hint="eastAsia"/>
          <w:b w:val="false"/>
          <w:bCs/>
          <w:sz w:val="28"/>
          <w:szCs w:val="28"/>
        </w:rPr>
      </w:pPr>
      <w:r>
        <w:rPr>
          <w:rFonts w:ascii="黑体" w:cs="黑体" w:eastAsia="黑体" w:hAnsi="黑体" w:hint="eastAsia"/>
          <w:b w:val="false"/>
          <w:bCs/>
          <w:sz w:val="28"/>
          <w:szCs w:val="28"/>
        </w:rPr>
        <w:t>第二部分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部门决算表</w:t>
      </w:r>
    </w:p>
    <w:p w14:paraId="3F145412">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一、收入支出决算总表</w:t>
      </w:r>
    </w:p>
    <w:p w14:paraId="401E3CAF">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二、收入决算表</w:t>
      </w:r>
    </w:p>
    <w:p w14:paraId="0E9956F3">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三、支出决算表</w:t>
      </w:r>
    </w:p>
    <w:p w14:paraId="0EBE82BE">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四、财政拨款收入支出决算总表</w:t>
      </w:r>
    </w:p>
    <w:p w14:paraId="3C3CB403">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五、一般公共预算财政拨款支出决算表</w:t>
      </w:r>
    </w:p>
    <w:p w14:paraId="16C26D05">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六、一般公共预算财政拨款基本支出决算明细表</w:t>
      </w:r>
    </w:p>
    <w:p w14:paraId="6C19DE31">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七、政府性基金预算财政拨款收入支出决算表</w:t>
      </w:r>
    </w:p>
    <w:p w14:paraId="4F38C2BF">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八、国有资本经营预算财政拨款支出决算表</w:t>
      </w:r>
    </w:p>
    <w:p w14:paraId="57E12140">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九、财政拨款“三公”经费支出决算表</w:t>
      </w:r>
    </w:p>
    <w:p w14:paraId="28838A6A">
      <w:pPr>
        <w:pStyle w:val="style4099"/>
        <w:keepNext w:val="false"/>
        <w:keepLines w:val="false"/>
        <w:pageBreakBefore w:val="false"/>
        <w:widowControl w:val="false"/>
        <w:kinsoku/>
        <w:wordWrap/>
        <w:overflowPunct/>
        <w:topLinePunct w:val="false"/>
        <w:bidi w:val="false"/>
        <w:snapToGrid/>
        <w:spacing w:lineRule="exact" w:line="600"/>
        <w:ind w:firstLine="560" w:firstLineChars="200"/>
        <w:textAlignment w:val="auto"/>
        <w:rPr>
          <w:rFonts w:ascii="黑体" w:cs="黑体" w:eastAsia="黑体" w:hAnsi="黑体" w:hint="eastAsia"/>
          <w:b w:val="false"/>
          <w:bCs/>
          <w:sz w:val="28"/>
          <w:szCs w:val="28"/>
        </w:rPr>
      </w:pPr>
      <w:r>
        <w:rPr>
          <w:rFonts w:ascii="黑体" w:cs="黑体" w:eastAsia="黑体" w:hAnsi="黑体" w:hint="eastAsia"/>
          <w:b w:val="false"/>
          <w:bCs/>
          <w:sz w:val="28"/>
          <w:szCs w:val="28"/>
        </w:rPr>
        <w:t>第三部分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部门决算情况说明</w:t>
      </w:r>
    </w:p>
    <w:p w14:paraId="506B368A">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一、收入支出决算总体情况说明</w:t>
      </w:r>
    </w:p>
    <w:p w14:paraId="4ADA3FF9">
      <w:pPr>
        <w:pStyle w:val="style0"/>
        <w:keepNext w:val="false"/>
        <w:keepLines w:val="false"/>
        <w:pageBreakBefore w:val="false"/>
        <w:widowControl w:val="false"/>
        <w:kinsoku/>
        <w:wordWrap/>
        <w:overflowPunct/>
        <w:topLinePunct w:val="false"/>
        <w:bidi w:val="false"/>
        <w:snapToGrid/>
        <w:spacing w:lineRule="exact" w:line="600"/>
        <w:ind w:firstLine="700" w:firstLineChars="250"/>
        <w:jc w:val="left"/>
        <w:textAlignment w:val="auto"/>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二、收入决算情况说明</w:t>
      </w:r>
    </w:p>
    <w:p w14:paraId="39B9E30E">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三、支出决算情况说明</w:t>
      </w:r>
    </w:p>
    <w:p w14:paraId="1B80FAF1">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四、财政拨款收入支出决算总体情况说明</w:t>
      </w:r>
    </w:p>
    <w:p w14:paraId="13E64870">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五、一般公共预算财政拨款支出决算情况说明</w:t>
      </w:r>
    </w:p>
    <w:p w14:paraId="0583C2CC">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六、一般公共预算财政拨款基本支出决算情况说明</w:t>
      </w:r>
    </w:p>
    <w:p w14:paraId="23AC8EBF">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七、政府性基金预算收入支出决算情况</w:t>
      </w:r>
    </w:p>
    <w:p w14:paraId="37E095B1">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八、</w:t>
      </w:r>
      <w:r>
        <w:rPr>
          <w:rFonts w:ascii="仿宋_GB2312" w:cs="仿宋_GB2312" w:eastAsia="仿宋_GB2312" w:hAnsi="仿宋_GB2312" w:hint="eastAsia"/>
          <w:sz w:val="28"/>
          <w:szCs w:val="28"/>
        </w:rPr>
        <w:t>国有资本经营预算财政拨款支出决算</w:t>
      </w:r>
      <w:r>
        <w:rPr>
          <w:rFonts w:ascii="仿宋_GB2312" w:cs="仿宋_GB2312" w:eastAsia="仿宋_GB2312" w:hAnsi="仿宋_GB2312" w:hint="eastAsia"/>
          <w:sz w:val="28"/>
          <w:szCs w:val="28"/>
          <w:lang w:eastAsia="zh-CN"/>
        </w:rPr>
        <w:t>情况</w:t>
      </w:r>
    </w:p>
    <w:p w14:paraId="1B3F572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lang w:eastAsia="zh-CN"/>
        </w:rPr>
      </w:pPr>
      <w:r>
        <w:rPr>
          <w:rFonts w:ascii="仿宋_GB2312" w:cs="仿宋_GB2312" w:eastAsia="仿宋_GB2312" w:hAnsi="仿宋_GB2312" w:hint="eastAsia"/>
          <w:color w:val="000000"/>
          <w:kern w:val="0"/>
          <w:sz w:val="28"/>
          <w:szCs w:val="28"/>
        </w:rPr>
        <w:t>九、财政拨款三公经费支出决算情况说明</w:t>
      </w:r>
    </w:p>
    <w:p w14:paraId="33AC2FD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十、关于机关运行经费支出说明</w:t>
      </w:r>
    </w:p>
    <w:p w14:paraId="72A01001">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十一、一般性支出情况说明</w:t>
      </w:r>
    </w:p>
    <w:p w14:paraId="2D62608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sz w:val="28"/>
          <w:szCs w:val="28"/>
        </w:rPr>
        <w:t>十二、</w:t>
      </w:r>
      <w:r>
        <w:rPr>
          <w:rFonts w:ascii="仿宋_GB2312" w:cs="仿宋_GB2312" w:eastAsia="仿宋_GB2312" w:hAnsi="仿宋_GB2312" w:hint="eastAsia"/>
          <w:color w:val="000000"/>
          <w:kern w:val="0"/>
          <w:sz w:val="28"/>
          <w:szCs w:val="28"/>
        </w:rPr>
        <w:t>关于政府采购支出说明</w:t>
      </w:r>
    </w:p>
    <w:p w14:paraId="7131316D">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700" w:firstLineChars="250"/>
        <w:textAlignment w:val="auto"/>
        <w:rPr>
          <w:rFonts w:ascii="仿宋_GB2312" w:cs="仿宋_GB2312" w:eastAsia="仿宋_GB2312" w:hAnsi="仿宋_GB2312" w:hint="eastAsia"/>
          <w:color w:val="000000"/>
          <w:kern w:val="0"/>
          <w:sz w:val="28"/>
          <w:szCs w:val="28"/>
          <w:lang w:val="en-US" w:bidi="ar-SA" w:eastAsia="zh-CN"/>
        </w:rPr>
      </w:pPr>
      <w:r>
        <w:rPr>
          <w:rFonts w:ascii="仿宋_GB2312" w:cs="仿宋_GB2312" w:eastAsia="仿宋_GB2312" w:hAnsi="仿宋_GB2312" w:hint="eastAsia"/>
          <w:color w:val="000000"/>
          <w:kern w:val="0"/>
          <w:sz w:val="28"/>
          <w:szCs w:val="28"/>
          <w:lang w:val="en-US" w:bidi="ar-SA" w:eastAsia="zh-CN"/>
        </w:rPr>
        <w:t>十三、关于国有资产占用情况说明</w:t>
      </w:r>
    </w:p>
    <w:p w14:paraId="0704895F">
      <w:pPr>
        <w:pStyle w:val="style4099"/>
        <w:keepNext w:val="false"/>
        <w:keepLines w:val="false"/>
        <w:pageBreakBefore w:val="false"/>
        <w:widowControl w:val="false"/>
        <w:kinsoku/>
        <w:wordWrap/>
        <w:overflowPunct/>
        <w:topLinePunct w:val="false"/>
        <w:bidi w:val="false"/>
        <w:snapToGrid/>
        <w:spacing w:lineRule="exact" w:line="600"/>
        <w:ind w:firstLine="700" w:firstLineChars="250"/>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kern w:val="0"/>
          <w:sz w:val="28"/>
          <w:szCs w:val="28"/>
          <w:lang w:val="en-US" w:bidi="ar-SA" w:eastAsia="zh-CN"/>
        </w:rPr>
        <w:t>十四、</w:t>
      </w:r>
      <w:r>
        <w:rPr>
          <w:rFonts w:ascii="仿宋_GB2312" w:cs="仿宋_GB2312" w:eastAsia="仿宋_GB2312" w:hAnsi="仿宋_GB2312" w:hint="eastAsia"/>
          <w:sz w:val="28"/>
          <w:szCs w:val="28"/>
        </w:rPr>
        <w:t>关于</w:t>
      </w:r>
      <w:r>
        <w:rPr>
          <w:rFonts w:ascii="Times New Roman" w:cs="Times New Roman" w:eastAsia="仿宋_GB2312" w:hAnsi="Times New Roman" w:hint="default"/>
          <w:sz w:val="28"/>
          <w:szCs w:val="28"/>
        </w:rPr>
        <w:t>202</w:t>
      </w:r>
      <w:r>
        <w:rPr>
          <w:rFonts w:ascii="Times New Roman" w:cs="Times New Roman" w:eastAsia="仿宋_GB2312" w:hAnsi="Times New Roman" w:hint="default"/>
          <w:sz w:val="28"/>
          <w:szCs w:val="28"/>
          <w:lang w:val="en-US" w:eastAsia="zh-CN"/>
        </w:rPr>
        <w:t>3</w:t>
      </w:r>
      <w:r>
        <w:rPr>
          <w:rFonts w:ascii="仿宋_GB2312" w:cs="仿宋_GB2312" w:eastAsia="仿宋_GB2312" w:hAnsi="仿宋_GB2312" w:hint="eastAsia"/>
          <w:sz w:val="28"/>
          <w:szCs w:val="28"/>
        </w:rPr>
        <w:t>年度</w:t>
      </w:r>
      <w:r>
        <w:rPr>
          <w:rFonts w:ascii="仿宋_GB2312" w:cs="仿宋_GB2312" w:eastAsia="仿宋_GB2312" w:hAnsi="仿宋_GB2312" w:hint="eastAsia"/>
          <w:sz w:val="28"/>
          <w:szCs w:val="28"/>
          <w:lang w:eastAsia="zh-CN"/>
        </w:rPr>
        <w:t>预算</w:t>
      </w:r>
      <w:r>
        <w:rPr>
          <w:rFonts w:ascii="仿宋_GB2312" w:cs="仿宋_GB2312" w:eastAsia="仿宋_GB2312" w:hAnsi="仿宋_GB2312" w:hint="eastAsia"/>
          <w:sz w:val="28"/>
          <w:szCs w:val="28"/>
        </w:rPr>
        <w:t>绩效情况的说明</w:t>
      </w:r>
    </w:p>
    <w:p w14:paraId="67BE24A9">
      <w:pPr>
        <w:pStyle w:val="style4099"/>
        <w:keepNext w:val="false"/>
        <w:keepLines w:val="false"/>
        <w:pageBreakBefore w:val="false"/>
        <w:widowControl w:val="false"/>
        <w:kinsoku/>
        <w:wordWrap/>
        <w:overflowPunct/>
        <w:topLinePunct w:val="false"/>
        <w:bidi w:val="false"/>
        <w:snapToGrid/>
        <w:spacing w:lineRule="exact" w:line="600"/>
        <w:ind w:firstLine="560" w:firstLineChars="200"/>
        <w:textAlignment w:val="auto"/>
        <w:rPr>
          <w:rFonts w:ascii="黑体" w:cs="黑体" w:eastAsia="黑体" w:hAnsi="黑体" w:hint="eastAsia"/>
          <w:b w:val="false"/>
          <w:bCs/>
          <w:sz w:val="28"/>
          <w:szCs w:val="28"/>
        </w:rPr>
      </w:pPr>
      <w:r>
        <w:rPr>
          <w:rFonts w:ascii="黑体" w:cs="黑体" w:eastAsia="黑体" w:hAnsi="黑体" w:hint="eastAsia"/>
          <w:b w:val="false"/>
          <w:bCs/>
          <w:sz w:val="28"/>
          <w:szCs w:val="28"/>
        </w:rPr>
        <w:t>第四部分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名词解释</w:t>
      </w:r>
    </w:p>
    <w:p w14:paraId="286393B5">
      <w:pPr>
        <w:pStyle w:val="style4099"/>
        <w:keepNext w:val="false"/>
        <w:keepLines w:val="false"/>
        <w:pageBreakBefore w:val="false"/>
        <w:widowControl w:val="false"/>
        <w:kinsoku/>
        <w:wordWrap/>
        <w:overflowPunct/>
        <w:topLinePunct w:val="false"/>
        <w:bidi w:val="false"/>
        <w:snapToGrid/>
        <w:spacing w:lineRule="exact" w:line="600"/>
        <w:ind w:firstLine="560" w:firstLineChars="200"/>
        <w:textAlignment w:val="auto"/>
        <w:rPr>
          <w:rFonts w:ascii="黑体" w:cs="黑体" w:eastAsia="黑体" w:hAnsi="黑体" w:hint="eastAsia"/>
          <w:b w:val="false"/>
          <w:bCs/>
          <w:sz w:val="28"/>
          <w:szCs w:val="28"/>
          <w:lang w:eastAsia="zh-CN"/>
        </w:rPr>
      </w:pPr>
      <w:r>
        <w:rPr>
          <w:rFonts w:ascii="黑体" w:cs="黑体" w:eastAsia="黑体" w:hAnsi="黑体" w:hint="eastAsia"/>
          <w:b w:val="false"/>
          <w:bCs/>
          <w:sz w:val="28"/>
          <w:szCs w:val="28"/>
        </w:rPr>
        <w:t>第</w:t>
      </w:r>
      <w:r>
        <w:rPr>
          <w:rFonts w:cs="黑体" w:hAnsi="黑体" w:hint="eastAsia"/>
          <w:b w:val="false"/>
          <w:bCs/>
          <w:sz w:val="28"/>
          <w:szCs w:val="28"/>
          <w:lang w:eastAsia="zh-CN"/>
        </w:rPr>
        <w:t>五</w:t>
      </w:r>
      <w:r>
        <w:rPr>
          <w:rFonts w:ascii="黑体" w:cs="黑体" w:eastAsia="黑体" w:hAnsi="黑体" w:hint="eastAsia"/>
          <w:b w:val="false"/>
          <w:bCs/>
          <w:sz w:val="28"/>
          <w:szCs w:val="28"/>
        </w:rPr>
        <w:t>部分</w:t>
      </w:r>
      <w:r>
        <w:rPr>
          <w:rFonts w:ascii="黑体" w:cs="黑体" w:eastAsia="黑体" w:hAnsi="黑体" w:hint="eastAsia"/>
          <w:b w:val="false"/>
          <w:bCs/>
          <w:sz w:val="28"/>
          <w:szCs w:val="28"/>
          <w:lang w:val="en-US" w:eastAsia="zh-CN"/>
        </w:rPr>
        <w:t xml:space="preserve"> </w:t>
      </w:r>
      <w:r>
        <w:rPr>
          <w:rFonts w:cs="黑体" w:hAnsi="黑体" w:hint="eastAsia"/>
          <w:b w:val="false"/>
          <w:bCs/>
          <w:sz w:val="28"/>
          <w:szCs w:val="28"/>
          <w:lang w:eastAsia="zh-CN"/>
        </w:rPr>
        <w:t>附件</w:t>
      </w:r>
    </w:p>
    <w:p w14:paraId="070AF8C6">
      <w:pPr>
        <w:pStyle w:val="style4099"/>
        <w:jc w:val="center"/>
        <w:rPr>
          <w:rFonts w:ascii="方正小标宋_GBK" w:cs="方正小标宋_GBK" w:eastAsia="方正小标宋_GBK" w:hAnsi="方正小标宋_GBK" w:hint="eastAsia"/>
          <w:sz w:val="84"/>
          <w:szCs w:val="84"/>
        </w:rPr>
      </w:pPr>
    </w:p>
    <w:p w14:paraId="2808B393">
      <w:pPr>
        <w:pStyle w:val="style4099"/>
        <w:jc w:val="center"/>
        <w:rPr>
          <w:rFonts w:ascii="方正小标宋_GBK" w:cs="方正小标宋_GBK" w:eastAsia="方正小标宋_GBK" w:hAnsi="方正小标宋_GBK" w:hint="eastAsia"/>
          <w:sz w:val="84"/>
          <w:szCs w:val="84"/>
        </w:rPr>
      </w:pPr>
    </w:p>
    <w:p w14:paraId="0866BF61">
      <w:pPr>
        <w:pStyle w:val="style4099"/>
        <w:jc w:val="center"/>
        <w:rPr>
          <w:rFonts w:ascii="方正小标宋_GBK" w:cs="方正小标宋_GBK" w:eastAsia="方正小标宋_GBK" w:hAnsi="方正小标宋_GBK" w:hint="eastAsia"/>
          <w:sz w:val="84"/>
          <w:szCs w:val="84"/>
        </w:rPr>
      </w:pPr>
    </w:p>
    <w:p w14:paraId="493574E3">
      <w:pPr>
        <w:pStyle w:val="style4099"/>
        <w:jc w:val="center"/>
        <w:rPr>
          <w:rFonts w:ascii="方正小标宋_GBK" w:cs="方正小标宋_GBK" w:eastAsia="方正小标宋_GBK" w:hAnsi="方正小标宋_GBK" w:hint="eastAsia"/>
          <w:sz w:val="84"/>
          <w:szCs w:val="84"/>
        </w:rPr>
      </w:pPr>
    </w:p>
    <w:p w14:paraId="270CF1FE">
      <w:pPr>
        <w:pStyle w:val="style4099"/>
        <w:jc w:val="center"/>
        <w:rPr>
          <w:rFonts w:ascii="方正小标宋_GBK" w:cs="方正小标宋_GBK" w:eastAsia="方正小标宋_GBK" w:hAnsi="方正小标宋_GBK" w:hint="eastAsia"/>
          <w:sz w:val="84"/>
          <w:szCs w:val="84"/>
        </w:rPr>
      </w:pPr>
    </w:p>
    <w:p w14:paraId="21A1E29F">
      <w:pPr>
        <w:pStyle w:val="style4099"/>
        <w:jc w:val="center"/>
        <w:rPr>
          <w:rFonts w:ascii="方正小标宋_GBK" w:cs="方正小标宋_GBK" w:eastAsia="方正小标宋_GBK" w:hAnsi="方正小标宋_GBK" w:hint="eastAsia"/>
          <w:sz w:val="84"/>
          <w:szCs w:val="84"/>
        </w:rPr>
      </w:pPr>
    </w:p>
    <w:p w14:paraId="47334CC4">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 xml:space="preserve">第一部分 </w:t>
      </w:r>
    </w:p>
    <w:p w14:paraId="3C55295F">
      <w:pPr>
        <w:pStyle w:val="style4099"/>
        <w:jc w:val="center"/>
        <w:rPr>
          <w:rFonts w:ascii="方正小标宋_GBK" w:cs="方正小标宋_GBK" w:eastAsia="方正小标宋_GBK" w:hAnsi="方正小标宋_GBK" w:hint="eastAsia"/>
          <w:sz w:val="84"/>
          <w:szCs w:val="84"/>
        </w:rPr>
      </w:pPr>
    </w:p>
    <w:p w14:paraId="05E8FF94">
      <w:pPr>
        <w:pStyle w:val="style0"/>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lang w:eastAsia="zh-CN"/>
        </w:rPr>
        <w:t>岳阳市统计局部门</w:t>
      </w:r>
      <w:r>
        <w:rPr>
          <w:rFonts w:ascii="方正小标宋_GBK" w:cs="方正小标宋_GBK" w:eastAsia="方正小标宋_GBK" w:hAnsi="方正小标宋_GBK" w:hint="eastAsia"/>
          <w:sz w:val="84"/>
          <w:szCs w:val="84"/>
        </w:rPr>
        <w:t>概况</w:t>
      </w:r>
    </w:p>
    <w:p w14:paraId="626CC42D">
      <w:pPr>
        <w:pStyle w:val="style29"/>
        <w:rPr>
          <w:rFonts w:ascii="方正小标宋_GBK" w:cs="方正小标宋_GBK" w:eastAsia="方正小标宋_GBK" w:hAnsi="方正小标宋_GBK" w:hint="eastAsia"/>
          <w:sz w:val="84"/>
          <w:szCs w:val="84"/>
        </w:rPr>
      </w:pPr>
    </w:p>
    <w:p w14:paraId="4FF82465">
      <w:pPr>
        <w:pStyle w:val="style78"/>
        <w:rPr>
          <w:rFonts w:ascii="方正小标宋_GBK" w:cs="方正小标宋_GBK" w:eastAsia="方正小标宋_GBK" w:hAnsi="方正小标宋_GBK" w:hint="eastAsia"/>
          <w:sz w:val="84"/>
          <w:szCs w:val="84"/>
        </w:rPr>
      </w:pPr>
    </w:p>
    <w:p w14:paraId="72D37485">
      <w:pPr>
        <w:pStyle w:val="style0"/>
        <w:rPr>
          <w:rFonts w:ascii="方正小标宋_GBK" w:cs="方正小标宋_GBK" w:eastAsia="方正小标宋_GBK" w:hAnsi="方正小标宋_GBK" w:hint="eastAsia"/>
          <w:sz w:val="84"/>
          <w:szCs w:val="84"/>
        </w:rPr>
      </w:pPr>
    </w:p>
    <w:p w14:paraId="30485703">
      <w:pPr>
        <w:pStyle w:val="style29"/>
        <w:rPr>
          <w:rFonts w:ascii="方正小标宋_GBK" w:cs="方正小标宋_GBK" w:eastAsia="方正小标宋_GBK" w:hAnsi="方正小标宋_GBK" w:hint="eastAsia"/>
          <w:sz w:val="84"/>
          <w:szCs w:val="84"/>
        </w:rPr>
      </w:pPr>
    </w:p>
    <w:p w14:paraId="167AC9B4">
      <w:pPr>
        <w:pStyle w:val="style78"/>
        <w:rPr>
          <w:rFonts w:ascii="方正小标宋_GBK" w:cs="方正小标宋_GBK" w:eastAsia="方正小标宋_GBK" w:hAnsi="方正小标宋_GBK" w:hint="eastAsia"/>
          <w:sz w:val="84"/>
          <w:szCs w:val="84"/>
        </w:rPr>
      </w:pPr>
    </w:p>
    <w:p w14:paraId="1CC4A3AC">
      <w:pPr>
        <w:pStyle w:val="style179"/>
        <w:numPr>
          <w:ilvl w:val="0"/>
          <w:numId w:val="0"/>
        </w:numPr>
        <w:ind w:leftChars="0" w:firstLine="640" w:firstLineChars="200"/>
        <w:jc w:val="left"/>
        <w:rPr>
          <w:rFonts w:ascii="黑体" w:cs="黑体" w:eastAsia="黑体" w:hAnsi="黑体" w:hint="eastAsia"/>
          <w:b w:val="false"/>
          <w:bCs w:val="false"/>
          <w:sz w:val="32"/>
          <w:szCs w:val="32"/>
        </w:rPr>
      </w:pPr>
      <w:r>
        <w:rPr>
          <w:rFonts w:ascii="黑体" w:cs="黑体" w:eastAsia="黑体" w:hAnsi="黑体" w:hint="eastAsia"/>
          <w:b w:val="false"/>
          <w:bCs w:val="false"/>
          <w:sz w:val="32"/>
          <w:szCs w:val="32"/>
          <w:lang w:eastAsia="zh-CN"/>
        </w:rPr>
        <w:t>一、</w:t>
      </w:r>
      <w:r>
        <w:rPr>
          <w:rFonts w:ascii="黑体" w:cs="黑体" w:eastAsia="黑体" w:hAnsi="黑体" w:hint="eastAsia"/>
          <w:b w:val="false"/>
          <w:bCs w:val="false"/>
          <w:sz w:val="32"/>
          <w:szCs w:val="32"/>
        </w:rPr>
        <w:t>部门职责</w:t>
      </w:r>
    </w:p>
    <w:p w14:paraId="122D56FD">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（一）贯彻执行国家、省统计工作的方针、政策和统计法律、法规，完成国家、省统计调查任务;检查监督统计法规的实施情况，查处各类统计违法行为。</w:t>
      </w:r>
    </w:p>
    <w:p w14:paraId="7A446A5A">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（二）制定并组织实施全市统计改革和统计现代化建设规划及统计调查计划;建立健全全市国民经济核算体系和统计指标体系。</w:t>
      </w:r>
    </w:p>
    <w:p w14:paraId="3A57BCA5">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三）指导和协调全市统计业务工作，组织开展全市有关专项调查；审核市直各有关部门的统计调查计划及其调查方案；根据国务院及省人民政府的统一部署，组织实施全市人口普查、经济普查、农业普查等重大国情国力普查，汇总、整理和提供有关市情市力方面的基础统计数据。</w:t>
      </w:r>
    </w:p>
    <w:p w14:paraId="6A6A910C">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四）为市委、市人民政府制订政策、编制国民经济和社会发展规划提供统计资料，并对全市国民经济、科技进步和社会发展等情况进行统计分析、统计预测、统计检查和监督，向市委、市人民政府及其有关部门提供统计信息和咨询建议。</w:t>
      </w:r>
    </w:p>
    <w:p w14:paraId="72107FC5">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（五）统一核定、管理、公布全市经济、社会、科技的基本统计资料，定期发布全市国民经济和社会发展情况统计公报以及有关普查和专项调查公报;发布社会经济统计信息。</w:t>
      </w:r>
    </w:p>
    <w:p w14:paraId="7FFDEE20">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（六）建立健全和管理全市统计信息自动化系统和统计数据库体系;指导各基层单位加强统计基础建设。</w:t>
      </w:r>
    </w:p>
    <w:p w14:paraId="6EF9694C">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（七）协助有关部门承办全市统计技术资格考试和职称评审有关工作;组织指导全市统计科研、统计教育、统计宣传工作。</w:t>
      </w:r>
    </w:p>
    <w:p w14:paraId="39310939">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（八）负责统一管理全市民情民意调查工作；做好调查方案的设计工作，组织好每一项调查任务的完成，并写出调查分析报告。</w:t>
      </w:r>
    </w:p>
    <w:p w14:paraId="0F2BF5C9">
      <w:pPr>
        <w:pStyle w:val="style0"/>
        <w:widowControl/>
        <w:spacing w:lineRule="exact" w:line="600"/>
        <w:ind w:firstLine="640" w:firstLineChars="200"/>
        <w:rPr>
          <w:rFonts w:ascii="宋体" w:hAnsi="宋体" w:hint="eastAsia"/>
          <w:bCs/>
          <w:kern w:val="0"/>
          <w:sz w:val="32"/>
          <w:szCs w:val="32"/>
        </w:rPr>
      </w:pPr>
      <w:r>
        <w:rPr>
          <w:rFonts w:ascii="Times New Roman" w:cs="仿宋_GB2312" w:eastAsia="仿宋_GB2312" w:hAnsi="Times New Roman" w:hint="eastAsia"/>
          <w:bCs/>
          <w:kern w:val="0"/>
          <w:sz w:val="32"/>
          <w:szCs w:val="32"/>
        </w:rPr>
        <w:t>（九）承办市委、市人民政府和上级主管部门交办的其他事项。</w:t>
      </w:r>
    </w:p>
    <w:p w14:paraId="7CEEE2D7">
      <w:pPr>
        <w:pStyle w:val="style0"/>
        <w:widowControl/>
        <w:spacing w:lineRule="exact" w:line="600"/>
        <w:ind w:firstLine="640" w:firstLineChars="200"/>
        <w:rPr>
          <w:rFonts w:ascii="黑体" w:cs="黑体" w:eastAsia="黑体" w:hAnsi="黑体" w:hint="eastAsia"/>
          <w:b w:val="false"/>
          <w:bCs/>
          <w:kern w:val="0"/>
          <w:sz w:val="32"/>
          <w:szCs w:val="32"/>
        </w:rPr>
      </w:pPr>
      <w:r>
        <w:rPr>
          <w:rFonts w:ascii="黑体" w:cs="黑体" w:eastAsia="黑体" w:hAnsi="黑体" w:hint="eastAsia"/>
          <w:b w:val="false"/>
          <w:bCs/>
          <w:kern w:val="0"/>
          <w:sz w:val="32"/>
          <w:szCs w:val="32"/>
        </w:rPr>
        <w:t>二、机构设置及决算单位构成</w:t>
      </w:r>
    </w:p>
    <w:p w14:paraId="7AF1DC45">
      <w:pPr>
        <w:pStyle w:val="style0"/>
        <w:widowControl/>
        <w:spacing w:lineRule="exact" w:line="600"/>
        <w:ind w:firstLine="640" w:firstLineChars="200"/>
        <w:rPr>
          <w:rFonts w:ascii="Times New Roman" w:cs="仿宋_GB2312" w:eastAsia="仿宋_GB2312" w:hAnsi="Times New Roman" w:hint="eastAsia"/>
          <w:bCs/>
          <w:kern w:val="0"/>
          <w:sz w:val="32"/>
          <w:szCs w:val="32"/>
        </w:rPr>
      </w:pPr>
      <w:r>
        <w:rPr>
          <w:rFonts w:ascii="Times New Roman" w:cs="仿宋_GB2312" w:eastAsia="仿宋_GB2312" w:hAnsi="Times New Roman" w:hint="eastAsia"/>
          <w:bCs/>
          <w:kern w:val="0"/>
          <w:sz w:val="32"/>
          <w:szCs w:val="32"/>
        </w:rPr>
        <w:t>（一）内设机构设置。岳阳市统计局</w:t>
      </w:r>
      <w:r>
        <w:rPr>
          <w:rFonts w:ascii="Times New Roman" w:cs="仿宋_GB2312" w:eastAsia="仿宋_GB2312" w:hAnsi="Times New Roman" w:hint="eastAsia"/>
          <w:bCs/>
          <w:kern w:val="0"/>
          <w:sz w:val="32"/>
          <w:szCs w:val="32"/>
          <w:lang w:eastAsia="zh-CN"/>
        </w:rPr>
        <w:t>单位</w:t>
      </w:r>
      <w:r>
        <w:rPr>
          <w:rFonts w:ascii="Times New Roman" w:cs="仿宋_GB2312" w:eastAsia="仿宋_GB2312" w:hAnsi="Times New Roman" w:hint="eastAsia"/>
          <w:bCs/>
          <w:kern w:val="0"/>
          <w:sz w:val="32"/>
          <w:szCs w:val="32"/>
        </w:rPr>
        <w:t>内设机构包括：办公室、统计执法监督科（岳阳市统计执法监督局）、综合统计与经济研究室、国民经济核算</w:t>
      </w:r>
      <w:r>
        <w:rPr>
          <w:rFonts w:ascii="Times New Roman" w:cs="仿宋_GB2312" w:eastAsia="仿宋_GB2312" w:hAnsi="Times New Roman" w:hint="eastAsia"/>
          <w:bCs/>
          <w:kern w:val="0"/>
          <w:sz w:val="32"/>
          <w:szCs w:val="32"/>
          <w:lang w:eastAsia="zh-CN"/>
        </w:rPr>
        <w:t>统计</w:t>
      </w:r>
      <w:r>
        <w:rPr>
          <w:rFonts w:ascii="Times New Roman" w:cs="仿宋_GB2312" w:eastAsia="仿宋_GB2312" w:hAnsi="Times New Roman" w:hint="eastAsia"/>
          <w:bCs/>
          <w:kern w:val="0"/>
          <w:sz w:val="32"/>
          <w:szCs w:val="32"/>
        </w:rPr>
        <w:t>科、工业统计科、能源统计科、投资贸易外经统计科、人口和就业统计科（社会和科技统计科）、服务业统计调查科、普查科、人事科；下设二级机构包括：市统计信息处理中心、市农村抽样调查队、市统计局民意调查中心。</w:t>
      </w:r>
    </w:p>
    <w:p w14:paraId="2B012817">
      <w:pPr>
        <w:pStyle w:val="style0"/>
        <w:widowControl/>
        <w:spacing w:lineRule="exact" w:line="600"/>
        <w:ind w:firstLine="640" w:firstLineChars="200"/>
        <w:rPr>
          <w:rFonts w:ascii="Times New Roman" w:cs="仿宋_GB2312" w:eastAsia="仿宋_GB2312" w:hAnsi="Times New Roman" w:hint="eastAsia"/>
          <w:bCs/>
          <w:kern w:val="0"/>
          <w:sz w:val="32"/>
          <w:szCs w:val="32"/>
          <w:lang w:eastAsia="zh-CN"/>
        </w:rPr>
      </w:pPr>
      <w:r>
        <w:rPr>
          <w:rFonts w:ascii="Times New Roman" w:cs="仿宋_GB2312" w:eastAsia="仿宋_GB2312" w:hAnsi="Times New Roman" w:hint="eastAsia"/>
          <w:bCs/>
          <w:kern w:val="0"/>
          <w:sz w:val="32"/>
          <w:szCs w:val="32"/>
        </w:rPr>
        <w:t>（二）决算单位构成。本单位无独立核算的下属单位，2023年度部门决算汇总公开单位仅包括</w:t>
      </w:r>
      <w:r>
        <w:rPr>
          <w:rFonts w:ascii="Times New Roman" w:cs="仿宋_GB2312" w:eastAsia="仿宋_GB2312" w:hAnsi="Times New Roman" w:hint="eastAsia"/>
          <w:bCs/>
          <w:kern w:val="0"/>
          <w:sz w:val="32"/>
          <w:szCs w:val="32"/>
          <w:lang w:eastAsia="zh-CN"/>
        </w:rPr>
        <w:t>岳阳市统计局</w:t>
      </w:r>
      <w:r>
        <w:rPr>
          <w:rFonts w:ascii="Times New Roman" w:cs="仿宋_GB2312" w:eastAsia="仿宋_GB2312" w:hAnsi="Times New Roman" w:hint="eastAsia"/>
          <w:bCs/>
          <w:kern w:val="0"/>
          <w:sz w:val="32"/>
          <w:szCs w:val="32"/>
        </w:rPr>
        <w:t>本级</w:t>
      </w:r>
      <w:r>
        <w:rPr>
          <w:rFonts w:ascii="Times New Roman" w:cs="仿宋_GB2312" w:eastAsia="仿宋_GB2312" w:hAnsi="Times New Roman" w:hint="eastAsia"/>
          <w:bCs/>
          <w:kern w:val="0"/>
          <w:sz w:val="32"/>
          <w:szCs w:val="32"/>
          <w:lang w:eastAsia="zh-CN"/>
        </w:rPr>
        <w:t>。</w:t>
      </w:r>
    </w:p>
    <w:p w14:paraId="04A9D859">
      <w:pPr>
        <w:pStyle w:val="style0"/>
        <w:rPr/>
      </w:pPr>
    </w:p>
    <w:p w14:paraId="08E522FB">
      <w:pPr>
        <w:pStyle w:val="style29"/>
        <w:rPr/>
      </w:pPr>
    </w:p>
    <w:p w14:paraId="33FFF665">
      <w:pPr>
        <w:pStyle w:val="style78"/>
        <w:rPr/>
      </w:pPr>
    </w:p>
    <w:p w14:paraId="294A208E">
      <w:pPr>
        <w:pStyle w:val="style0"/>
        <w:rPr/>
      </w:pPr>
    </w:p>
    <w:p w14:paraId="6F4F9FE2">
      <w:pPr>
        <w:pStyle w:val="style29"/>
        <w:rPr/>
      </w:pPr>
    </w:p>
    <w:p w14:paraId="5403E47D">
      <w:pPr>
        <w:pStyle w:val="style78"/>
        <w:rPr/>
      </w:pPr>
    </w:p>
    <w:p w14:paraId="2733F99F">
      <w:pPr>
        <w:pStyle w:val="style0"/>
        <w:rPr/>
      </w:pPr>
    </w:p>
    <w:p w14:paraId="57ED67CA">
      <w:pPr>
        <w:pStyle w:val="style29"/>
        <w:rPr/>
      </w:pPr>
    </w:p>
    <w:p w14:paraId="1B849E43">
      <w:pPr>
        <w:pStyle w:val="style78"/>
        <w:rPr/>
      </w:pPr>
    </w:p>
    <w:p w14:paraId="0871D5BF">
      <w:pPr>
        <w:pStyle w:val="style0"/>
        <w:rPr/>
      </w:pPr>
    </w:p>
    <w:p w14:paraId="3221CD16">
      <w:pPr>
        <w:pStyle w:val="style29"/>
        <w:rPr/>
      </w:pPr>
    </w:p>
    <w:p w14:paraId="78914FB8">
      <w:pPr>
        <w:pStyle w:val="style78"/>
        <w:rPr/>
      </w:pPr>
    </w:p>
    <w:p w14:paraId="31E45AD5">
      <w:pPr>
        <w:pStyle w:val="style0"/>
        <w:rPr/>
      </w:pPr>
    </w:p>
    <w:p w14:paraId="0C396744">
      <w:pPr>
        <w:pStyle w:val="style29"/>
        <w:rPr/>
      </w:pPr>
    </w:p>
    <w:p w14:paraId="5393B855">
      <w:pPr>
        <w:pStyle w:val="style78"/>
        <w:rPr/>
      </w:pPr>
    </w:p>
    <w:p w14:paraId="0E4A9BF0">
      <w:pPr>
        <w:pStyle w:val="style4099"/>
        <w:jc w:val="both"/>
        <w:rPr>
          <w:rFonts w:ascii="方正小标宋_GBK" w:cs="方正小标宋_GBK" w:eastAsia="方正小标宋_GBK" w:hAnsi="方正小标宋_GBK" w:hint="eastAsia"/>
          <w:sz w:val="84"/>
          <w:szCs w:val="84"/>
        </w:rPr>
      </w:pPr>
    </w:p>
    <w:p w14:paraId="163EAAE8">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第二部分</w:t>
      </w:r>
    </w:p>
    <w:p w14:paraId="4195CC2C">
      <w:pPr>
        <w:pStyle w:val="style4099"/>
        <w:jc w:val="center"/>
        <w:rPr>
          <w:rFonts w:ascii="方正小标宋_GBK" w:cs="方正小标宋_GBK" w:eastAsia="方正小标宋_GBK" w:hAnsi="方正小标宋_GBK" w:hint="eastAsia"/>
          <w:sz w:val="84"/>
          <w:szCs w:val="84"/>
          <w:lang w:eastAsia="zh-CN"/>
        </w:rPr>
      </w:pPr>
    </w:p>
    <w:p w14:paraId="5970CA73">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部门决算表</w:t>
      </w:r>
    </w:p>
    <w:p w14:paraId="56FDC591">
      <w:pPr>
        <w:pStyle w:val="style4099"/>
        <w:jc w:val="center"/>
        <w:rPr>
          <w:rFonts w:ascii="楷体" w:cs="楷体" w:eastAsia="楷体" w:hAnsi="楷体" w:hint="eastAsia"/>
          <w:b w:val="false"/>
          <w:bCs w:val="false"/>
          <w:sz w:val="44"/>
          <w:szCs w:val="44"/>
          <w:lang w:eastAsia="zh-CN"/>
        </w:rPr>
      </w:pPr>
      <w:r>
        <w:rPr>
          <w:rFonts w:ascii="楷体" w:cs="楷体" w:eastAsia="楷体" w:hAnsi="楷体" w:hint="eastAsia"/>
          <w:b w:val="false"/>
          <w:bCs w:val="false"/>
          <w:sz w:val="44"/>
          <w:szCs w:val="44"/>
          <w:lang w:eastAsia="zh-CN"/>
        </w:rPr>
        <w:t>（见附件）</w:t>
      </w:r>
    </w:p>
    <w:p w14:paraId="0B2631F2">
      <w:pPr>
        <w:pStyle w:val="style4099"/>
        <w:jc w:val="center"/>
        <w:rPr>
          <w:rFonts w:ascii="仿宋_GB2312" w:cs="仿宋_GB2312" w:eastAsia="仿宋_GB2312" w:hAnsi="仿宋_GB2312" w:hint="eastAsia"/>
          <w:b w:val="false"/>
          <w:bCs w:val="false"/>
          <w:sz w:val="72"/>
          <w:szCs w:val="72"/>
          <w:lang w:eastAsia="zh-CN"/>
        </w:rPr>
      </w:pPr>
    </w:p>
    <w:p w14:paraId="12911C3B">
      <w:pPr>
        <w:pStyle w:val="style4099"/>
        <w:jc w:val="center"/>
        <w:rPr>
          <w:rFonts w:ascii="仿宋_GB2312" w:cs="仿宋_GB2312" w:eastAsia="仿宋_GB2312" w:hAnsi="仿宋_GB2312" w:hint="eastAsia"/>
          <w:b w:val="false"/>
          <w:bCs w:val="false"/>
          <w:sz w:val="72"/>
          <w:szCs w:val="72"/>
          <w:lang w:eastAsia="zh-CN"/>
        </w:rPr>
      </w:pPr>
    </w:p>
    <w:p w14:paraId="1FD8E79F">
      <w:pPr>
        <w:pStyle w:val="style4099"/>
        <w:jc w:val="center"/>
        <w:rPr>
          <w:rFonts w:ascii="仿宋_GB2312" w:cs="仿宋_GB2312" w:eastAsia="仿宋_GB2312" w:hAnsi="仿宋_GB2312" w:hint="eastAsia"/>
          <w:b w:val="false"/>
          <w:bCs w:val="false"/>
          <w:sz w:val="72"/>
          <w:szCs w:val="72"/>
          <w:lang w:eastAsia="zh-CN"/>
        </w:rPr>
      </w:pPr>
    </w:p>
    <w:p w14:paraId="10BCA180">
      <w:pPr>
        <w:pStyle w:val="style4099"/>
        <w:jc w:val="center"/>
        <w:rPr>
          <w:rFonts w:ascii="仿宋_GB2312" w:cs="仿宋_GB2312" w:eastAsia="仿宋_GB2312" w:hAnsi="仿宋_GB2312" w:hint="eastAsia"/>
          <w:b w:val="false"/>
          <w:bCs w:val="false"/>
          <w:sz w:val="72"/>
          <w:szCs w:val="72"/>
          <w:lang w:eastAsia="zh-CN"/>
        </w:rPr>
      </w:pPr>
    </w:p>
    <w:p w14:paraId="34F09387">
      <w:pPr>
        <w:pStyle w:val="style4099"/>
        <w:jc w:val="center"/>
        <w:rPr>
          <w:rFonts w:ascii="仿宋_GB2312" w:cs="仿宋_GB2312" w:eastAsia="仿宋_GB2312" w:hAnsi="仿宋_GB2312" w:hint="eastAsia"/>
          <w:b w:val="false"/>
          <w:bCs w:val="false"/>
          <w:sz w:val="72"/>
          <w:szCs w:val="72"/>
          <w:lang w:eastAsia="zh-CN"/>
        </w:rPr>
      </w:pPr>
    </w:p>
    <w:p w14:paraId="7898BB72">
      <w:pPr>
        <w:pStyle w:val="style4099"/>
        <w:jc w:val="center"/>
        <w:rPr>
          <w:rFonts w:ascii="仿宋_GB2312" w:cs="仿宋_GB2312" w:eastAsia="仿宋_GB2312" w:hAnsi="仿宋_GB2312" w:hint="eastAsia"/>
          <w:b w:val="false"/>
          <w:bCs w:val="false"/>
          <w:sz w:val="72"/>
          <w:szCs w:val="72"/>
          <w:lang w:eastAsia="zh-CN"/>
        </w:rPr>
      </w:pPr>
    </w:p>
    <w:p w14:paraId="53D779A2">
      <w:pPr>
        <w:pStyle w:val="style4099"/>
        <w:jc w:val="center"/>
        <w:rPr>
          <w:rFonts w:ascii="仿宋_GB2312" w:cs="仿宋_GB2312" w:eastAsia="仿宋_GB2312" w:hAnsi="仿宋_GB2312" w:hint="eastAsia"/>
          <w:b w:val="false"/>
          <w:bCs w:val="false"/>
          <w:sz w:val="72"/>
          <w:szCs w:val="72"/>
          <w:lang w:eastAsia="zh-CN"/>
        </w:rPr>
      </w:pPr>
    </w:p>
    <w:p w14:paraId="07F8FA86">
      <w:pPr>
        <w:pStyle w:val="style4099"/>
        <w:jc w:val="center"/>
        <w:rPr>
          <w:rFonts w:ascii="方正小标宋_GBK" w:cs="方正小标宋_GBK" w:eastAsia="方正小标宋_GBK" w:hAnsi="方正小标宋_GBK" w:hint="eastAsia"/>
          <w:sz w:val="72"/>
          <w:szCs w:val="72"/>
        </w:rPr>
      </w:pPr>
    </w:p>
    <w:p w14:paraId="474D8639">
      <w:pPr>
        <w:pStyle w:val="style4099"/>
        <w:jc w:val="both"/>
        <w:rPr>
          <w:rFonts w:ascii="方正小标宋_GBK" w:cs="方正小标宋_GBK" w:eastAsia="方正小标宋_GBK" w:hAnsi="方正小标宋_GBK" w:hint="eastAsia"/>
          <w:sz w:val="72"/>
          <w:szCs w:val="72"/>
        </w:rPr>
      </w:pPr>
    </w:p>
    <w:p w14:paraId="05683F94">
      <w:pPr>
        <w:pStyle w:val="style4099"/>
        <w:jc w:val="center"/>
        <w:rPr>
          <w:rFonts w:ascii="方正小标宋_GBK" w:cs="方正小标宋_GBK" w:eastAsia="方正小标宋_GBK" w:hAnsi="方正小标宋_GBK" w:hint="eastAsia"/>
          <w:sz w:val="72"/>
          <w:szCs w:val="72"/>
        </w:rPr>
      </w:pPr>
      <w:r>
        <w:rPr>
          <w:rFonts w:ascii="方正小标宋_GBK" w:cs="方正小标宋_GBK" w:eastAsia="方正小标宋_GBK" w:hAnsi="方正小标宋_GBK" w:hint="eastAsia"/>
          <w:sz w:val="72"/>
          <w:szCs w:val="72"/>
        </w:rPr>
        <w:t>第三部分</w:t>
      </w:r>
    </w:p>
    <w:p w14:paraId="0D36C3E8">
      <w:pPr>
        <w:pStyle w:val="style4099"/>
        <w:jc w:val="center"/>
        <w:rPr>
          <w:rFonts w:ascii="方正小标宋_GBK" w:cs="方正小标宋_GBK" w:eastAsia="方正小标宋_GBK" w:hAnsi="方正小标宋_GBK" w:hint="eastAsia"/>
          <w:sz w:val="70"/>
          <w:szCs w:val="70"/>
        </w:rPr>
      </w:pPr>
    </w:p>
    <w:p w14:paraId="17C09CA2">
      <w:pPr>
        <w:pStyle w:val="style4099"/>
        <w:jc w:val="center"/>
        <w:rPr>
          <w:rFonts w:ascii="方正小标宋_GBK" w:cs="方正小标宋_GBK" w:eastAsia="方正小标宋_GBK" w:hAnsi="方正小标宋_GBK" w:hint="eastAsia"/>
          <w:sz w:val="70"/>
          <w:szCs w:val="70"/>
        </w:rPr>
      </w:pPr>
      <w:r>
        <w:rPr>
          <w:rFonts w:ascii="方正小标宋_GBK" w:cs="方正小标宋_GBK" w:eastAsia="方正小标宋_GBK" w:hAnsi="方正小标宋_GBK" w:hint="eastAsia"/>
          <w:sz w:val="70"/>
          <w:szCs w:val="70"/>
        </w:rPr>
        <w:t>202</w:t>
      </w:r>
      <w:r>
        <w:rPr>
          <w:rFonts w:ascii="方正小标宋_GBK" w:cs="方正小标宋_GBK" w:eastAsia="方正小标宋_GBK" w:hAnsi="方正小标宋_GBK" w:hint="eastAsia"/>
          <w:sz w:val="70"/>
          <w:szCs w:val="70"/>
          <w:lang w:val="en-US" w:eastAsia="zh-CN"/>
        </w:rPr>
        <w:t>3</w:t>
      </w:r>
      <w:r>
        <w:rPr>
          <w:rFonts w:ascii="方正小标宋_GBK" w:cs="方正小标宋_GBK" w:eastAsia="方正小标宋_GBK" w:hAnsi="方正小标宋_GBK" w:hint="eastAsia"/>
          <w:sz w:val="70"/>
          <w:szCs w:val="70"/>
        </w:rPr>
        <w:t>年度部门决算情况说明</w:t>
      </w:r>
    </w:p>
    <w:p w14:paraId="4293390F">
      <w:pPr>
        <w:pStyle w:val="style4099"/>
        <w:jc w:val="center"/>
        <w:rPr>
          <w:rFonts w:ascii="方正小标宋_GBK" w:cs="方正小标宋_GBK" w:eastAsia="方正小标宋_GBK" w:hAnsi="方正小标宋_GBK" w:hint="eastAsia"/>
          <w:sz w:val="70"/>
          <w:szCs w:val="70"/>
        </w:rPr>
      </w:pPr>
    </w:p>
    <w:p w14:paraId="50D24689">
      <w:pPr>
        <w:pStyle w:val="style4099"/>
        <w:jc w:val="center"/>
        <w:rPr>
          <w:rFonts w:ascii="方正小标宋_GBK" w:cs="方正小标宋_GBK" w:eastAsia="方正小标宋_GBK" w:hAnsi="方正小标宋_GBK" w:hint="eastAsia"/>
          <w:sz w:val="70"/>
          <w:szCs w:val="70"/>
        </w:rPr>
      </w:pPr>
    </w:p>
    <w:p w14:paraId="66D507D7">
      <w:pPr>
        <w:pStyle w:val="style4099"/>
        <w:jc w:val="center"/>
        <w:rPr>
          <w:rFonts w:ascii="方正小标宋_GBK" w:cs="方正小标宋_GBK" w:eastAsia="方正小标宋_GBK" w:hAnsi="方正小标宋_GBK" w:hint="eastAsia"/>
          <w:sz w:val="70"/>
          <w:szCs w:val="70"/>
        </w:rPr>
      </w:pPr>
    </w:p>
    <w:p w14:paraId="64B45AAA">
      <w:pPr>
        <w:pStyle w:val="style4099"/>
        <w:jc w:val="center"/>
        <w:rPr>
          <w:rFonts w:ascii="方正小标宋_GBK" w:cs="方正小标宋_GBK" w:eastAsia="方正小标宋_GBK" w:hAnsi="方正小标宋_GBK" w:hint="eastAsia"/>
          <w:sz w:val="70"/>
          <w:szCs w:val="70"/>
        </w:rPr>
      </w:pPr>
    </w:p>
    <w:p w14:paraId="01505EA7">
      <w:pPr>
        <w:pStyle w:val="style4099"/>
        <w:jc w:val="center"/>
        <w:rPr>
          <w:rFonts w:ascii="方正小标宋_GBK" w:cs="方正小标宋_GBK" w:eastAsia="方正小标宋_GBK" w:hAnsi="方正小标宋_GBK" w:hint="eastAsia"/>
          <w:sz w:val="70"/>
          <w:szCs w:val="70"/>
        </w:rPr>
      </w:pPr>
    </w:p>
    <w:p w14:paraId="1BFAF777">
      <w:pPr>
        <w:pStyle w:val="style4099"/>
        <w:jc w:val="center"/>
        <w:rPr>
          <w:rFonts w:ascii="方正小标宋_GBK" w:cs="方正小标宋_GBK" w:eastAsia="方正小标宋_GBK" w:hAnsi="方正小标宋_GBK" w:hint="eastAsia"/>
          <w:sz w:val="70"/>
          <w:szCs w:val="70"/>
        </w:rPr>
      </w:pPr>
    </w:p>
    <w:p w14:paraId="1C86AE3E">
      <w:pPr>
        <w:pStyle w:val="style0"/>
        <w:widowControl/>
        <w:ind w:firstLine="640" w:firstLineChars="200"/>
        <w:jc w:val="lef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eastAsia="zh-CN"/>
        </w:rPr>
        <w:t>说明：</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由于</w:t>
      </w:r>
      <w:r>
        <w:rPr>
          <w:rFonts w:ascii="仿宋_GB2312" w:cs="仿宋_GB2312" w:eastAsia="仿宋_GB2312" w:hAnsi="仿宋_GB2312" w:hint="eastAsia"/>
          <w:sz w:val="32"/>
          <w:szCs w:val="32"/>
          <w:lang w:eastAsia="zh-CN"/>
        </w:rPr>
        <w:t>部门</w:t>
      </w:r>
      <w:r>
        <w:rPr>
          <w:rFonts w:ascii="仿宋_GB2312" w:cs="仿宋_GB2312" w:eastAsia="仿宋_GB2312" w:hAnsi="仿宋_GB2312" w:hint="eastAsia"/>
          <w:sz w:val="32"/>
          <w:szCs w:val="32"/>
        </w:rPr>
        <w:t>决算编制时</w:t>
      </w:r>
      <w:r>
        <w:rPr>
          <w:rFonts w:ascii="仿宋_GB2312" w:cs="仿宋_GB2312" w:eastAsia="仿宋_GB2312" w:hAnsi="仿宋_GB2312" w:hint="eastAsia"/>
          <w:sz w:val="32"/>
          <w:szCs w:val="32"/>
          <w:lang w:eastAsia="zh-CN"/>
        </w:rPr>
        <w:t>数据</w:t>
      </w:r>
      <w:r>
        <w:rPr>
          <w:rFonts w:ascii="仿宋_GB2312" w:cs="仿宋_GB2312" w:eastAsia="仿宋_GB2312" w:hAnsi="仿宋_GB2312" w:hint="eastAsia"/>
          <w:sz w:val="32"/>
          <w:szCs w:val="32"/>
        </w:rPr>
        <w:t>明细</w:t>
      </w:r>
      <w:r>
        <w:rPr>
          <w:rFonts w:ascii="仿宋_GB2312" w:cs="仿宋_GB2312" w:eastAsia="仿宋_GB2312" w:hAnsi="仿宋_GB2312" w:hint="eastAsia"/>
          <w:sz w:val="32"/>
          <w:szCs w:val="32"/>
          <w:lang w:eastAsia="zh-CN"/>
        </w:rPr>
        <w:t>至“金额单位：元</w:t>
      </w:r>
      <w:r>
        <w:rPr>
          <w:rFonts w:ascii="仿宋_GB2312" w:cs="仿宋_GB2312" w:eastAsia="仿宋_GB2312" w:hAnsi="仿宋_GB2312" w:hint="eastAsia"/>
          <w:sz w:val="32"/>
          <w:szCs w:val="32"/>
        </w:rPr>
        <w:t>”，而</w:t>
      </w:r>
      <w:r>
        <w:rPr>
          <w:rFonts w:ascii="仿宋_GB2312" w:cs="仿宋_GB2312" w:eastAsia="仿宋_GB2312" w:hAnsi="仿宋_GB2312" w:hint="eastAsia"/>
          <w:sz w:val="32"/>
          <w:szCs w:val="32"/>
          <w:lang w:eastAsia="zh-CN"/>
        </w:rPr>
        <w:t>本套部门决算文字说明</w:t>
      </w:r>
      <w:r>
        <w:rPr>
          <w:rFonts w:ascii="仿宋_GB2312" w:cs="仿宋_GB2312" w:eastAsia="仿宋_GB2312" w:hAnsi="仿宋_GB2312" w:hint="eastAsia"/>
          <w:sz w:val="32"/>
          <w:szCs w:val="32"/>
        </w:rPr>
        <w:t>和公开表格</w:t>
      </w:r>
      <w:r>
        <w:rPr>
          <w:rFonts w:ascii="仿宋_GB2312" w:cs="仿宋_GB2312" w:eastAsia="仿宋_GB2312" w:hAnsi="仿宋_GB2312" w:hint="eastAsia"/>
          <w:sz w:val="32"/>
          <w:szCs w:val="32"/>
          <w:lang w:eastAsia="zh-CN"/>
        </w:rPr>
        <w:t>数据</w:t>
      </w:r>
      <w:r>
        <w:rPr>
          <w:rFonts w:ascii="仿宋_GB2312" w:cs="仿宋_GB2312" w:eastAsia="仿宋_GB2312" w:hAnsi="仿宋_GB2312" w:hint="eastAsia"/>
          <w:sz w:val="32"/>
          <w:szCs w:val="32"/>
        </w:rPr>
        <w:t>取数</w:t>
      </w:r>
      <w:r>
        <w:rPr>
          <w:rFonts w:ascii="仿宋_GB2312" w:cs="仿宋_GB2312" w:eastAsia="仿宋_GB2312" w:hAnsi="仿宋_GB2312" w:hint="eastAsia"/>
          <w:sz w:val="32"/>
          <w:szCs w:val="32"/>
          <w:lang w:eastAsia="zh-CN"/>
        </w:rPr>
        <w:t>转换为</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eastAsia="zh-CN"/>
        </w:rPr>
        <w:t>金额单位：</w:t>
      </w:r>
      <w:r>
        <w:rPr>
          <w:rFonts w:ascii="仿宋_GB2312" w:cs="仿宋_GB2312" w:eastAsia="仿宋_GB2312" w:hAnsi="仿宋_GB2312" w:hint="eastAsia"/>
          <w:sz w:val="32"/>
          <w:szCs w:val="32"/>
        </w:rPr>
        <w:t>万元”，可能导致</w:t>
      </w:r>
      <w:r>
        <w:rPr>
          <w:rFonts w:ascii="仿宋_GB2312" w:cs="仿宋_GB2312" w:eastAsia="仿宋_GB2312" w:hAnsi="仿宋_GB2312" w:hint="eastAsia"/>
          <w:sz w:val="32"/>
          <w:szCs w:val="32"/>
          <w:lang w:eastAsia="zh-CN"/>
        </w:rPr>
        <w:t>以下文字说明中的各项数据取数以及公开</w:t>
      </w:r>
      <w:r>
        <w:rPr>
          <w:rFonts w:ascii="仿宋_GB2312" w:cs="仿宋_GB2312" w:eastAsia="仿宋_GB2312" w:hAnsi="仿宋_GB2312" w:hint="eastAsia"/>
          <w:sz w:val="32"/>
          <w:szCs w:val="32"/>
        </w:rPr>
        <w:t>表格</w:t>
      </w:r>
      <w:r>
        <w:rPr>
          <w:rFonts w:ascii="仿宋_GB2312" w:cs="仿宋_GB2312" w:eastAsia="仿宋_GB2312" w:hAnsi="仿宋_GB2312" w:hint="eastAsia"/>
          <w:sz w:val="32"/>
          <w:szCs w:val="32"/>
          <w:lang w:eastAsia="zh-CN"/>
        </w:rPr>
        <w:t>中的各项数据取数之间存在</w:t>
      </w:r>
      <w:r>
        <w:rPr>
          <w:rFonts w:ascii="仿宋_GB2312" w:cs="仿宋_GB2312" w:eastAsia="仿宋_GB2312" w:hAnsi="仿宋_GB2312" w:hint="eastAsia"/>
          <w:sz w:val="32"/>
          <w:szCs w:val="32"/>
        </w:rPr>
        <w:t>0.01的尾数差异。</w:t>
      </w:r>
      <w:r>
        <w:rPr>
          <w:rFonts w:ascii="仿宋_GB2312" w:cs="仿宋_GB2312" w:eastAsia="仿宋_GB2312" w:hAnsi="仿宋_GB2312" w:hint="eastAsia"/>
          <w:sz w:val="32"/>
          <w:szCs w:val="32"/>
          <w:lang w:val="en-US" w:eastAsia="zh-CN"/>
        </w:rPr>
        <w:t>2、以下文字说明中，部分科目由于预算数为0，无法计算完成年初预算的百分比，故未描述“</w:t>
      </w:r>
      <w:r>
        <w:rPr>
          <w:rFonts w:ascii="仿宋_GB2312" w:cs="仿宋_GB2312" w:eastAsia="仿宋_GB2312" w:hAnsi="仿宋_GB2312" w:hint="eastAsia"/>
          <w:sz w:val="32"/>
          <w:szCs w:val="32"/>
        </w:rPr>
        <w:t>完成年初预算的XX%</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w:t>
      </w:r>
    </w:p>
    <w:p w14:paraId="401A0DC2">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一、收入支出决算总体情况说明</w:t>
      </w:r>
    </w:p>
    <w:p w14:paraId="68C214B6">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年度收</w:t>
      </w:r>
      <w:r>
        <w:rPr>
          <w:rFonts w:ascii="仿宋_GB2312" w:cs="仿宋_GB2312" w:eastAsia="仿宋_GB2312" w:hAnsi="仿宋_GB2312" w:hint="eastAsia"/>
          <w:sz w:val="32"/>
          <w:szCs w:val="32"/>
          <w:lang w:eastAsia="zh-CN"/>
        </w:rPr>
        <w:t>、支</w:t>
      </w:r>
      <w:r>
        <w:rPr>
          <w:rFonts w:ascii="仿宋_GB2312" w:cs="仿宋_GB2312" w:eastAsia="仿宋_GB2312" w:hAnsi="仿宋_GB2312" w:hint="eastAsia"/>
          <w:sz w:val="32"/>
          <w:szCs w:val="32"/>
        </w:rPr>
        <w:t>总计</w:t>
      </w:r>
      <w:r>
        <w:rPr>
          <w:rFonts w:ascii="仿宋_GB2312" w:cs="仿宋_GB2312" w:eastAsia="仿宋_GB2312" w:hAnsi="仿宋_GB2312" w:hint="eastAsia"/>
          <w:sz w:val="32"/>
          <w:szCs w:val="32"/>
          <w:lang w:val="en-US" w:eastAsia="zh-CN"/>
        </w:rPr>
        <w:t>1278.14</w:t>
      </w:r>
      <w:r>
        <w:rPr>
          <w:rFonts w:ascii="仿宋_GB2312" w:cs="仿宋_GB2312" w:eastAsia="仿宋_GB2312" w:hAnsi="仿宋_GB2312" w:hint="eastAsia"/>
          <w:sz w:val="32"/>
          <w:szCs w:val="32"/>
        </w:rPr>
        <w:t>万元。与上年相比，减少</w:t>
      </w:r>
      <w:r>
        <w:rPr>
          <w:rFonts w:ascii="仿宋_GB2312" w:cs="仿宋_GB2312" w:eastAsia="仿宋_GB2312" w:hAnsi="仿宋_GB2312" w:hint="eastAsia"/>
          <w:sz w:val="32"/>
          <w:szCs w:val="32"/>
          <w:lang w:val="en-US" w:eastAsia="zh-CN"/>
        </w:rPr>
        <w:t>21.43</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1.65</w:t>
      </w:r>
      <w:r>
        <w:rPr>
          <w:rFonts w:ascii="仿宋_GB2312" w:cs="仿宋_GB2312" w:eastAsia="仿宋_GB2312" w:hAnsi="仿宋_GB2312" w:hint="eastAsia"/>
          <w:sz w:val="32"/>
          <w:szCs w:val="32"/>
        </w:rPr>
        <w:t>%，主要是因为2023年</w:t>
      </w:r>
      <w:r>
        <w:rPr>
          <w:rFonts w:ascii="仿宋_GB2312" w:cs="仿宋_GB2312" w:eastAsia="仿宋_GB2312" w:hAnsi="仿宋_GB2312" w:hint="eastAsia"/>
          <w:sz w:val="32"/>
          <w:szCs w:val="32"/>
          <w:lang w:val="en-US" w:eastAsia="zh-CN"/>
        </w:rPr>
        <w:t>12月份</w:t>
      </w:r>
      <w:r>
        <w:rPr>
          <w:rFonts w:ascii="仿宋_GB2312" w:cs="仿宋_GB2312" w:eastAsia="仿宋_GB2312" w:hAnsi="仿宋_GB2312" w:hint="eastAsia"/>
          <w:sz w:val="32"/>
          <w:szCs w:val="32"/>
        </w:rPr>
        <w:t>预算一体化系统升级，资金</w:t>
      </w:r>
      <w:r>
        <w:rPr>
          <w:rFonts w:ascii="仿宋_GB2312" w:cs="仿宋_GB2312" w:eastAsia="仿宋_GB2312" w:hAnsi="仿宋_GB2312" w:hint="eastAsia"/>
          <w:sz w:val="32"/>
          <w:szCs w:val="32"/>
          <w:lang w:eastAsia="zh-CN"/>
        </w:rPr>
        <w:t>暂停</w:t>
      </w:r>
      <w:r>
        <w:rPr>
          <w:rFonts w:ascii="仿宋_GB2312" w:cs="仿宋_GB2312" w:eastAsia="仿宋_GB2312" w:hAnsi="仿宋_GB2312" w:hint="eastAsia"/>
          <w:sz w:val="32"/>
          <w:szCs w:val="32"/>
        </w:rPr>
        <w:t>支付</w:t>
      </w:r>
      <w:r>
        <w:rPr>
          <w:rFonts w:ascii="仿宋_GB2312" w:cs="仿宋_GB2312" w:eastAsia="仿宋_GB2312" w:hAnsi="仿宋_GB2312" w:hint="eastAsia"/>
          <w:sz w:val="32"/>
          <w:szCs w:val="32"/>
          <w:lang w:eastAsia="zh-CN"/>
        </w:rPr>
        <w:t>。</w:t>
      </w:r>
    </w:p>
    <w:p w14:paraId="221386C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二、收入决算情况说明</w:t>
      </w:r>
    </w:p>
    <w:p w14:paraId="04775D06">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年度收入合计</w:t>
      </w:r>
      <w:r>
        <w:rPr>
          <w:rFonts w:ascii="仿宋_GB2312" w:cs="仿宋_GB2312" w:eastAsia="仿宋_GB2312" w:hAnsi="仿宋_GB2312" w:hint="eastAsia"/>
          <w:sz w:val="32"/>
          <w:szCs w:val="32"/>
          <w:lang w:val="en-US" w:eastAsia="zh-CN"/>
        </w:rPr>
        <w:t>1277.97</w:t>
      </w:r>
      <w:r>
        <w:rPr>
          <w:rFonts w:ascii="仿宋_GB2312" w:cs="仿宋_GB2312" w:eastAsia="仿宋_GB2312" w:hAnsi="仿宋_GB2312" w:hint="eastAsia"/>
          <w:sz w:val="32"/>
          <w:szCs w:val="32"/>
        </w:rPr>
        <w:t>万元，其中：财政拨款收入</w:t>
      </w:r>
      <w:r>
        <w:rPr>
          <w:rFonts w:ascii="仿宋_GB2312" w:cs="仿宋_GB2312" w:eastAsia="仿宋_GB2312" w:hAnsi="仿宋_GB2312" w:hint="eastAsia"/>
          <w:sz w:val="32"/>
          <w:szCs w:val="32"/>
          <w:lang w:val="en-US" w:eastAsia="zh-CN"/>
        </w:rPr>
        <w:t>1276.43</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99.88</w:t>
      </w:r>
      <w:r>
        <w:rPr>
          <w:rFonts w:ascii="仿宋_GB2312" w:cs="仿宋_GB2312" w:eastAsia="仿宋_GB2312" w:hAnsi="仿宋_GB2312" w:hint="eastAsia"/>
          <w:sz w:val="32"/>
          <w:szCs w:val="32"/>
        </w:rPr>
        <w:t>%；上级补助收入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%；事业收入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%；经营收入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%；附属单位上缴收入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%；其他收入</w:t>
      </w:r>
      <w:r>
        <w:rPr>
          <w:rFonts w:ascii="仿宋_GB2312" w:cs="仿宋_GB2312" w:eastAsia="仿宋_GB2312" w:hAnsi="仿宋_GB2312" w:hint="eastAsia"/>
          <w:sz w:val="32"/>
          <w:szCs w:val="32"/>
          <w:lang w:val="en-US" w:eastAsia="zh-CN"/>
        </w:rPr>
        <w:t>1.54</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0.12</w:t>
      </w:r>
      <w:r>
        <w:rPr>
          <w:rFonts w:ascii="仿宋_GB2312" w:cs="仿宋_GB2312" w:eastAsia="仿宋_GB2312" w:hAnsi="仿宋_GB2312" w:hint="eastAsia"/>
          <w:sz w:val="32"/>
          <w:szCs w:val="32"/>
        </w:rPr>
        <w:t>%。</w:t>
      </w:r>
    </w:p>
    <w:p w14:paraId="6C49E47A">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三、支出决算情况说明</w:t>
      </w:r>
    </w:p>
    <w:p w14:paraId="414F2433">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年度支出合计</w:t>
      </w:r>
      <w:r>
        <w:rPr>
          <w:rFonts w:ascii="仿宋_GB2312" w:cs="仿宋_GB2312" w:eastAsia="仿宋_GB2312" w:hAnsi="仿宋_GB2312" w:hint="eastAsia"/>
          <w:sz w:val="32"/>
          <w:szCs w:val="32"/>
          <w:lang w:val="en-US" w:eastAsia="zh-CN"/>
        </w:rPr>
        <w:t>1278.08</w:t>
      </w:r>
      <w:r>
        <w:rPr>
          <w:rFonts w:ascii="仿宋_GB2312" w:cs="仿宋_GB2312" w:eastAsia="仿宋_GB2312" w:hAnsi="仿宋_GB2312" w:hint="eastAsia"/>
          <w:sz w:val="32"/>
          <w:szCs w:val="32"/>
        </w:rPr>
        <w:t>万元，其中：基本支出</w:t>
      </w:r>
      <w:r>
        <w:rPr>
          <w:rFonts w:ascii="仿宋_GB2312" w:cs="仿宋_GB2312" w:eastAsia="仿宋_GB2312" w:hAnsi="仿宋_GB2312" w:hint="eastAsia"/>
          <w:sz w:val="32"/>
          <w:szCs w:val="32"/>
          <w:lang w:val="en-US" w:eastAsia="zh-CN"/>
        </w:rPr>
        <w:t>961.41</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75.22</w:t>
      </w:r>
      <w:r>
        <w:rPr>
          <w:rFonts w:ascii="仿宋_GB2312" w:cs="仿宋_GB2312" w:eastAsia="仿宋_GB2312" w:hAnsi="仿宋_GB2312" w:hint="eastAsia"/>
          <w:sz w:val="32"/>
          <w:szCs w:val="32"/>
        </w:rPr>
        <w:t>%；项目支出</w:t>
      </w:r>
      <w:r>
        <w:rPr>
          <w:rFonts w:ascii="仿宋_GB2312" w:cs="仿宋_GB2312" w:eastAsia="仿宋_GB2312" w:hAnsi="仿宋_GB2312" w:hint="eastAsia"/>
          <w:sz w:val="32"/>
          <w:szCs w:val="32"/>
          <w:lang w:val="en-US" w:eastAsia="zh-CN"/>
        </w:rPr>
        <w:t>316.67</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24.78</w:t>
      </w:r>
      <w:r>
        <w:rPr>
          <w:rFonts w:ascii="仿宋_GB2312" w:cs="仿宋_GB2312" w:eastAsia="仿宋_GB2312" w:hAnsi="仿宋_GB2312" w:hint="eastAsia"/>
          <w:sz w:val="32"/>
          <w:szCs w:val="32"/>
        </w:rPr>
        <w:t>%；上缴上级支出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%；经营支出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%；对附属单位补助支出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w:t>
      </w:r>
    </w:p>
    <w:p w14:paraId="0E9ED759">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四、财政拨款收入支出决算总体情况说明</w:t>
      </w:r>
    </w:p>
    <w:p w14:paraId="3EAF8BDD">
      <w:pPr>
        <w:pStyle w:val="style4099"/>
        <w:keepNext w:val="false"/>
        <w:keepLines w:val="false"/>
        <w:pageBreakBefore w:val="false"/>
        <w:widowControl w:val="false"/>
        <w:kinsoku/>
        <w:wordWrap/>
        <w:overflowPunct/>
        <w:topLinePunct w:val="false"/>
        <w:bidi w:val="false"/>
        <w:snapToGrid/>
        <w:spacing w:lineRule="exact" w:line="600"/>
        <w:textAlignment w:val="auto"/>
        <w:rPr>
          <w:rFonts w:ascii="仿宋_GB2312" w:cs="仿宋_GB2312" w:eastAsia="仿宋_GB2312" w:hAnsi="仿宋_GB2312" w:hint="eastAsia"/>
          <w:sz w:val="32"/>
          <w:szCs w:val="32"/>
          <w:lang w:eastAsia="zh-CN"/>
        </w:rPr>
      </w:pPr>
      <w:r>
        <w:rPr>
          <w:rFonts w:ascii="Times New Roman" w:eastAsia="仿宋_GB2312" w:hAnsi="Times New Roman" w:hint="eastAsia"/>
          <w:sz w:val="32"/>
          <w:szCs w:val="32"/>
        </w:rPr>
        <w:t xml:space="preserve">   </w:t>
      </w:r>
      <w:r>
        <w:rPr>
          <w:rFonts w:ascii="仿宋_GB2312" w:cs="仿宋_GB2312" w:eastAsia="仿宋_GB2312" w:hAnsi="仿宋_GB2312" w:hint="eastAsia"/>
          <w:sz w:val="32"/>
          <w:szCs w:val="32"/>
        </w:rPr>
        <w:t xml:space="preserve"> 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年度财政拨款收、支总计</w:t>
      </w:r>
      <w:r>
        <w:rPr>
          <w:rFonts w:ascii="仿宋_GB2312" w:cs="仿宋_GB2312" w:eastAsia="仿宋_GB2312" w:hAnsi="仿宋_GB2312" w:hint="eastAsia"/>
          <w:sz w:val="32"/>
          <w:szCs w:val="32"/>
          <w:lang w:val="en-US" w:eastAsia="zh-CN"/>
        </w:rPr>
        <w:t>1276.6</w:t>
      </w:r>
      <w:r>
        <w:rPr>
          <w:rFonts w:ascii="仿宋_GB2312" w:cs="仿宋_GB2312" w:eastAsia="仿宋_GB2312" w:hAnsi="仿宋_GB2312" w:hint="eastAsia"/>
          <w:sz w:val="32"/>
          <w:szCs w:val="32"/>
        </w:rPr>
        <w:t>万元，与上年相比，减少</w:t>
      </w:r>
      <w:r>
        <w:rPr>
          <w:rFonts w:ascii="仿宋_GB2312" w:cs="仿宋_GB2312" w:eastAsia="仿宋_GB2312" w:hAnsi="仿宋_GB2312" w:hint="eastAsia"/>
          <w:sz w:val="32"/>
          <w:szCs w:val="32"/>
          <w:lang w:val="en-US" w:eastAsia="zh-CN"/>
        </w:rPr>
        <w:t>22.97</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1.77</w:t>
      </w:r>
      <w:r>
        <w:rPr>
          <w:rFonts w:ascii="仿宋_GB2312" w:cs="仿宋_GB2312" w:eastAsia="仿宋_GB2312" w:hAnsi="仿宋_GB2312" w:hint="eastAsia"/>
          <w:sz w:val="32"/>
          <w:szCs w:val="32"/>
        </w:rPr>
        <w:t>%，主要是因为2023年12月份预算一体化系统升级，资金</w:t>
      </w:r>
      <w:r>
        <w:rPr>
          <w:rFonts w:ascii="仿宋_GB2312" w:cs="仿宋_GB2312" w:eastAsia="仿宋_GB2312" w:hAnsi="仿宋_GB2312" w:hint="eastAsia"/>
          <w:sz w:val="32"/>
          <w:szCs w:val="32"/>
          <w:lang w:eastAsia="zh-CN"/>
        </w:rPr>
        <w:t>暂停</w:t>
      </w:r>
      <w:r>
        <w:rPr>
          <w:rFonts w:ascii="仿宋_GB2312" w:cs="仿宋_GB2312" w:eastAsia="仿宋_GB2312" w:hAnsi="仿宋_GB2312" w:hint="eastAsia"/>
          <w:sz w:val="32"/>
          <w:szCs w:val="32"/>
        </w:rPr>
        <w:t>支付</w:t>
      </w:r>
      <w:r>
        <w:rPr>
          <w:rFonts w:ascii="仿宋_GB2312" w:cs="仿宋_GB2312" w:eastAsia="仿宋_GB2312" w:hAnsi="仿宋_GB2312" w:hint="eastAsia"/>
          <w:sz w:val="32"/>
          <w:szCs w:val="32"/>
          <w:lang w:eastAsia="zh-CN"/>
        </w:rPr>
        <w:t>。</w:t>
      </w:r>
    </w:p>
    <w:p w14:paraId="5934EE59">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五、一般公共预算财政拨款支出决算情况说明</w:t>
      </w:r>
    </w:p>
    <w:p w14:paraId="391CFC1D">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（一）一般公共预算财政拨款支出决算总体情况</w:t>
      </w:r>
    </w:p>
    <w:p w14:paraId="5C5979FB">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w:t>
      </w:r>
      <w:r>
        <w:rPr>
          <w:rFonts w:ascii="仿宋_GB2312" w:cs="仿宋_GB2312" w:eastAsia="仿宋_GB2312" w:hAnsi="仿宋_GB2312" w:hint="eastAsia"/>
          <w:sz w:val="32"/>
          <w:szCs w:val="32"/>
          <w:lang w:val="en-US" w:eastAsia="zh-CN"/>
        </w:rPr>
        <w:t>1276.54</w:t>
      </w:r>
      <w:r>
        <w:rPr>
          <w:rFonts w:ascii="仿宋_GB2312" w:cs="仿宋_GB2312" w:eastAsia="仿宋_GB2312" w:hAnsi="仿宋_GB2312" w:hint="eastAsia"/>
          <w:sz w:val="32"/>
          <w:szCs w:val="32"/>
        </w:rPr>
        <w:t>万元，占本年支出合计的</w:t>
      </w:r>
      <w:r>
        <w:rPr>
          <w:rFonts w:ascii="仿宋_GB2312" w:cs="仿宋_GB2312" w:eastAsia="仿宋_GB2312" w:hAnsi="仿宋_GB2312" w:hint="eastAsia"/>
          <w:sz w:val="32"/>
          <w:szCs w:val="32"/>
          <w:lang w:val="en-US" w:eastAsia="zh-CN"/>
        </w:rPr>
        <w:t>99.88</w:t>
      </w:r>
      <w:r>
        <w:rPr>
          <w:rFonts w:ascii="仿宋_GB2312" w:cs="仿宋_GB2312" w:eastAsia="仿宋_GB2312" w:hAnsi="仿宋_GB2312" w:hint="eastAsia"/>
          <w:sz w:val="32"/>
          <w:szCs w:val="32"/>
        </w:rPr>
        <w:t>%，与上年相比，财政拨款支出减少</w:t>
      </w:r>
      <w:r>
        <w:rPr>
          <w:rFonts w:ascii="仿宋_GB2312" w:cs="仿宋_GB2312" w:eastAsia="仿宋_GB2312" w:hAnsi="仿宋_GB2312" w:hint="eastAsia"/>
          <w:sz w:val="32"/>
          <w:szCs w:val="32"/>
          <w:lang w:val="en-US" w:eastAsia="zh-CN"/>
        </w:rPr>
        <w:t>22.86</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1.76</w:t>
      </w:r>
      <w:r>
        <w:rPr>
          <w:rFonts w:ascii="仿宋_GB2312" w:cs="仿宋_GB2312" w:eastAsia="仿宋_GB2312" w:hAnsi="仿宋_GB2312" w:hint="eastAsia"/>
          <w:sz w:val="32"/>
          <w:szCs w:val="32"/>
        </w:rPr>
        <w:t>%，主要是因为2023年12月份预算一体化系统升级，资金暂停支付</w:t>
      </w:r>
      <w:r>
        <w:rPr>
          <w:rFonts w:ascii="仿宋_GB2312" w:cs="仿宋_GB2312" w:eastAsia="仿宋_GB2312" w:hAnsi="仿宋_GB2312" w:hint="eastAsia"/>
          <w:sz w:val="32"/>
          <w:szCs w:val="32"/>
          <w:lang w:eastAsia="zh-CN"/>
        </w:rPr>
        <w:t>。</w:t>
      </w:r>
    </w:p>
    <w:p w14:paraId="1C1AF6C2">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（二）一般公共预算财政拨款支出决算结构情况</w:t>
      </w:r>
    </w:p>
    <w:p w14:paraId="212CA4A7">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w:t>
      </w:r>
      <w:r>
        <w:rPr>
          <w:rFonts w:ascii="仿宋_GB2312" w:cs="仿宋_GB2312" w:eastAsia="仿宋_GB2312" w:hAnsi="仿宋_GB2312" w:hint="eastAsia"/>
          <w:sz w:val="32"/>
          <w:szCs w:val="32"/>
          <w:lang w:val="en-US" w:eastAsia="zh-CN"/>
        </w:rPr>
        <w:t>1276.54</w:t>
      </w:r>
      <w:r>
        <w:rPr>
          <w:rFonts w:ascii="仿宋_GB2312" w:cs="仿宋_GB2312" w:eastAsia="仿宋_GB2312" w:hAnsi="仿宋_GB2312" w:hint="eastAsia"/>
          <w:sz w:val="32"/>
          <w:szCs w:val="32"/>
        </w:rPr>
        <w:t>万元，主要用于以下方面：一般公共服务</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rPr>
        <w:t>支出</w:t>
      </w:r>
      <w:r>
        <w:rPr>
          <w:rFonts w:ascii="仿宋_GB2312" w:cs="仿宋_GB2312" w:eastAsia="仿宋_GB2312" w:hAnsi="仿宋_GB2312" w:hint="eastAsia"/>
          <w:sz w:val="32"/>
          <w:szCs w:val="32"/>
          <w:lang w:val="en-US" w:eastAsia="zh-CN"/>
        </w:rPr>
        <w:t>1104.73</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86.54</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val="en-US" w:eastAsia="zh-CN"/>
        </w:rPr>
        <w:t>公共安全</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lang w:val="en-US" w:eastAsia="zh-CN"/>
        </w:rPr>
        <w:t>支出6.26万元，占0.49%；社会保障和就业</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lang w:val="en-US" w:eastAsia="zh-CN"/>
        </w:rPr>
        <w:t>支出54.67万元，占4.28%；卫生健康</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lang w:val="en-US" w:eastAsia="zh-CN"/>
        </w:rPr>
        <w:t>支出28.1万元，占2.20%；商业服务业等</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lang w:val="en-US" w:eastAsia="zh-CN"/>
        </w:rPr>
        <w:t>支出30万元，占2.35%；住房保障</w:t>
      </w:r>
      <w:r>
        <w:rPr>
          <w:rFonts w:ascii="仿宋_GB2312" w:cs="仿宋_GB2312" w:eastAsia="仿宋_GB2312" w:hAnsi="仿宋_GB2312" w:hint="eastAsia"/>
          <w:sz w:val="32"/>
          <w:szCs w:val="32"/>
          <w:lang w:eastAsia="zh-CN"/>
        </w:rPr>
        <w:t>（类）</w:t>
      </w:r>
      <w:r>
        <w:rPr>
          <w:rFonts w:ascii="仿宋_GB2312" w:cs="仿宋_GB2312" w:eastAsia="仿宋_GB2312" w:hAnsi="仿宋_GB2312" w:hint="eastAsia"/>
          <w:sz w:val="32"/>
          <w:szCs w:val="32"/>
          <w:lang w:val="en-US" w:eastAsia="zh-CN"/>
        </w:rPr>
        <w:t>支出52.78万元，占4.14%</w:t>
      </w:r>
      <w:r>
        <w:rPr>
          <w:rFonts w:ascii="仿宋_GB2312" w:cs="仿宋_GB2312" w:eastAsia="仿宋_GB2312" w:hAnsi="仿宋_GB2312" w:hint="eastAsia"/>
          <w:sz w:val="32"/>
          <w:szCs w:val="32"/>
          <w:lang w:eastAsia="zh-CN"/>
        </w:rPr>
        <w:t>。</w:t>
      </w:r>
    </w:p>
    <w:p w14:paraId="0E3B87E1">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（三）一般公共预算财政拨款支出决算具体情况</w:t>
      </w:r>
    </w:p>
    <w:p w14:paraId="43E026D4">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年度财政拨款支出年初预算数为</w:t>
      </w:r>
      <w:r>
        <w:rPr>
          <w:rFonts w:ascii="仿宋_GB2312" w:cs="仿宋_GB2312" w:eastAsia="仿宋_GB2312" w:hAnsi="仿宋_GB2312" w:hint="eastAsia"/>
          <w:sz w:val="32"/>
          <w:szCs w:val="32"/>
          <w:lang w:val="en-US" w:eastAsia="zh-CN"/>
        </w:rPr>
        <w:t>1201.58</w:t>
      </w:r>
      <w:r>
        <w:rPr>
          <w:rFonts w:ascii="仿宋_GB2312" w:cs="仿宋_GB2312" w:eastAsia="仿宋_GB2312" w:hAnsi="仿宋_GB2312" w:hint="eastAsia"/>
          <w:sz w:val="32"/>
          <w:szCs w:val="32"/>
        </w:rPr>
        <w:t>万元，支出决算数为</w:t>
      </w:r>
      <w:r>
        <w:rPr>
          <w:rFonts w:ascii="仿宋_GB2312" w:cs="仿宋_GB2312" w:eastAsia="仿宋_GB2312" w:hAnsi="仿宋_GB2312" w:hint="eastAsia"/>
          <w:sz w:val="32"/>
          <w:szCs w:val="32"/>
          <w:lang w:val="en-US" w:eastAsia="zh-CN"/>
        </w:rPr>
        <w:t>1276.54</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106.24</w:t>
      </w:r>
      <w:r>
        <w:rPr>
          <w:rFonts w:ascii="仿宋_GB2312" w:cs="仿宋_GB2312" w:eastAsia="仿宋_GB2312" w:hAnsi="仿宋_GB2312" w:hint="eastAsia"/>
          <w:sz w:val="32"/>
          <w:szCs w:val="32"/>
        </w:rPr>
        <w:t>%，其中：</w:t>
      </w:r>
    </w:p>
    <w:p w14:paraId="42E30706">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1、一般公共服务支出（类）统计信息事务（款）行政运行（项）。</w:t>
      </w:r>
    </w:p>
    <w:p w14:paraId="5986F0E1">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737.23</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825.78</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112.01</w:t>
      </w:r>
      <w:r>
        <w:rPr>
          <w:rFonts w:ascii="仿宋_GB2312" w:cs="仿宋_GB2312" w:eastAsia="仿宋_GB2312" w:hAnsi="仿宋_GB2312" w:hint="eastAsia"/>
          <w:sz w:val="32"/>
          <w:szCs w:val="32"/>
        </w:rPr>
        <w:t>%，决算数大于年初预算数的主要原因是：人员经费补差</w:t>
      </w:r>
      <w:r>
        <w:rPr>
          <w:rFonts w:ascii="仿宋_GB2312" w:cs="仿宋_GB2312" w:eastAsia="仿宋_GB2312" w:hAnsi="仿宋_GB2312" w:hint="eastAsia"/>
          <w:sz w:val="32"/>
          <w:szCs w:val="32"/>
          <w:lang w:val="en-US" w:eastAsia="zh-CN"/>
        </w:rPr>
        <w:t>,2022年度综合绩效奖和平安岳阳建设奖，年终一个月工资奖</w:t>
      </w:r>
      <w:r>
        <w:rPr>
          <w:rFonts w:ascii="仿宋_GB2312" w:cs="仿宋_GB2312" w:eastAsia="仿宋_GB2312" w:hAnsi="仿宋_GB2312" w:hint="eastAsia"/>
          <w:sz w:val="32"/>
          <w:szCs w:val="32"/>
        </w:rPr>
        <w:t>。</w:t>
      </w:r>
    </w:p>
    <w:p w14:paraId="644B2C4B">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2、一般公共服务支出（类）统计信息事务（款）一般行政管理事务（项）。</w:t>
      </w:r>
    </w:p>
    <w:p w14:paraId="117478F8">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14.5</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30.02</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207.03</w:t>
      </w:r>
      <w:r>
        <w:rPr>
          <w:rFonts w:ascii="仿宋_GB2312" w:cs="仿宋_GB2312" w:eastAsia="仿宋_GB2312" w:hAnsi="仿宋_GB2312" w:hint="eastAsia"/>
          <w:sz w:val="32"/>
          <w:szCs w:val="32"/>
        </w:rPr>
        <w:t>%，决算数大于年初预算数的主要原因是：上年结转结余，基层统计调查补助经费</w:t>
      </w:r>
      <w:r>
        <w:rPr>
          <w:rFonts w:ascii="仿宋_GB2312" w:cs="仿宋_GB2312" w:eastAsia="仿宋_GB2312" w:hAnsi="仿宋_GB2312" w:hint="eastAsia"/>
          <w:sz w:val="32"/>
          <w:szCs w:val="32"/>
          <w:lang w:eastAsia="zh-CN"/>
        </w:rPr>
        <w:t>，库存现金</w:t>
      </w:r>
      <w:r>
        <w:rPr>
          <w:rFonts w:ascii="仿宋_GB2312" w:cs="仿宋_GB2312" w:eastAsia="仿宋_GB2312" w:hAnsi="仿宋_GB2312" w:hint="eastAsia"/>
          <w:sz w:val="32"/>
          <w:szCs w:val="32"/>
        </w:rPr>
        <w:t>。</w:t>
      </w:r>
    </w:p>
    <w:p w14:paraId="72936A09">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3、一般公共服务支出（类）统计信息事务（款）专项统计业务（项）</w:t>
      </w:r>
    </w:p>
    <w:p w14:paraId="796B9E3C">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年初预算为115万元，支出决算为</w:t>
      </w:r>
      <w:r>
        <w:rPr>
          <w:rFonts w:ascii="仿宋_GB2312" w:cs="仿宋_GB2312" w:eastAsia="仿宋_GB2312" w:hAnsi="仿宋_GB2312" w:hint="eastAsia"/>
          <w:sz w:val="32"/>
          <w:szCs w:val="32"/>
          <w:lang w:val="en-US" w:eastAsia="zh-CN"/>
        </w:rPr>
        <w:t>107.05</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93.09</w:t>
      </w:r>
      <w:r>
        <w:rPr>
          <w:rFonts w:ascii="仿宋_GB2312" w:cs="仿宋_GB2312" w:eastAsia="仿宋_GB2312" w:hAnsi="仿宋_GB2312" w:hint="eastAsia"/>
          <w:sz w:val="32"/>
          <w:szCs w:val="32"/>
        </w:rPr>
        <w:t>%，决算数小于年初预算数的主要原因是：</w:t>
      </w:r>
      <w:r>
        <w:rPr>
          <w:rFonts w:ascii="仿宋_GB2312" w:cs="仿宋_GB2312" w:eastAsia="仿宋_GB2312" w:hAnsi="仿宋_GB2312" w:hint="eastAsia"/>
          <w:sz w:val="32"/>
          <w:szCs w:val="32"/>
          <w:lang w:val="en-US" w:eastAsia="zh-CN"/>
        </w:rPr>
        <w:t>2023年12月份预算一体化系统升级，资金暂停支付</w:t>
      </w:r>
      <w:r>
        <w:rPr>
          <w:rFonts w:ascii="仿宋_GB2312" w:cs="仿宋_GB2312" w:eastAsia="仿宋_GB2312" w:hAnsi="仿宋_GB2312" w:hint="eastAsia"/>
          <w:sz w:val="32"/>
          <w:szCs w:val="32"/>
        </w:rPr>
        <w:t>。</w:t>
      </w:r>
    </w:p>
    <w:p w14:paraId="1683E158">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4、一般公共服务支出（类）统计信息事务（款）专项普查活动（项）</w:t>
      </w:r>
    </w:p>
    <w:p w14:paraId="6F8246A3">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200.5</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141.8</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70.72</w:t>
      </w:r>
      <w:r>
        <w:rPr>
          <w:rFonts w:ascii="仿宋_GB2312" w:cs="仿宋_GB2312" w:eastAsia="仿宋_GB2312" w:hAnsi="仿宋_GB2312" w:hint="eastAsia"/>
          <w:sz w:val="32"/>
          <w:szCs w:val="32"/>
        </w:rPr>
        <w:t>%，决算数小于年初预算数的主要原因是：</w:t>
      </w:r>
      <w:r>
        <w:rPr>
          <w:rFonts w:ascii="仿宋_GB2312" w:cs="仿宋_GB2312" w:eastAsia="仿宋_GB2312" w:hAnsi="仿宋_GB2312" w:hint="eastAsia"/>
          <w:sz w:val="32"/>
          <w:szCs w:val="32"/>
          <w:lang w:val="en-US" w:eastAsia="zh-CN"/>
        </w:rPr>
        <w:t>2023年12月份预算一体化系统升级，资金暂停支付</w:t>
      </w:r>
      <w:r>
        <w:rPr>
          <w:rFonts w:ascii="仿宋_GB2312" w:cs="仿宋_GB2312" w:eastAsia="仿宋_GB2312" w:hAnsi="仿宋_GB2312" w:hint="eastAsia"/>
          <w:sz w:val="32"/>
          <w:szCs w:val="32"/>
        </w:rPr>
        <w:t>。</w:t>
      </w:r>
    </w:p>
    <w:p w14:paraId="6C50BF45">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5、一般公共服务支出（类）统计信息事务（款）其他统计信息事务支出（项）</w:t>
      </w:r>
    </w:p>
    <w:p w14:paraId="20F7F9DB">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年初预算为0万元，支出决算为</w:t>
      </w:r>
      <w:r>
        <w:rPr>
          <w:rFonts w:ascii="仿宋_GB2312" w:cs="仿宋_GB2312" w:eastAsia="仿宋_GB2312" w:hAnsi="仿宋_GB2312" w:hint="eastAsia"/>
          <w:sz w:val="32"/>
          <w:szCs w:val="32"/>
          <w:lang w:val="en-US" w:eastAsia="zh-CN"/>
        </w:rPr>
        <w:t>0.08</w:t>
      </w:r>
      <w:r>
        <w:rPr>
          <w:rFonts w:ascii="仿宋_GB2312" w:cs="仿宋_GB2312" w:eastAsia="仿宋_GB2312" w:hAnsi="仿宋_GB2312" w:hint="eastAsia"/>
          <w:sz w:val="32"/>
          <w:szCs w:val="32"/>
        </w:rPr>
        <w:t>万元，由于预算数为0，无法计算百分比。决算数大于年初预算数的主要原因是：上年结转结余。</w:t>
      </w:r>
    </w:p>
    <w:p w14:paraId="2168EC16">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6、公共安全支出（类）公安（款）其他公安支出（项）</w:t>
      </w:r>
    </w:p>
    <w:p w14:paraId="637D82BF">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年初预算为0万元，支出决算为</w:t>
      </w:r>
      <w:r>
        <w:rPr>
          <w:rFonts w:ascii="仿宋_GB2312" w:cs="仿宋_GB2312" w:eastAsia="仿宋_GB2312" w:hAnsi="仿宋_GB2312" w:hint="eastAsia"/>
          <w:sz w:val="32"/>
          <w:szCs w:val="32"/>
          <w:lang w:val="en-US" w:eastAsia="zh-CN"/>
        </w:rPr>
        <w:t>6.26</w:t>
      </w:r>
      <w:r>
        <w:rPr>
          <w:rFonts w:ascii="仿宋_GB2312" w:cs="仿宋_GB2312" w:eastAsia="仿宋_GB2312" w:hAnsi="仿宋_GB2312" w:hint="eastAsia"/>
          <w:sz w:val="32"/>
          <w:szCs w:val="32"/>
        </w:rPr>
        <w:t>万元，由于预算数为0，无法计算百分比。决算数大于年初预算数的主要原因是：禁毒委专项工作经费。</w:t>
      </w:r>
    </w:p>
    <w:p w14:paraId="30D9B03D">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8、社会保障和就业支出（类）行政事业单位养老支出（款）机关事业单位基本养老保险缴费支出（项）</w:t>
      </w:r>
    </w:p>
    <w:p w14:paraId="1713B484">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53.47</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53.47</w:t>
      </w:r>
      <w:r>
        <w:rPr>
          <w:rFonts w:ascii="仿宋_GB2312" w:cs="仿宋_GB2312" w:eastAsia="仿宋_GB2312" w:hAnsi="仿宋_GB2312" w:hint="eastAsia"/>
          <w:sz w:val="32"/>
          <w:szCs w:val="32"/>
        </w:rPr>
        <w:t>万元，决算数与年初预算数持平，完成年初预算的100%。主要原因是：202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年在年初预算内开支，没有预算追加。</w:t>
      </w:r>
    </w:p>
    <w:p w14:paraId="0483F53F">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9、社会保障和就业支出（类）其他社会保障和就业支出（款）其他社会保障和就业支出（项）</w:t>
      </w:r>
    </w:p>
    <w:p w14:paraId="6942829F">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年初预算为0万元，支出决算为</w:t>
      </w:r>
      <w:r>
        <w:rPr>
          <w:rFonts w:ascii="仿宋_GB2312" w:cs="仿宋_GB2312" w:eastAsia="仿宋_GB2312" w:hAnsi="仿宋_GB2312" w:hint="eastAsia"/>
          <w:sz w:val="32"/>
          <w:szCs w:val="32"/>
          <w:lang w:val="en-US" w:eastAsia="zh-CN"/>
        </w:rPr>
        <w:t>1.2</w:t>
      </w:r>
      <w:r>
        <w:rPr>
          <w:rFonts w:ascii="仿宋_GB2312" w:cs="仿宋_GB2312" w:eastAsia="仿宋_GB2312" w:hAnsi="仿宋_GB2312" w:hint="eastAsia"/>
          <w:sz w:val="32"/>
          <w:szCs w:val="32"/>
        </w:rPr>
        <w:t>万元，由于预算数为0，无法计算百分比。决算数大于年初预算数的主要原因是：财政下拨建国初期参加工作退休干部补贴。</w:t>
      </w:r>
    </w:p>
    <w:p w14:paraId="09813939">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12、卫生健康支出（类）行政事业单位医疗（款）行政单位医疗（项）</w:t>
      </w:r>
    </w:p>
    <w:p w14:paraId="05576C61">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28.1</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28.1</w:t>
      </w:r>
      <w:r>
        <w:rPr>
          <w:rFonts w:ascii="仿宋_GB2312" w:cs="仿宋_GB2312" w:eastAsia="仿宋_GB2312" w:hAnsi="仿宋_GB2312" w:hint="eastAsia"/>
          <w:sz w:val="32"/>
          <w:szCs w:val="32"/>
        </w:rPr>
        <w:t>万元，决算数与年初预算数持平，完成年初预算的100%。主要原因是：202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年在年初预算内开支，没有预算追加。</w:t>
      </w:r>
    </w:p>
    <w:p w14:paraId="27E73B02">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12、商业服务业等支出（类）其他商业服务业等支出（款）其他商业服务业等支出（项）</w:t>
      </w:r>
    </w:p>
    <w:p w14:paraId="55BD80A7">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30</w:t>
      </w:r>
      <w:r>
        <w:rPr>
          <w:rFonts w:ascii="仿宋_GB2312" w:cs="仿宋_GB2312" w:eastAsia="仿宋_GB2312" w:hAnsi="仿宋_GB2312" w:hint="eastAsia"/>
          <w:sz w:val="32"/>
          <w:szCs w:val="32"/>
        </w:rPr>
        <w:t>万元，由于预算数为0，无法计算百分比。决算数大于年初预算数的主要原因是：</w:t>
      </w:r>
      <w:r>
        <w:rPr>
          <w:rFonts w:ascii="仿宋_GB2312" w:cs="仿宋_GB2312" w:eastAsia="仿宋_GB2312" w:hAnsi="仿宋_GB2312" w:hint="eastAsia"/>
          <w:sz w:val="32"/>
          <w:szCs w:val="32"/>
          <w:lang w:eastAsia="zh-CN"/>
        </w:rPr>
        <w:t>财政下拨物流统计工作经费</w:t>
      </w:r>
      <w:r>
        <w:rPr>
          <w:rFonts w:ascii="仿宋_GB2312" w:cs="仿宋_GB2312" w:eastAsia="仿宋_GB2312" w:hAnsi="仿宋_GB2312" w:hint="eastAsia"/>
          <w:sz w:val="32"/>
          <w:szCs w:val="32"/>
        </w:rPr>
        <w:t>。</w:t>
      </w:r>
    </w:p>
    <w:p w14:paraId="48B685F7">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12、住房保障支出（类）住房改革支出（款）住房公积金（项）</w:t>
      </w:r>
    </w:p>
    <w:p w14:paraId="151778CF">
      <w:pPr>
        <w:pStyle w:val="style0"/>
        <w:widowControl w:val="false"/>
        <w:autoSpaceDE w:val="false"/>
        <w:autoSpaceDN w:val="false"/>
        <w:adjustRightInd w:val="false"/>
        <w:ind w:firstLine="800" w:firstLineChars="25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52.78</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52.78</w:t>
      </w:r>
      <w:r>
        <w:rPr>
          <w:rFonts w:ascii="仿宋_GB2312" w:cs="仿宋_GB2312" w:eastAsia="仿宋_GB2312" w:hAnsi="仿宋_GB2312" w:hint="eastAsia"/>
          <w:sz w:val="32"/>
          <w:szCs w:val="32"/>
        </w:rPr>
        <w:t>万元，决算数与年初预算数持平，完成年初预算的100%。主要原因是：2023年在年初预算内开支，没有预算追加。</w:t>
      </w:r>
    </w:p>
    <w:p w14:paraId="5EC9F577">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六、一般公共预算财政拨款基本支出决算情况说明</w:t>
      </w:r>
    </w:p>
    <w:p w14:paraId="779B26D0">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年度财政拨款基本支出</w:t>
      </w:r>
      <w:r>
        <w:rPr>
          <w:rFonts w:ascii="仿宋_GB2312" w:cs="仿宋_GB2312" w:eastAsia="仿宋_GB2312" w:hAnsi="仿宋_GB2312" w:hint="eastAsia"/>
          <w:sz w:val="32"/>
          <w:szCs w:val="32"/>
          <w:lang w:val="en-US" w:eastAsia="zh-CN"/>
        </w:rPr>
        <w:t>961.41</w:t>
      </w:r>
      <w:r>
        <w:rPr>
          <w:rFonts w:ascii="仿宋_GB2312" w:cs="仿宋_GB2312" w:eastAsia="仿宋_GB2312" w:hAnsi="仿宋_GB2312" w:hint="eastAsia"/>
          <w:sz w:val="32"/>
          <w:szCs w:val="32"/>
        </w:rPr>
        <w:t>万元，其中：</w:t>
      </w:r>
    </w:p>
    <w:p w14:paraId="048C08D6">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b/>
          <w:bCs/>
          <w:sz w:val="32"/>
          <w:szCs w:val="32"/>
        </w:rPr>
        <w:t>人员经费</w:t>
      </w:r>
      <w:r>
        <w:rPr>
          <w:rFonts w:ascii="仿宋_GB2312" w:cs="仿宋_GB2312" w:eastAsia="仿宋_GB2312" w:hAnsi="仿宋_GB2312" w:hint="eastAsia"/>
          <w:sz w:val="32"/>
          <w:szCs w:val="32"/>
          <w:lang w:val="en-US" w:eastAsia="zh-CN"/>
        </w:rPr>
        <w:t>863.18</w:t>
      </w:r>
      <w:r>
        <w:rPr>
          <w:rFonts w:ascii="仿宋_GB2312" w:cs="仿宋_GB2312" w:eastAsia="仿宋_GB2312" w:hAnsi="仿宋_GB2312" w:hint="eastAsia"/>
          <w:sz w:val="32"/>
          <w:szCs w:val="32"/>
        </w:rPr>
        <w:t>万元，占基本支出的</w:t>
      </w:r>
      <w:r>
        <w:rPr>
          <w:rFonts w:ascii="仿宋_GB2312" w:cs="仿宋_GB2312" w:eastAsia="仿宋_GB2312" w:hAnsi="仿宋_GB2312" w:hint="eastAsia"/>
          <w:sz w:val="32"/>
          <w:szCs w:val="32"/>
          <w:lang w:val="en-US" w:eastAsia="zh-CN"/>
        </w:rPr>
        <w:t>89.78</w:t>
      </w:r>
      <w:r>
        <w:rPr>
          <w:rFonts w:ascii="仿宋_GB2312" w:cs="仿宋_GB2312" w:eastAsia="仿宋_GB2312" w:hAnsi="仿宋_GB2312" w:hint="eastAsia"/>
          <w:sz w:val="32"/>
          <w:szCs w:val="32"/>
        </w:rPr>
        <w:t>%,主要包括基本工资、津贴补贴、奖金、伙食补助费、绩效工资、机关事业单位基本养老保险缴费、职工基本医疗保险缴费、其他社会保障缴费、住房公积金、其他工资福利支出、退休费</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医疗费补助、其他对个人和家庭的补助</w:t>
      </w:r>
      <w:r>
        <w:rPr>
          <w:rFonts w:ascii="仿宋_GB2312" w:cs="仿宋_GB2312" w:eastAsia="仿宋_GB2312" w:hAnsi="仿宋_GB2312" w:hint="eastAsia"/>
          <w:sz w:val="32"/>
          <w:szCs w:val="32"/>
        </w:rPr>
        <w:t>。</w:t>
      </w:r>
    </w:p>
    <w:p w14:paraId="1DBD9850">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bCs/>
          <w:sz w:val="32"/>
          <w:szCs w:val="32"/>
        </w:rPr>
        <w:t>公用经费</w:t>
      </w:r>
      <w:r>
        <w:rPr>
          <w:rFonts w:ascii="仿宋_GB2312" w:cs="仿宋_GB2312" w:eastAsia="仿宋_GB2312" w:hAnsi="仿宋_GB2312" w:hint="eastAsia"/>
          <w:sz w:val="32"/>
          <w:szCs w:val="32"/>
          <w:lang w:val="en-US" w:eastAsia="zh-CN"/>
        </w:rPr>
        <w:t>98.23</w:t>
      </w:r>
      <w:r>
        <w:rPr>
          <w:rFonts w:ascii="仿宋_GB2312" w:cs="仿宋_GB2312" w:eastAsia="仿宋_GB2312" w:hAnsi="仿宋_GB2312" w:hint="eastAsia"/>
          <w:sz w:val="32"/>
          <w:szCs w:val="32"/>
        </w:rPr>
        <w:t>万元，占基本支出的</w:t>
      </w:r>
      <w:r>
        <w:rPr>
          <w:rFonts w:ascii="仿宋_GB2312" w:cs="仿宋_GB2312" w:eastAsia="仿宋_GB2312" w:hAnsi="仿宋_GB2312" w:hint="eastAsia"/>
          <w:sz w:val="32"/>
          <w:szCs w:val="32"/>
          <w:lang w:val="en-US" w:eastAsia="zh-CN"/>
        </w:rPr>
        <w:t>10.22</w:t>
      </w:r>
      <w:r>
        <w:rPr>
          <w:rFonts w:ascii="仿宋_GB2312" w:cs="仿宋_GB2312" w:eastAsia="仿宋_GB2312" w:hAnsi="仿宋_GB2312" w:hint="eastAsia"/>
          <w:sz w:val="32"/>
          <w:szCs w:val="32"/>
        </w:rPr>
        <w:t>%，主要包括办公费、水费、电费、邮电费、物业管理费、</w:t>
      </w:r>
      <w:r>
        <w:rPr>
          <w:rFonts w:ascii="仿宋_GB2312" w:cs="仿宋_GB2312" w:eastAsia="仿宋_GB2312" w:hAnsi="仿宋_GB2312" w:hint="eastAsia"/>
          <w:sz w:val="32"/>
          <w:szCs w:val="32"/>
          <w:lang w:val="en-US" w:eastAsia="zh-CN"/>
        </w:rPr>
        <w:t>差旅费、</w:t>
      </w:r>
      <w:r>
        <w:rPr>
          <w:rFonts w:ascii="仿宋_GB2312" w:cs="仿宋_GB2312" w:eastAsia="仿宋_GB2312" w:hAnsi="仿宋_GB2312" w:hint="eastAsia"/>
          <w:sz w:val="32"/>
          <w:szCs w:val="32"/>
        </w:rPr>
        <w:t>维修（护）费、培训费、委托业务费、工会经费、福利费、公务用车运行维护费、其他交通费用、其他商品和服务支出。</w:t>
      </w:r>
    </w:p>
    <w:p w14:paraId="1DAC7D2C">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七、政府性基金预算收入支出决算情况</w:t>
      </w:r>
    </w:p>
    <w:p w14:paraId="1A1ADAB2">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2023年度政府性基金预算财政拨款收入0万元；年初结转和结余0万元；支出0万元，其中基本支出0万元，项目支出0万元；年末结转和结余0万元。</w:t>
      </w:r>
    </w:p>
    <w:p w14:paraId="299F4E26">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黑体" w:cs="黑体" w:eastAsia="黑体" w:hAnsi="黑体" w:hint="eastAsia"/>
          <w:b w:val="false"/>
          <w:bCs/>
          <w:color w:val="000000"/>
          <w:kern w:val="0"/>
          <w:sz w:val="32"/>
          <w:szCs w:val="32"/>
          <w:lang w:val="en-US" w:bidi="ar-SA" w:eastAsia="zh-CN"/>
        </w:rPr>
      </w:pPr>
      <w:r>
        <w:rPr>
          <w:rFonts w:ascii="黑体" w:cs="黑体" w:eastAsia="黑体" w:hAnsi="黑体" w:hint="eastAsia"/>
          <w:b w:val="false"/>
          <w:bCs/>
          <w:color w:val="000000"/>
          <w:kern w:val="0"/>
          <w:sz w:val="32"/>
          <w:szCs w:val="32"/>
          <w:lang w:val="en-US" w:bidi="ar-SA" w:eastAsia="zh-CN"/>
        </w:rPr>
        <w:t>八、国有资本经营预算财政拨款支出决算情况</w:t>
      </w:r>
    </w:p>
    <w:p w14:paraId="0F218905">
      <w:pPr>
        <w:pStyle w:val="style0"/>
        <w:keepNext w:val="false"/>
        <w:keepLines w:val="false"/>
        <w:pageBreakBefore w:val="false"/>
        <w:widowControl w:val="false"/>
        <w:numPr>
          <w:ilvl w:val="0"/>
          <w:numId w:val="0"/>
        </w:numPr>
        <w:kinsoku/>
        <w:wordWrap/>
        <w:overflowPunct/>
        <w:topLinePunct w:val="false"/>
        <w:autoSpaceDE w:val="false"/>
        <w:autoSpaceDN w:val="false"/>
        <w:bidi w:val="false"/>
        <w:adjustRightInd w:val="false"/>
        <w:snapToGrid/>
        <w:spacing w:lineRule="exact" w:line="600"/>
        <w:ind w:firstLine="640" w:firstLineChars="200"/>
        <w:textAlignment w:val="auto"/>
        <w:rPr>
          <w:rFonts w:ascii="黑体" w:cs="黑体" w:eastAsia="黑体" w:hAnsi="黑体" w:hint="eastAsia"/>
          <w:b w:val="false"/>
          <w:bCs/>
          <w:sz w:val="32"/>
          <w:szCs w:val="32"/>
        </w:rPr>
      </w:pPr>
      <w:r>
        <w:rPr>
          <w:rFonts w:ascii="仿宋_GB2312" w:cs="仿宋_GB2312" w:eastAsia="仿宋_GB2312" w:hAnsi="仿宋_GB2312" w:hint="eastAsia"/>
          <w:color w:val="000000"/>
          <w:kern w:val="0"/>
          <w:sz w:val="32"/>
          <w:szCs w:val="32"/>
          <w:lang w:val="en-US" w:bidi="ar-SA" w:eastAsia="zh-CN"/>
        </w:rPr>
        <w:t>2023年度国有资本经营预算财政拨款收入0万元；年初结转和结余0万；支出0万元，其中：基本支出0万元，项目支出0万元；年末结转和结余0万元。</w:t>
      </w:r>
    </w:p>
    <w:p w14:paraId="2B52C5C0">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Times New Roman" w:eastAsia="仿宋_GB2312" w:hAnsi="Times New Roman"/>
          <w:b/>
          <w:sz w:val="32"/>
          <w:szCs w:val="32"/>
        </w:rPr>
      </w:pPr>
      <w:r>
        <w:rPr>
          <w:rFonts w:cs="黑体" w:hAnsi="黑体" w:hint="eastAsia"/>
          <w:b w:val="false"/>
          <w:bCs/>
          <w:sz w:val="32"/>
          <w:szCs w:val="32"/>
          <w:lang w:eastAsia="zh-CN"/>
        </w:rPr>
        <w:t>九、</w:t>
      </w:r>
      <w:r>
        <w:rPr>
          <w:rFonts w:ascii="黑体" w:cs="黑体" w:eastAsia="黑体" w:hAnsi="黑体" w:hint="eastAsia"/>
          <w:b w:val="false"/>
          <w:bCs/>
          <w:sz w:val="32"/>
          <w:szCs w:val="32"/>
        </w:rPr>
        <w:t>财政拨款三公经费支出决算情况说明</w:t>
      </w:r>
    </w:p>
    <w:p w14:paraId="313707D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楷体" w:cs="楷体" w:eastAsia="楷体" w:hAnsi="楷体" w:hint="eastAsia"/>
          <w:b/>
          <w:bCs w:val="false"/>
          <w:sz w:val="32"/>
          <w:szCs w:val="32"/>
        </w:rPr>
      </w:pPr>
      <w:r>
        <w:rPr>
          <w:rFonts w:ascii="楷体" w:cs="楷体" w:eastAsia="楷体" w:hAnsi="楷体" w:hint="eastAsia"/>
          <w:b/>
          <w:bCs w:val="false"/>
          <w:sz w:val="32"/>
          <w:szCs w:val="32"/>
        </w:rPr>
        <w:t>（一）“三公”经费财政拨款支出决算总体情况说明</w:t>
      </w:r>
    </w:p>
    <w:p w14:paraId="6678CED5">
      <w:pPr>
        <w:pStyle w:val="style4099"/>
        <w:ind w:firstLine="640" w:firstLineChars="20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“三公”经费财政拨款支出预算为</w:t>
      </w:r>
      <w:r>
        <w:rPr>
          <w:rFonts w:ascii="仿宋_GB2312" w:cs="仿宋_GB2312" w:eastAsia="仿宋_GB2312" w:hAnsi="仿宋_GB2312" w:hint="eastAsia"/>
          <w:sz w:val="32"/>
          <w:szCs w:val="32"/>
          <w:lang w:val="en-US" w:eastAsia="zh-CN"/>
        </w:rPr>
        <w:t>15</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4.22</w:t>
      </w:r>
      <w:r>
        <w:rPr>
          <w:rFonts w:ascii="仿宋_GB2312" w:cs="仿宋_GB2312" w:eastAsia="仿宋_GB2312" w:hAnsi="仿宋_GB2312" w:hint="eastAsia"/>
          <w:sz w:val="32"/>
          <w:szCs w:val="32"/>
        </w:rPr>
        <w:t>万元，完成预算的</w:t>
      </w:r>
      <w:r>
        <w:rPr>
          <w:rFonts w:ascii="仿宋_GB2312" w:cs="仿宋_GB2312" w:eastAsia="仿宋_GB2312" w:hAnsi="仿宋_GB2312" w:hint="eastAsia"/>
          <w:sz w:val="32"/>
          <w:szCs w:val="32"/>
          <w:lang w:val="en-US" w:eastAsia="zh-CN"/>
        </w:rPr>
        <w:t>28.13</w:t>
      </w:r>
      <w:r>
        <w:rPr>
          <w:rFonts w:ascii="仿宋_GB2312" w:cs="仿宋_GB2312" w:eastAsia="仿宋_GB2312" w:hAnsi="仿宋_GB2312" w:hint="eastAsia"/>
          <w:sz w:val="32"/>
          <w:szCs w:val="32"/>
        </w:rPr>
        <w:t>%，决算数小于预算数的主要原因是</w:t>
      </w:r>
      <w:r>
        <w:rPr>
          <w:rFonts w:ascii="仿宋_GB2312" w:cs="仿宋_GB2312" w:eastAsia="仿宋_GB2312" w:hAnsi="仿宋_GB2312" w:hint="eastAsia"/>
          <w:sz w:val="32"/>
          <w:szCs w:val="32"/>
          <w:lang w:eastAsia="zh-CN"/>
        </w:rPr>
        <w:t>一是</w:t>
      </w:r>
      <w:r>
        <w:rPr>
          <w:rFonts w:ascii="Times New Roman" w:eastAsia="仿宋_GB2312" w:hAnsi="Times New Roman" w:hint="eastAsia"/>
          <w:sz w:val="32"/>
          <w:szCs w:val="32"/>
          <w:lang w:eastAsia="zh-CN"/>
        </w:rPr>
        <w:t>严格执行中央八项规定</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控制在预算内开支；二是</w:t>
      </w:r>
      <w:r>
        <w:rPr>
          <w:rFonts w:ascii="仿宋_GB2312" w:cs="仿宋_GB2312" w:eastAsia="仿宋_GB2312" w:hAnsi="仿宋_GB2312" w:hint="eastAsia"/>
          <w:sz w:val="32"/>
          <w:szCs w:val="32"/>
          <w:lang w:val="en-US" w:eastAsia="zh-CN"/>
        </w:rPr>
        <w:t>2023年12月份预算一体化系统升级，资金暂停支付。</w:t>
      </w:r>
      <w:r>
        <w:rPr>
          <w:rFonts w:ascii="仿宋_GB2312" w:cs="仿宋_GB2312" w:eastAsia="仿宋_GB2312" w:hAnsi="仿宋_GB2312" w:hint="eastAsia"/>
          <w:sz w:val="32"/>
          <w:szCs w:val="32"/>
        </w:rPr>
        <w:t>与上年相比减少</w:t>
      </w:r>
      <w:r>
        <w:rPr>
          <w:rFonts w:ascii="仿宋_GB2312" w:cs="仿宋_GB2312" w:eastAsia="仿宋_GB2312" w:hAnsi="仿宋_GB2312" w:hint="eastAsia"/>
          <w:sz w:val="32"/>
          <w:szCs w:val="32"/>
          <w:lang w:val="en-US" w:eastAsia="zh-CN"/>
        </w:rPr>
        <w:t>4.28</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50.35</w:t>
      </w:r>
      <w:r>
        <w:rPr>
          <w:rFonts w:ascii="仿宋_GB2312" w:cs="仿宋_GB2312" w:eastAsia="仿宋_GB2312" w:hAnsi="仿宋_GB2312" w:hint="eastAsia"/>
          <w:sz w:val="32"/>
          <w:szCs w:val="32"/>
        </w:rPr>
        <w:t>%,减少的主要原因是</w:t>
      </w:r>
      <w:r>
        <w:rPr>
          <w:rFonts w:ascii="Times New Roman" w:eastAsia="仿宋_GB2312" w:hAnsi="Times New Roman" w:hint="eastAsia"/>
          <w:sz w:val="32"/>
          <w:szCs w:val="32"/>
          <w:lang w:eastAsia="zh-CN"/>
        </w:rPr>
        <w:t>2023年12月份预算一体化系统升级，资金暂停支付。</w:t>
      </w:r>
      <w:r>
        <w:rPr>
          <w:rFonts w:ascii="仿宋_GB2312" w:cs="仿宋_GB2312" w:eastAsia="仿宋_GB2312" w:hAnsi="仿宋_GB2312" w:hint="eastAsia"/>
          <w:sz w:val="32"/>
          <w:szCs w:val="32"/>
        </w:rPr>
        <w:t>其中：</w:t>
      </w:r>
    </w:p>
    <w:p w14:paraId="6A021947">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因公出国（境）费支出预算为0万元，支出决算为0万元，决算数等于预算数，主要原因是我单位严格按预算执行决算；与上年一致，无增减变动，主要原因是未安排因公出国（境）活动。</w:t>
      </w:r>
    </w:p>
    <w:p w14:paraId="0600ED00">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公务接待费支出预算为</w:t>
      </w:r>
      <w:r>
        <w:rPr>
          <w:rFonts w:ascii="仿宋_GB2312" w:cs="仿宋_GB2312" w:eastAsia="仿宋_GB2312" w:hAnsi="仿宋_GB2312" w:hint="eastAsia"/>
          <w:sz w:val="32"/>
          <w:szCs w:val="32"/>
          <w:lang w:val="en-US" w:eastAsia="zh-CN"/>
        </w:rPr>
        <w:t>9</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2.44</w:t>
      </w:r>
      <w:r>
        <w:rPr>
          <w:rFonts w:ascii="仿宋_GB2312" w:cs="仿宋_GB2312" w:eastAsia="仿宋_GB2312" w:hAnsi="仿宋_GB2312" w:hint="eastAsia"/>
          <w:sz w:val="32"/>
          <w:szCs w:val="32"/>
        </w:rPr>
        <w:t>万元，完成预算的</w:t>
      </w:r>
      <w:r>
        <w:rPr>
          <w:rFonts w:ascii="仿宋_GB2312" w:cs="仿宋_GB2312" w:eastAsia="仿宋_GB2312" w:hAnsi="仿宋_GB2312" w:hint="eastAsia"/>
          <w:sz w:val="32"/>
          <w:szCs w:val="32"/>
          <w:lang w:val="en-US" w:eastAsia="zh-CN"/>
        </w:rPr>
        <w:t>27.11</w:t>
      </w:r>
      <w:r>
        <w:rPr>
          <w:rFonts w:ascii="仿宋_GB2312" w:cs="仿宋_GB2312" w:eastAsia="仿宋_GB2312" w:hAnsi="仿宋_GB2312" w:hint="eastAsia"/>
          <w:sz w:val="32"/>
          <w:szCs w:val="32"/>
        </w:rPr>
        <w:t>%，决算数小于预算数的主要原因是一是严格执行中央八项规定，控制在预算内开支；二是2023年12月份预算一体化系统升级，资金暂停支付。与上年相比减少</w:t>
      </w:r>
      <w:r>
        <w:rPr>
          <w:rFonts w:ascii="仿宋_GB2312" w:cs="仿宋_GB2312" w:eastAsia="仿宋_GB2312" w:hAnsi="仿宋_GB2312" w:hint="eastAsia"/>
          <w:sz w:val="32"/>
          <w:szCs w:val="32"/>
          <w:lang w:val="en-US" w:eastAsia="zh-CN"/>
        </w:rPr>
        <w:t>2.64</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51.97</w:t>
      </w:r>
      <w:r>
        <w:rPr>
          <w:rFonts w:ascii="仿宋_GB2312" w:cs="仿宋_GB2312" w:eastAsia="仿宋_GB2312" w:hAnsi="仿宋_GB2312" w:hint="eastAsia"/>
          <w:sz w:val="32"/>
          <w:szCs w:val="32"/>
        </w:rPr>
        <w:t>%,减少的主要原因是2023年12月份预算一体化系统升级，资金暂停支付。</w:t>
      </w:r>
    </w:p>
    <w:p w14:paraId="208C3290">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03625354">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公务用车运行维护费支出预算为</w:t>
      </w:r>
      <w:r>
        <w:rPr>
          <w:rFonts w:ascii="仿宋_GB2312" w:cs="仿宋_GB2312" w:eastAsia="仿宋_GB2312" w:hAnsi="仿宋_GB2312" w:hint="eastAsia"/>
          <w:sz w:val="32"/>
          <w:szCs w:val="32"/>
          <w:lang w:val="en-US" w:eastAsia="zh-CN"/>
        </w:rPr>
        <w:t>6</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1.78</w:t>
      </w:r>
      <w:r>
        <w:rPr>
          <w:rFonts w:ascii="仿宋_GB2312" w:cs="仿宋_GB2312" w:eastAsia="仿宋_GB2312" w:hAnsi="仿宋_GB2312" w:hint="eastAsia"/>
          <w:sz w:val="32"/>
          <w:szCs w:val="32"/>
        </w:rPr>
        <w:t>万元，完成预算的</w:t>
      </w:r>
      <w:r>
        <w:rPr>
          <w:rFonts w:ascii="仿宋_GB2312" w:cs="仿宋_GB2312" w:eastAsia="仿宋_GB2312" w:hAnsi="仿宋_GB2312" w:hint="eastAsia"/>
          <w:sz w:val="32"/>
          <w:szCs w:val="32"/>
          <w:lang w:val="en-US" w:eastAsia="zh-CN"/>
        </w:rPr>
        <w:t>29.67</w:t>
      </w:r>
      <w:r>
        <w:rPr>
          <w:rFonts w:ascii="仿宋_GB2312" w:cs="仿宋_GB2312" w:eastAsia="仿宋_GB2312" w:hAnsi="仿宋_GB2312" w:hint="eastAsia"/>
          <w:sz w:val="32"/>
          <w:szCs w:val="32"/>
        </w:rPr>
        <w:t>%，决算数小于预算数的主要原因是一是严格执行中央八项规定，控制在预算内开支；二是2023年12月份预算一体化系统升级，资金暂停支付。与上年相比减少</w:t>
      </w:r>
      <w:r>
        <w:rPr>
          <w:rFonts w:ascii="仿宋_GB2312" w:cs="仿宋_GB2312" w:eastAsia="仿宋_GB2312" w:hAnsi="仿宋_GB2312" w:hint="eastAsia"/>
          <w:sz w:val="32"/>
          <w:szCs w:val="32"/>
          <w:lang w:val="en-US" w:eastAsia="zh-CN"/>
        </w:rPr>
        <w:t>1.64</w:t>
      </w:r>
      <w:r>
        <w:rPr>
          <w:rFonts w:ascii="仿宋_GB2312" w:cs="仿宋_GB2312" w:eastAsia="仿宋_GB2312" w:hAnsi="仿宋_GB2312" w:hint="eastAsia"/>
          <w:sz w:val="32"/>
          <w:szCs w:val="32"/>
        </w:rPr>
        <w:t>万元，减少</w:t>
      </w:r>
      <w:r>
        <w:rPr>
          <w:rFonts w:ascii="仿宋_GB2312" w:cs="仿宋_GB2312" w:eastAsia="仿宋_GB2312" w:hAnsi="仿宋_GB2312" w:hint="eastAsia"/>
          <w:sz w:val="32"/>
          <w:szCs w:val="32"/>
          <w:lang w:val="en-US" w:eastAsia="zh-CN"/>
        </w:rPr>
        <w:t>47.95</w:t>
      </w:r>
      <w:r>
        <w:rPr>
          <w:rFonts w:ascii="仿宋_GB2312" w:cs="仿宋_GB2312" w:eastAsia="仿宋_GB2312" w:hAnsi="仿宋_GB2312" w:hint="eastAsia"/>
          <w:sz w:val="32"/>
          <w:szCs w:val="32"/>
        </w:rPr>
        <w:t>%,减少的主要原因是2023年12月份预算一体化系统升级，资金暂停支付。</w:t>
      </w:r>
    </w:p>
    <w:p w14:paraId="14340DC2">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楷体" w:cs="楷体" w:eastAsia="楷体" w:hAnsi="楷体" w:hint="eastAsia"/>
          <w:b/>
          <w:bCs w:val="false"/>
          <w:sz w:val="32"/>
          <w:szCs w:val="32"/>
        </w:rPr>
      </w:pPr>
      <w:r>
        <w:rPr>
          <w:rFonts w:ascii="楷体" w:cs="楷体" w:eastAsia="楷体" w:hAnsi="楷体" w:hint="eastAsia"/>
          <w:b/>
          <w:bCs w:val="false"/>
          <w:sz w:val="32"/>
          <w:szCs w:val="32"/>
        </w:rPr>
        <w:t>（二）“三公”经费财政拨款支出决算具体情况说明</w:t>
      </w:r>
    </w:p>
    <w:p w14:paraId="11E83E5E">
      <w:pPr>
        <w:pStyle w:val="style4099"/>
        <w:keepNext w:val="false"/>
        <w:keepLines w:val="false"/>
        <w:pageBreakBefore w:val="false"/>
        <w:widowControl w:val="false"/>
        <w:kinsoku/>
        <w:wordWrap/>
        <w:overflowPunct/>
        <w:topLinePunct w:val="false"/>
        <w:bidi w:val="false"/>
        <w:snapToGrid/>
        <w:spacing w:lineRule="exact" w:line="600"/>
        <w:ind w:firstLine="640" w:firstLineChars="200"/>
        <w:jc w:val="both"/>
        <w:textAlignment w:val="auto"/>
        <w:rPr>
          <w:rFonts w:ascii="仿宋_GB2312" w:cs="仿宋_GB2312" w:eastAsia="仿宋_GB2312" w:hAnsi="仿宋_GB2312" w:hint="eastAsia"/>
          <w:sz w:val="32"/>
          <w:szCs w:val="32"/>
        </w:rPr>
      </w:pPr>
      <w:r>
        <w:rPr>
          <w:rFonts w:ascii="Times New Roman" w:eastAsia="仿宋_GB2312" w:hAnsi="Times New Roman" w:hint="eastAsia"/>
          <w:sz w:val="32"/>
          <w:szCs w:val="32"/>
        </w:rPr>
        <w:t>2</w:t>
      </w:r>
      <w:r>
        <w:rPr>
          <w:rFonts w:ascii="仿宋_GB2312" w:cs="仿宋_GB2312" w:eastAsia="仿宋_GB2312" w:hAnsi="仿宋_GB2312" w:hint="eastAsia"/>
          <w:sz w:val="32"/>
          <w:szCs w:val="32"/>
        </w:rPr>
        <w:t>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年度“三公”经费财政拨款支出决算中，公务接待费支出决算</w:t>
      </w:r>
      <w:r>
        <w:rPr>
          <w:rFonts w:ascii="仿宋_GB2312" w:cs="仿宋_GB2312" w:eastAsia="仿宋_GB2312" w:hAnsi="仿宋_GB2312" w:hint="eastAsia"/>
          <w:sz w:val="32"/>
          <w:szCs w:val="32"/>
          <w:lang w:val="en-US" w:eastAsia="zh-CN"/>
        </w:rPr>
        <w:t>2.44</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57.82</w:t>
      </w:r>
      <w:r>
        <w:rPr>
          <w:rFonts w:ascii="仿宋_GB2312" w:cs="仿宋_GB2312" w:eastAsia="仿宋_GB2312" w:hAnsi="仿宋_GB2312" w:hint="eastAsia"/>
          <w:sz w:val="32"/>
          <w:szCs w:val="32"/>
        </w:rPr>
        <w:t>%,因公出国（境）费支出决算</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%,公务用车购置费及运行维护费支出决算</w:t>
      </w:r>
      <w:r>
        <w:rPr>
          <w:rFonts w:ascii="仿宋_GB2312" w:cs="仿宋_GB2312" w:eastAsia="仿宋_GB2312" w:hAnsi="仿宋_GB2312" w:hint="eastAsia"/>
          <w:sz w:val="32"/>
          <w:szCs w:val="32"/>
          <w:lang w:val="en-US" w:eastAsia="zh-CN"/>
        </w:rPr>
        <w:t>1.78</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42.18</w:t>
      </w:r>
      <w:r>
        <w:rPr>
          <w:rFonts w:ascii="仿宋_GB2312" w:cs="仿宋_GB2312" w:eastAsia="仿宋_GB2312" w:hAnsi="仿宋_GB2312" w:hint="eastAsia"/>
          <w:sz w:val="32"/>
          <w:szCs w:val="32"/>
        </w:rPr>
        <w:t>%。其中：</w:t>
      </w:r>
    </w:p>
    <w:p w14:paraId="0E6F02AD">
      <w:pPr>
        <w:pStyle w:val="style4099"/>
        <w:keepNext w:val="false"/>
        <w:keepLines w:val="false"/>
        <w:pageBreakBefore w:val="false"/>
        <w:widowControl w:val="false"/>
        <w:kinsoku/>
        <w:wordWrap/>
        <w:overflowPunct/>
        <w:topLinePunct w:val="false"/>
        <w:bidi w:val="false"/>
        <w:snapToGrid/>
        <w:spacing w:lineRule="exact" w:line="600"/>
        <w:ind w:firstLine="800" w:firstLineChars="250"/>
        <w:jc w:val="both"/>
        <w:textAlignment w:val="auto"/>
        <w:rPr>
          <w:rFonts w:ascii="仿宋_GB2312" w:cs="仿宋_GB2312" w:eastAsia="仿宋_GB2312" w:hAnsi="仿宋_GB2312" w:hint="eastAsia"/>
          <w:b/>
          <w:bCs/>
          <w:i/>
          <w:color w:val="auto"/>
          <w:sz w:val="32"/>
          <w:szCs w:val="32"/>
        </w:rPr>
      </w:pP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因公出国（境）费支出决算为0万元，全年安排因公出国（境）团组0个，累计0人次，我单位2023年度无因公出国（境）费支出。</w:t>
      </w:r>
    </w:p>
    <w:p w14:paraId="666B3D4F">
      <w:pPr>
        <w:pStyle w:val="style4099"/>
        <w:keepNext w:val="false"/>
        <w:keepLines w:val="false"/>
        <w:pageBreakBefore w:val="false"/>
        <w:widowControl w:val="false"/>
        <w:kinsoku/>
        <w:wordWrap/>
        <w:overflowPunct/>
        <w:topLinePunct w:val="false"/>
        <w:bidi w:val="false"/>
        <w:snapToGrid/>
        <w:spacing w:lineRule="exact" w:line="600"/>
        <w:ind w:firstLine="800" w:firstLineChars="250"/>
        <w:jc w:val="both"/>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2、公务接待费支出决算为</w:t>
      </w:r>
      <w:r>
        <w:rPr>
          <w:rFonts w:ascii="仿宋_GB2312" w:cs="仿宋_GB2312" w:eastAsia="仿宋_GB2312" w:hAnsi="仿宋_GB2312" w:hint="eastAsia"/>
          <w:sz w:val="32"/>
          <w:szCs w:val="32"/>
          <w:lang w:val="en-US" w:eastAsia="zh-CN"/>
        </w:rPr>
        <w:t>2.44</w:t>
      </w:r>
      <w:r>
        <w:rPr>
          <w:rFonts w:ascii="仿宋_GB2312" w:cs="仿宋_GB2312" w:eastAsia="仿宋_GB2312" w:hAnsi="仿宋_GB2312" w:hint="eastAsia"/>
          <w:sz w:val="32"/>
          <w:szCs w:val="32"/>
        </w:rPr>
        <w:t>万元，全年共接待来访团组</w:t>
      </w:r>
      <w:r>
        <w:rPr>
          <w:rFonts w:ascii="仿宋_GB2312" w:cs="仿宋_GB2312" w:eastAsia="仿宋_GB2312" w:hAnsi="仿宋_GB2312" w:hint="eastAsia"/>
          <w:sz w:val="32"/>
          <w:szCs w:val="32"/>
          <w:lang w:val="en-US" w:eastAsia="zh-CN"/>
        </w:rPr>
        <w:t>30</w:t>
      </w:r>
      <w:r>
        <w:rPr>
          <w:rFonts w:ascii="仿宋_GB2312" w:cs="仿宋_GB2312" w:eastAsia="仿宋_GB2312" w:hAnsi="仿宋_GB2312" w:hint="eastAsia"/>
          <w:sz w:val="32"/>
          <w:szCs w:val="32"/>
        </w:rPr>
        <w:t>个、来宾</w:t>
      </w:r>
      <w:r>
        <w:rPr>
          <w:rFonts w:ascii="仿宋_GB2312" w:cs="仿宋_GB2312" w:eastAsia="仿宋_GB2312" w:hAnsi="仿宋_GB2312" w:hint="eastAsia"/>
          <w:sz w:val="32"/>
          <w:szCs w:val="32"/>
          <w:lang w:val="en-US" w:eastAsia="zh-CN"/>
        </w:rPr>
        <w:t>335</w:t>
      </w:r>
      <w:r>
        <w:rPr>
          <w:rFonts w:ascii="仿宋_GB2312" w:cs="仿宋_GB2312" w:eastAsia="仿宋_GB2312" w:hAnsi="仿宋_GB2312" w:hint="eastAsia"/>
          <w:sz w:val="32"/>
          <w:szCs w:val="32"/>
        </w:rPr>
        <w:t>人次，主要是与湖南省统计局及基层统计局工作交流发生的接待支出。</w:t>
      </w:r>
    </w:p>
    <w:p w14:paraId="444E59EC">
      <w:pPr>
        <w:pStyle w:val="style0"/>
        <w:keepNext w:val="false"/>
        <w:keepLines w:val="false"/>
        <w:pageBreakBefore w:val="false"/>
        <w:widowControl w:val="false"/>
        <w:kinsoku/>
        <w:wordWrap/>
        <w:overflowPunct/>
        <w:topLinePunct w:val="false"/>
        <w:bidi w:val="false"/>
        <w:snapToGrid/>
        <w:spacing w:lineRule="exact" w:line="600"/>
        <w:ind w:firstLine="800" w:firstLineChars="250"/>
        <w:jc w:val="both"/>
        <w:textAlignment w:val="auto"/>
        <w:rPr>
          <w:rFonts w:ascii="黑体" w:cs="黑体" w:eastAsia="黑体" w:hAnsi="黑体" w:hint="eastAsia"/>
          <w:b w:val="false"/>
          <w:bCs/>
          <w:sz w:val="32"/>
          <w:szCs w:val="32"/>
        </w:rPr>
      </w:pPr>
      <w:r>
        <w:rPr>
          <w:rFonts w:ascii="仿宋_GB2312" w:cs="仿宋_GB2312" w:eastAsia="仿宋_GB2312" w:hAnsi="仿宋_GB2312" w:hint="eastAsia"/>
          <w:sz w:val="32"/>
          <w:szCs w:val="32"/>
        </w:rPr>
        <w:t>3、公务用车购置费及运行维护费支出决算为</w:t>
      </w:r>
      <w:r>
        <w:rPr>
          <w:rFonts w:ascii="仿宋_GB2312" w:cs="仿宋_GB2312" w:eastAsia="仿宋_GB2312" w:hAnsi="仿宋_GB2312" w:hint="eastAsia"/>
          <w:sz w:val="32"/>
          <w:szCs w:val="32"/>
          <w:lang w:val="en-US" w:eastAsia="zh-CN"/>
        </w:rPr>
        <w:t>1.78</w:t>
      </w:r>
      <w:r>
        <w:rPr>
          <w:rFonts w:ascii="仿宋_GB2312" w:cs="仿宋_GB2312" w:eastAsia="仿宋_GB2312" w:hAnsi="仿宋_GB2312" w:hint="eastAsia"/>
          <w:sz w:val="32"/>
          <w:szCs w:val="32"/>
        </w:rPr>
        <w:t>万元，其中：公务用车购置费</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万元，当年没有购置公务用车</w:t>
      </w:r>
      <w:r>
        <w:rPr>
          <w:rFonts w:ascii="仿宋_GB2312" w:cs="仿宋_GB2312" w:eastAsia="仿宋_GB2312" w:hAnsi="仿宋_GB2312" w:hint="eastAsia"/>
          <w:color w:val="000000"/>
          <w:sz w:val="32"/>
          <w:szCs w:val="32"/>
        </w:rPr>
        <w:t>。</w:t>
      </w:r>
      <w:r>
        <w:rPr>
          <w:rFonts w:ascii="仿宋_GB2312" w:cs="仿宋_GB2312" w:eastAsia="仿宋_GB2312" w:hAnsi="仿宋_GB2312" w:hint="eastAsia"/>
          <w:sz w:val="32"/>
          <w:szCs w:val="32"/>
        </w:rPr>
        <w:t>公务用车运行维护费</w:t>
      </w:r>
      <w:r>
        <w:rPr>
          <w:rFonts w:ascii="仿宋_GB2312" w:cs="仿宋_GB2312" w:eastAsia="仿宋_GB2312" w:hAnsi="仿宋_GB2312" w:hint="eastAsia"/>
          <w:sz w:val="32"/>
          <w:szCs w:val="32"/>
          <w:lang w:val="en-US" w:eastAsia="zh-CN"/>
        </w:rPr>
        <w:t>1.78</w:t>
      </w:r>
      <w:r>
        <w:rPr>
          <w:rFonts w:ascii="仿宋_GB2312" w:cs="仿宋_GB2312" w:eastAsia="仿宋_GB2312" w:hAnsi="仿宋_GB2312" w:hint="eastAsia"/>
          <w:sz w:val="32"/>
          <w:szCs w:val="32"/>
        </w:rPr>
        <w:t>万元，主要是燃油费、过路过桥费、维修费、车辆保险等支出，截止202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年12月31日，我单位开支财政拨款的公务用车保有量为</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辆。</w:t>
      </w:r>
    </w:p>
    <w:p w14:paraId="7376B0AE">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Times New Roman" w:eastAsia="仿宋_GB2312" w:hAnsi="Times New Roman"/>
          <w:b/>
          <w:color w:val="auto"/>
          <w:sz w:val="32"/>
          <w:szCs w:val="32"/>
        </w:rPr>
      </w:pPr>
      <w:r>
        <w:rPr>
          <w:rFonts w:ascii="Times New Roman" w:eastAsia="仿宋_GB2312" w:hAnsi="Times New Roman" w:hint="eastAsia"/>
          <w:b/>
          <w:color w:val="auto"/>
          <w:sz w:val="32"/>
          <w:szCs w:val="32"/>
          <w:lang w:eastAsia="zh-CN"/>
        </w:rPr>
        <w:t>十</w:t>
      </w:r>
      <w:r>
        <w:rPr>
          <w:rFonts w:ascii="Times New Roman" w:eastAsia="仿宋_GB2312" w:hAnsi="Times New Roman" w:hint="eastAsia"/>
          <w:b/>
          <w:color w:val="auto"/>
          <w:sz w:val="32"/>
          <w:szCs w:val="32"/>
        </w:rPr>
        <w:t>、关于机关运行经费支出说明</w:t>
      </w:r>
    </w:p>
    <w:p w14:paraId="12873E24">
      <w:pPr>
        <w:pStyle w:val="style4099"/>
        <w:ind w:firstLine="640" w:firstLineChars="200"/>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rPr>
        <w:t>本部门202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年度机关运行经费支出</w:t>
      </w:r>
      <w:r>
        <w:rPr>
          <w:rFonts w:ascii="仿宋_GB2312" w:cs="仿宋_GB2312" w:eastAsia="仿宋_GB2312" w:hAnsi="仿宋_GB2312" w:hint="eastAsia"/>
          <w:sz w:val="32"/>
          <w:szCs w:val="32"/>
          <w:lang w:val="en-US" w:eastAsia="zh-CN"/>
        </w:rPr>
        <w:t>98.23</w:t>
      </w:r>
      <w:r>
        <w:rPr>
          <w:rFonts w:ascii="仿宋_GB2312" w:cs="仿宋_GB2312" w:eastAsia="仿宋_GB2312" w:hAnsi="仿宋_GB2312" w:hint="eastAsia"/>
          <w:sz w:val="32"/>
          <w:szCs w:val="32"/>
        </w:rPr>
        <w:t>万元，比上年决算数减少</w:t>
      </w:r>
      <w:r>
        <w:rPr>
          <w:rFonts w:ascii="仿宋_GB2312" w:cs="仿宋_GB2312" w:eastAsia="仿宋_GB2312" w:hAnsi="仿宋_GB2312" w:hint="eastAsia"/>
          <w:sz w:val="32"/>
          <w:szCs w:val="32"/>
          <w:lang w:val="en-US" w:eastAsia="zh-CN"/>
        </w:rPr>
        <w:t>0.58</w:t>
      </w:r>
      <w:r>
        <w:rPr>
          <w:rFonts w:ascii="仿宋_GB2312" w:cs="仿宋_GB2312" w:eastAsia="仿宋_GB2312" w:hAnsi="仿宋_GB2312" w:hint="eastAsia"/>
          <w:sz w:val="32"/>
          <w:szCs w:val="32"/>
        </w:rPr>
        <w:t xml:space="preserve"> 万元，降低</w:t>
      </w:r>
      <w:r>
        <w:rPr>
          <w:rFonts w:ascii="仿宋_GB2312" w:cs="仿宋_GB2312" w:eastAsia="仿宋_GB2312" w:hAnsi="仿宋_GB2312" w:hint="eastAsia"/>
          <w:sz w:val="32"/>
          <w:szCs w:val="32"/>
          <w:lang w:val="en-US" w:eastAsia="zh-CN"/>
        </w:rPr>
        <w:t>0.59</w:t>
      </w:r>
      <w:r>
        <w:rPr>
          <w:rFonts w:ascii="仿宋_GB2312" w:cs="仿宋_GB2312" w:eastAsia="仿宋_GB2312" w:hAnsi="仿宋_GB2312" w:hint="eastAsia"/>
          <w:sz w:val="32"/>
          <w:szCs w:val="32"/>
        </w:rPr>
        <w:t>%。主要原因是：</w:t>
      </w:r>
      <w:r>
        <w:rPr>
          <w:rFonts w:ascii="仿宋_GB2312" w:cs="仿宋_GB2312" w:eastAsia="仿宋_GB2312" w:hAnsi="仿宋_GB2312" w:hint="eastAsia"/>
          <w:sz w:val="32"/>
          <w:szCs w:val="32"/>
          <w:lang w:val="en-US" w:eastAsia="zh-CN"/>
        </w:rPr>
        <w:t>2023年12月份预算一体化系统升级，资金暂停支付。</w:t>
      </w:r>
    </w:p>
    <w:p w14:paraId="33B7DC8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十</w:t>
      </w:r>
      <w:r>
        <w:rPr>
          <w:rFonts w:cs="黑体" w:hAnsi="黑体" w:hint="eastAsia"/>
          <w:b w:val="false"/>
          <w:bCs/>
          <w:sz w:val="32"/>
          <w:szCs w:val="32"/>
          <w:lang w:eastAsia="zh-CN"/>
        </w:rPr>
        <w:t>一</w:t>
      </w:r>
      <w:r>
        <w:rPr>
          <w:rFonts w:ascii="黑体" w:cs="黑体" w:eastAsia="黑体" w:hAnsi="黑体" w:hint="eastAsia"/>
          <w:b w:val="false"/>
          <w:bCs/>
          <w:sz w:val="32"/>
          <w:szCs w:val="32"/>
        </w:rPr>
        <w:t>、一般性支出情况说明</w:t>
      </w:r>
    </w:p>
    <w:p w14:paraId="0AA564D5">
      <w:pPr>
        <w:pStyle w:val="style4099"/>
        <w:ind w:firstLine="640" w:firstLineChars="200"/>
        <w:jc w:val="both"/>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w:t>
      </w:r>
      <w:r>
        <w:rPr>
          <w:rFonts w:ascii="仿宋_GB2312" w:cs="仿宋_GB2312" w:eastAsia="仿宋_GB2312" w:hAnsi="仿宋_GB2312" w:hint="eastAsia"/>
          <w:sz w:val="32"/>
          <w:szCs w:val="32"/>
          <w:lang w:val="en-US" w:eastAsia="zh-CN"/>
        </w:rPr>
        <w:t>年度，会议费年初预算1.26万元，支出决算为1.26万元，完成年初预算的100%。用于召开全市统计会议，内容为全市统计工作会议</w:t>
      </w:r>
      <w:r>
        <w:rPr>
          <w:rFonts w:ascii="仿宋_GB2312" w:cs="仿宋_GB2312" w:eastAsia="仿宋_GB2312" w:hAnsi="仿宋_GB2312" w:hint="eastAsia"/>
          <w:sz w:val="32"/>
          <w:szCs w:val="32"/>
          <w:lang w:eastAsia="zh-CN"/>
        </w:rPr>
        <w:t>。</w:t>
      </w:r>
    </w:p>
    <w:p w14:paraId="77A07356">
      <w:pPr>
        <w:pStyle w:val="style0"/>
        <w:widowControl w:val="false"/>
        <w:autoSpaceDE w:val="false"/>
        <w:autoSpaceDN w:val="false"/>
        <w:adjustRightInd w:val="false"/>
        <w:ind w:firstLine="640" w:firstLineChars="200"/>
        <w:jc w:val="both"/>
        <w:rPr>
          <w:rFonts w:ascii="仿宋_GB2312" w:cs="仿宋_GB2312" w:eastAsia="仿宋_GB2312" w:hAnsi="仿宋_GB2312" w:hint="eastAsia"/>
          <w:color w:val="000000"/>
          <w:kern w:val="0"/>
          <w:sz w:val="32"/>
          <w:szCs w:val="32"/>
          <w:lang w:val="en-US" w:bidi="ar-SA" w:eastAsia="zh-CN"/>
        </w:rPr>
      </w:pPr>
      <w:r>
        <w:rPr>
          <w:rFonts w:ascii="仿宋_GB2312" w:cs="仿宋_GB2312" w:eastAsia="仿宋_GB2312" w:hAnsi="仿宋_GB2312" w:hint="eastAsia"/>
          <w:color w:val="000000"/>
          <w:kern w:val="0"/>
          <w:sz w:val="32"/>
          <w:szCs w:val="32"/>
          <w:lang w:val="en-US" w:bidi="ar-SA" w:eastAsia="zh-CN"/>
        </w:rPr>
        <w:t>培训费年初预算34.37万元，支出决算为34.37万元，完成年初预算的100%。用于开展统计业务培训，内容为全国第五次经济普查业务培训、人口抽样调查业务培训、贸易与产业园业务培训、工业企业成本费用调查培训、能源业务培训、服务业数据审核培训等。</w:t>
      </w:r>
    </w:p>
    <w:p w14:paraId="46109A27">
      <w:pPr>
        <w:pStyle w:val="style4099"/>
        <w:keepNext w:val="false"/>
        <w:keepLines w:val="false"/>
        <w:pageBreakBefore w:val="false"/>
        <w:widowControl w:val="false"/>
        <w:kinsoku/>
        <w:wordWrap/>
        <w:overflowPunct/>
        <w:topLinePunct w:val="false"/>
        <w:bidi w:val="false"/>
        <w:snapToGrid/>
        <w:spacing w:lineRule="exact" w:line="600"/>
        <w:ind w:firstLine="640" w:firstLineChars="200"/>
        <w:jc w:val="both"/>
        <w:textAlignment w:val="auto"/>
        <w:rPr>
          <w:rFonts w:ascii="仿宋_GB2312" w:cs="仿宋_GB2312" w:eastAsia="仿宋_GB2312" w:hAnsi="仿宋_GB2312" w:hint="eastAsia"/>
          <w:color w:val="000000"/>
          <w:kern w:val="0"/>
          <w:sz w:val="32"/>
          <w:szCs w:val="32"/>
          <w:lang w:val="en-US" w:bidi="ar-SA" w:eastAsia="zh-CN"/>
        </w:rPr>
      </w:pPr>
      <w:r>
        <w:rPr>
          <w:rFonts w:ascii="仿宋_GB2312" w:cs="仿宋_GB2312" w:eastAsia="仿宋_GB2312" w:hAnsi="仿宋_GB2312" w:hint="eastAsia"/>
          <w:color w:val="000000"/>
          <w:kern w:val="0"/>
          <w:sz w:val="32"/>
          <w:szCs w:val="32"/>
          <w:lang w:val="en-US" w:bidi="ar-SA" w:eastAsia="zh-CN"/>
        </w:rPr>
        <w:t>本单位无举办节庆、晚会、论坛、赛事等活动的预算和支出决算数。</w:t>
      </w:r>
    </w:p>
    <w:p w14:paraId="57E9560C">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十</w:t>
      </w:r>
      <w:r>
        <w:rPr>
          <w:rFonts w:cs="黑体" w:hAnsi="黑体" w:hint="eastAsia"/>
          <w:b w:val="false"/>
          <w:bCs/>
          <w:sz w:val="32"/>
          <w:szCs w:val="32"/>
          <w:lang w:eastAsia="zh-CN"/>
        </w:rPr>
        <w:t>二</w:t>
      </w:r>
      <w:r>
        <w:rPr>
          <w:rFonts w:ascii="黑体" w:cs="黑体" w:eastAsia="黑体" w:hAnsi="黑体" w:hint="eastAsia"/>
          <w:b w:val="false"/>
          <w:bCs/>
          <w:sz w:val="32"/>
          <w:szCs w:val="32"/>
        </w:rPr>
        <w:t>、关于政府采购支出说明</w:t>
      </w:r>
    </w:p>
    <w:p w14:paraId="16B68E8C">
      <w:pPr>
        <w:pStyle w:val="style4099"/>
        <w:ind w:firstLine="640" w:firstLineChars="200"/>
        <w:jc w:val="both"/>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本部门202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年度政府采购支出总额</w:t>
      </w:r>
      <w:r>
        <w:rPr>
          <w:rFonts w:ascii="仿宋_GB2312" w:cs="仿宋_GB2312" w:eastAsia="仿宋_GB2312" w:hAnsi="仿宋_GB2312" w:hint="eastAsia"/>
          <w:sz w:val="32"/>
          <w:szCs w:val="32"/>
          <w:lang w:val="en-US" w:eastAsia="zh-CN"/>
        </w:rPr>
        <w:t>324.55</w:t>
      </w:r>
      <w:r>
        <w:rPr>
          <w:rFonts w:ascii="仿宋_GB2312" w:cs="仿宋_GB2312" w:eastAsia="仿宋_GB2312" w:hAnsi="仿宋_GB2312" w:hint="eastAsia"/>
          <w:sz w:val="32"/>
          <w:szCs w:val="32"/>
        </w:rPr>
        <w:t>万元，其中：政府采购货物支出</w:t>
      </w:r>
      <w:r>
        <w:rPr>
          <w:rFonts w:ascii="仿宋_GB2312" w:cs="仿宋_GB2312" w:eastAsia="仿宋_GB2312" w:hAnsi="仿宋_GB2312" w:hint="eastAsia"/>
          <w:sz w:val="32"/>
          <w:szCs w:val="32"/>
          <w:lang w:val="en-US" w:eastAsia="zh-CN"/>
        </w:rPr>
        <w:t>154.54</w:t>
      </w:r>
      <w:r>
        <w:rPr>
          <w:rFonts w:ascii="仿宋_GB2312" w:cs="仿宋_GB2312" w:eastAsia="仿宋_GB2312" w:hAnsi="仿宋_GB2312" w:hint="eastAsia"/>
          <w:sz w:val="32"/>
          <w:szCs w:val="32"/>
        </w:rPr>
        <w:t>万元、政府采购工程支出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万元、政府采购服务支出</w:t>
      </w:r>
      <w:r>
        <w:rPr>
          <w:rFonts w:ascii="仿宋_GB2312" w:cs="仿宋_GB2312" w:eastAsia="仿宋_GB2312" w:hAnsi="仿宋_GB2312" w:hint="eastAsia"/>
          <w:sz w:val="32"/>
          <w:szCs w:val="32"/>
          <w:lang w:val="en-US" w:eastAsia="zh-CN"/>
        </w:rPr>
        <w:t>170.01</w:t>
      </w:r>
      <w:r>
        <w:rPr>
          <w:rFonts w:ascii="仿宋_GB2312" w:cs="仿宋_GB2312" w:eastAsia="仿宋_GB2312" w:hAnsi="仿宋_GB2312" w:hint="eastAsia"/>
          <w:sz w:val="32"/>
          <w:szCs w:val="32"/>
        </w:rPr>
        <w:t>万元。授予中小企业合同金额</w:t>
      </w:r>
      <w:r>
        <w:rPr>
          <w:rFonts w:ascii="仿宋_GB2312" w:cs="仿宋_GB2312" w:eastAsia="仿宋_GB2312" w:hAnsi="仿宋_GB2312" w:hint="eastAsia"/>
          <w:sz w:val="32"/>
          <w:szCs w:val="32"/>
          <w:lang w:val="en-US" w:eastAsia="zh-CN"/>
        </w:rPr>
        <w:t>324.55</w:t>
      </w:r>
      <w:r>
        <w:rPr>
          <w:rFonts w:ascii="仿宋_GB2312" w:cs="仿宋_GB2312" w:eastAsia="仿宋_GB2312" w:hAnsi="仿宋_GB2312" w:hint="eastAsia"/>
          <w:sz w:val="32"/>
          <w:szCs w:val="32"/>
        </w:rPr>
        <w:t>万元，占政府采购支出总额的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%，其中：授予小微企业合同金额</w:t>
      </w:r>
      <w:r>
        <w:rPr>
          <w:rFonts w:ascii="仿宋_GB2312" w:cs="仿宋_GB2312" w:eastAsia="仿宋_GB2312" w:hAnsi="仿宋_GB2312" w:hint="eastAsia"/>
          <w:sz w:val="32"/>
          <w:szCs w:val="32"/>
          <w:lang w:val="en-US" w:eastAsia="zh-CN"/>
        </w:rPr>
        <w:t>324.55</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eastAsia="zh-CN"/>
        </w:rPr>
        <w:t>授予中小企业合同金额</w:t>
      </w:r>
      <w:r>
        <w:rPr>
          <w:rFonts w:ascii="仿宋_GB2312" w:cs="仿宋_GB2312" w:eastAsia="仿宋_GB2312" w:hAnsi="仿宋_GB2312" w:hint="eastAsia"/>
          <w:sz w:val="32"/>
          <w:szCs w:val="32"/>
        </w:rPr>
        <w:t>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%。货物采购授予中小企业合同金额占货物支出金额的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%，工程采购授予中小企业合同金额占工程支出金额</w:t>
      </w:r>
      <w:r>
        <w:rPr>
          <w:rFonts w:ascii="仿宋_GB2312" w:cs="仿宋_GB2312" w:eastAsia="仿宋_GB2312" w:hAnsi="仿宋_GB2312" w:hint="eastAsia"/>
          <w:sz w:val="32"/>
          <w:szCs w:val="32"/>
          <w:lang w:eastAsia="zh-CN"/>
        </w:rPr>
        <w:t>比重（由于工程支出合同金额为</w:t>
      </w:r>
      <w:r>
        <w:rPr>
          <w:rFonts w:ascii="仿宋_GB2312" w:cs="仿宋_GB2312" w:eastAsia="仿宋_GB2312" w:hAnsi="仿宋_GB2312" w:hint="eastAsia"/>
          <w:sz w:val="32"/>
          <w:szCs w:val="32"/>
          <w:lang w:val="en-US" w:eastAsia="zh-CN"/>
        </w:rPr>
        <w:t>0，故无法计算占比</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rPr>
        <w:t>，服务采购授予中小企业合同金额占服务支出金额的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w:t>
      </w:r>
    </w:p>
    <w:p w14:paraId="7AA4D161">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黑体" w:cs="黑体" w:eastAsia="黑体" w:hAnsi="黑体" w:hint="eastAsia"/>
          <w:b w:val="false"/>
          <w:bCs/>
          <w:color w:val="auto"/>
          <w:sz w:val="32"/>
          <w:szCs w:val="32"/>
        </w:rPr>
      </w:pPr>
      <w:r>
        <w:rPr>
          <w:rFonts w:ascii="黑体" w:cs="黑体" w:eastAsia="黑体" w:hAnsi="黑体" w:hint="eastAsia"/>
          <w:b w:val="false"/>
          <w:bCs/>
          <w:color w:val="auto"/>
          <w:sz w:val="32"/>
          <w:szCs w:val="32"/>
        </w:rPr>
        <w:t>十</w:t>
      </w:r>
      <w:r>
        <w:rPr>
          <w:rFonts w:cs="黑体" w:hAnsi="黑体" w:hint="eastAsia"/>
          <w:b w:val="false"/>
          <w:bCs/>
          <w:color w:val="auto"/>
          <w:sz w:val="32"/>
          <w:szCs w:val="32"/>
          <w:lang w:eastAsia="zh-CN"/>
        </w:rPr>
        <w:t>三</w:t>
      </w:r>
      <w:r>
        <w:rPr>
          <w:rFonts w:ascii="黑体" w:cs="黑体" w:eastAsia="黑体" w:hAnsi="黑体" w:hint="eastAsia"/>
          <w:b w:val="false"/>
          <w:bCs/>
          <w:color w:val="auto"/>
          <w:sz w:val="32"/>
          <w:szCs w:val="32"/>
        </w:rPr>
        <w:t>、关于国有资产占用情况说明</w:t>
      </w:r>
    </w:p>
    <w:p w14:paraId="7F02DD66">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仿宋_GB2312" w:cs="仿宋_GB2312" w:eastAsia="仿宋_GB2312" w:hAnsi="仿宋_GB2312" w:hint="eastAsia"/>
          <w:i w:val="false"/>
          <w:iCs/>
          <w:color w:val="ff0000"/>
          <w:sz w:val="32"/>
          <w:szCs w:val="32"/>
          <w:lang w:val="en-US" w:eastAsia="zh-CN"/>
        </w:rPr>
      </w:pPr>
      <w:r>
        <w:rPr>
          <w:rFonts w:ascii="仿宋_GB2312" w:cs="仿宋_GB2312" w:eastAsia="仿宋_GB2312" w:hAnsi="仿宋_GB2312" w:hint="eastAsia"/>
          <w:color w:val="auto"/>
          <w:sz w:val="32"/>
          <w:szCs w:val="32"/>
        </w:rPr>
        <w:t>截至202</w:t>
      </w:r>
      <w:r>
        <w:rPr>
          <w:rFonts w:ascii="仿宋_GB2312" w:cs="仿宋_GB2312" w:eastAsia="仿宋_GB2312" w:hAnsi="仿宋_GB2312" w:hint="eastAsia"/>
          <w:color w:val="auto"/>
          <w:sz w:val="32"/>
          <w:szCs w:val="32"/>
          <w:lang w:val="en-US" w:eastAsia="zh-CN"/>
        </w:rPr>
        <w:t>3</w:t>
      </w:r>
      <w:r>
        <w:rPr>
          <w:rFonts w:ascii="仿宋_GB2312" w:cs="仿宋_GB2312" w:eastAsia="仿宋_GB2312" w:hAnsi="仿宋_GB2312" w:hint="eastAsia"/>
          <w:color w:val="auto"/>
          <w:sz w:val="32"/>
          <w:szCs w:val="32"/>
        </w:rPr>
        <w:t>年12月31日，</w:t>
      </w:r>
      <w:r>
        <w:rPr>
          <w:rFonts w:ascii="仿宋_GB2312" w:cs="仿宋_GB2312" w:eastAsia="仿宋_GB2312" w:hAnsi="仿宋_GB2312" w:hint="eastAsia"/>
          <w:color w:val="auto"/>
          <w:sz w:val="32"/>
          <w:szCs w:val="32"/>
          <w:lang w:eastAsia="zh-CN"/>
        </w:rPr>
        <w:t>部门</w:t>
      </w:r>
      <w:r>
        <w:rPr>
          <w:rFonts w:ascii="仿宋_GB2312" w:cs="仿宋_GB2312" w:eastAsia="仿宋_GB2312" w:hAnsi="仿宋_GB2312" w:hint="eastAsia"/>
          <w:color w:val="auto"/>
          <w:sz w:val="32"/>
          <w:szCs w:val="32"/>
        </w:rPr>
        <w:t>共有车辆</w:t>
      </w:r>
      <w:r>
        <w:rPr>
          <w:rFonts w:ascii="仿宋_GB2312" w:cs="仿宋_GB2312" w:eastAsia="仿宋_GB2312" w:hAnsi="仿宋_GB2312" w:hint="eastAsia"/>
          <w:color w:val="auto"/>
          <w:sz w:val="32"/>
          <w:szCs w:val="32"/>
          <w:lang w:val="en-US" w:eastAsia="zh-CN"/>
        </w:rPr>
        <w:t>1</w:t>
      </w:r>
      <w:r>
        <w:rPr>
          <w:rFonts w:ascii="仿宋_GB2312" w:cs="仿宋_GB2312" w:eastAsia="仿宋_GB2312" w:hAnsi="仿宋_GB2312" w:hint="eastAsia"/>
          <w:color w:val="auto"/>
          <w:sz w:val="32"/>
          <w:szCs w:val="32"/>
        </w:rPr>
        <w:t>辆，其中</w:t>
      </w:r>
      <w:r>
        <w:rPr>
          <w:rFonts w:ascii="仿宋_GB2312" w:cs="仿宋_GB2312" w:eastAsia="仿宋_GB2312" w:hAnsi="仿宋_GB2312" w:hint="eastAsia"/>
          <w:color w:val="auto"/>
          <w:sz w:val="32"/>
          <w:szCs w:val="32"/>
          <w:lang w:eastAsia="zh-CN"/>
        </w:rPr>
        <w:t>，副部（省）级及以上领导用车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rPr>
        <w:t>主要</w:t>
      </w:r>
      <w:r>
        <w:rPr>
          <w:rFonts w:ascii="仿宋_GB2312" w:cs="仿宋_GB2312" w:eastAsia="仿宋_GB2312" w:hAnsi="仿宋_GB2312" w:hint="eastAsia"/>
          <w:color w:val="auto"/>
          <w:sz w:val="32"/>
          <w:szCs w:val="32"/>
          <w:lang w:eastAsia="zh-CN"/>
        </w:rPr>
        <w:t>负责人</w:t>
      </w:r>
      <w:r>
        <w:rPr>
          <w:rFonts w:ascii="仿宋_GB2312" w:cs="仿宋_GB2312" w:eastAsia="仿宋_GB2312" w:hAnsi="仿宋_GB2312" w:hint="eastAsia"/>
          <w:color w:val="auto"/>
          <w:sz w:val="32"/>
          <w:szCs w:val="32"/>
        </w:rPr>
        <w:t>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w:t>
      </w:r>
      <w:r>
        <w:rPr>
          <w:rFonts w:ascii="仿宋_GB2312" w:cs="仿宋_GB2312" w:eastAsia="仿宋_GB2312" w:hAnsi="仿宋_GB2312" w:hint="eastAsia"/>
          <w:color w:val="auto"/>
          <w:sz w:val="32"/>
          <w:szCs w:val="32"/>
          <w:lang w:eastAsia="zh-CN"/>
        </w:rPr>
        <w:t>、</w:t>
      </w:r>
      <w:r>
        <w:rPr>
          <w:rFonts w:ascii="仿宋_GB2312" w:cs="仿宋_GB2312" w:eastAsia="仿宋_GB2312" w:hAnsi="仿宋_GB2312" w:hint="eastAsia"/>
          <w:color w:val="auto"/>
          <w:sz w:val="32"/>
          <w:szCs w:val="32"/>
        </w:rPr>
        <w:t>机要通信用车</w:t>
      </w:r>
      <w:r>
        <w:rPr>
          <w:rFonts w:ascii="仿宋_GB2312" w:cs="仿宋_GB2312" w:eastAsia="仿宋_GB2312" w:hAnsi="仿宋_GB2312" w:hint="eastAsia"/>
          <w:color w:val="auto"/>
          <w:sz w:val="32"/>
          <w:szCs w:val="32"/>
          <w:lang w:val="en-US" w:eastAsia="zh-CN"/>
        </w:rPr>
        <w:t>1</w:t>
      </w:r>
      <w:r>
        <w:rPr>
          <w:rFonts w:ascii="仿宋_GB2312" w:cs="仿宋_GB2312" w:eastAsia="仿宋_GB2312" w:hAnsi="仿宋_GB2312" w:hint="eastAsia"/>
          <w:color w:val="auto"/>
          <w:sz w:val="32"/>
          <w:szCs w:val="32"/>
        </w:rPr>
        <w:t>辆、应急保障用车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辆、执法执勤用车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辆、特种专业技术用车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w:t>
      </w:r>
      <w:r>
        <w:rPr>
          <w:rFonts w:ascii="仿宋_GB2312" w:cs="仿宋_GB2312" w:eastAsia="仿宋_GB2312" w:hAnsi="仿宋_GB2312" w:hint="eastAsia"/>
          <w:color w:val="auto"/>
          <w:sz w:val="32"/>
          <w:szCs w:val="32"/>
          <w:lang w:eastAsia="zh-CN"/>
        </w:rPr>
        <w:t>离退休干部服务用车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辆、其他用车</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辆；单位价值100万元以上设备</w:t>
      </w:r>
      <w:r>
        <w:rPr>
          <w:rFonts w:ascii="仿宋_GB2312" w:cs="仿宋_GB2312" w:eastAsia="仿宋_GB2312" w:hAnsi="仿宋_GB2312" w:hint="eastAsia"/>
          <w:color w:val="auto"/>
          <w:sz w:val="32"/>
          <w:szCs w:val="32"/>
          <w:lang w:eastAsia="zh-CN"/>
        </w:rPr>
        <w:t>（不含车辆）</w:t>
      </w:r>
      <w:r>
        <w:rPr>
          <w:rFonts w:ascii="仿宋_GB2312" w:cs="仿宋_GB2312" w:eastAsia="仿宋_GB2312" w:hAnsi="仿宋_GB2312" w:hint="eastAsia"/>
          <w:color w:val="auto"/>
          <w:sz w:val="32"/>
          <w:szCs w:val="32"/>
          <w:lang w:val="en-US" w:eastAsia="zh-CN"/>
        </w:rPr>
        <w:t>0</w:t>
      </w:r>
      <w:r>
        <w:rPr>
          <w:rFonts w:ascii="仿宋_GB2312" w:cs="仿宋_GB2312" w:eastAsia="仿宋_GB2312" w:hAnsi="仿宋_GB2312" w:hint="eastAsia"/>
          <w:color w:val="auto"/>
          <w:sz w:val="32"/>
          <w:szCs w:val="32"/>
        </w:rPr>
        <w:t>台（套）。</w:t>
      </w:r>
    </w:p>
    <w:p w14:paraId="0F0FD439">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黑体" w:cs="黑体" w:eastAsia="黑体" w:hAnsi="黑体" w:hint="eastAsia"/>
          <w:b w:val="false"/>
          <w:bCs/>
          <w:color w:val="auto"/>
          <w:sz w:val="32"/>
          <w:szCs w:val="32"/>
        </w:rPr>
      </w:pPr>
      <w:r>
        <w:rPr>
          <w:rFonts w:ascii="黑体" w:cs="黑体" w:eastAsia="黑体" w:hAnsi="黑体" w:hint="eastAsia"/>
          <w:b w:val="false"/>
          <w:bCs/>
          <w:color w:val="auto"/>
          <w:sz w:val="32"/>
          <w:szCs w:val="32"/>
        </w:rPr>
        <w:t>十</w:t>
      </w:r>
      <w:r>
        <w:rPr>
          <w:rFonts w:cs="黑体" w:hAnsi="黑体" w:hint="eastAsia"/>
          <w:b w:val="false"/>
          <w:bCs/>
          <w:color w:val="auto"/>
          <w:sz w:val="32"/>
          <w:szCs w:val="32"/>
          <w:lang w:eastAsia="zh-CN"/>
        </w:rPr>
        <w:t>四</w:t>
      </w:r>
      <w:r>
        <w:rPr>
          <w:rFonts w:ascii="黑体" w:cs="黑体" w:eastAsia="黑体" w:hAnsi="黑体" w:hint="eastAsia"/>
          <w:b w:val="false"/>
          <w:bCs/>
          <w:color w:val="auto"/>
          <w:sz w:val="32"/>
          <w:szCs w:val="32"/>
        </w:rPr>
        <w:t>、关于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lang w:val="en-US" w:eastAsia="zh-CN"/>
        </w:rPr>
        <w:t>3</w:t>
      </w:r>
      <w:r>
        <w:rPr>
          <w:rFonts w:ascii="黑体" w:cs="黑体" w:eastAsia="黑体" w:hAnsi="黑体" w:hint="eastAsia"/>
          <w:b w:val="false"/>
          <w:bCs/>
          <w:color w:val="auto"/>
          <w:sz w:val="32"/>
          <w:szCs w:val="32"/>
        </w:rPr>
        <w:t>年度</w:t>
      </w:r>
      <w:r>
        <w:rPr>
          <w:rFonts w:cs="黑体" w:hAnsi="黑体" w:hint="eastAsia"/>
          <w:b w:val="false"/>
          <w:bCs/>
          <w:color w:val="auto"/>
          <w:sz w:val="32"/>
          <w:szCs w:val="32"/>
          <w:lang w:eastAsia="zh-CN"/>
        </w:rPr>
        <w:t>预算</w:t>
      </w:r>
      <w:r>
        <w:rPr>
          <w:rFonts w:ascii="黑体" w:cs="黑体" w:eastAsia="黑体" w:hAnsi="黑体" w:hint="eastAsia"/>
          <w:b w:val="false"/>
          <w:bCs/>
          <w:color w:val="auto"/>
          <w:sz w:val="32"/>
          <w:szCs w:val="32"/>
        </w:rPr>
        <w:t>绩效情况的说明</w:t>
      </w:r>
    </w:p>
    <w:p w14:paraId="5C8BA4F4">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lang w:eastAsia="zh-CN"/>
        </w:rPr>
      </w:pPr>
      <w:r>
        <w:rPr>
          <w:rFonts w:ascii="楷体" w:cs="楷体" w:eastAsia="楷体" w:hAnsi="楷体" w:hint="eastAsia"/>
          <w:b/>
          <w:bCs/>
          <w:sz w:val="32"/>
          <w:szCs w:val="32"/>
          <w:lang w:eastAsia="zh-CN"/>
        </w:rPr>
        <w:t>（一）绩效管理工作开展情况</w:t>
      </w:r>
    </w:p>
    <w:p w14:paraId="08A317D6">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根据预算绩效管理要求，我们组织对2023年度整体支出和项目资金实施了全覆盖性的绩效评价，撰写了绩效自评报告。</w:t>
      </w:r>
    </w:p>
    <w:p w14:paraId="6BE74926">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组织开展整体支出绩效评价，涉及一般公共预算支出1276.54万元，政府性基金预算支出0万元，国有资本经营预算支出0万元。从评价情况来看，整体支出绩效评价中，2023年整体支出1278.08万元，其中：基本支出961.41万元，项目支出316.67万元，本单位整体支出绩效自评综合评分99.99分，评价结果等次为</w:t>
      </w:r>
      <w:r>
        <w:rPr>
          <w:rFonts w:ascii="仿宋_GB2312" w:cs="仿宋_GB2312" w:eastAsia="仿宋_GB2312" w:hAnsi="仿宋_GB2312" w:hint="eastAsia"/>
          <w:b w:val="false"/>
          <w:bCs w:val="false"/>
          <w:sz w:val="32"/>
          <w:szCs w:val="32"/>
          <w:lang w:val="en-US" w:eastAsia="zh-CN"/>
        </w:rPr>
        <w:t>优</w:t>
      </w:r>
      <w:r>
        <w:rPr>
          <w:rFonts w:ascii="仿宋_GB2312" w:cs="仿宋_GB2312" w:eastAsia="仿宋_GB2312" w:hAnsi="仿宋_GB2312" w:hint="eastAsia"/>
          <w:b w:val="false"/>
          <w:bCs w:val="false"/>
          <w:color w:val="000000"/>
          <w:kern w:val="0"/>
          <w:sz w:val="32"/>
          <w:szCs w:val="32"/>
          <w:lang w:val="en-US" w:bidi="ar-SA" w:eastAsia="zh-CN"/>
        </w:rPr>
        <w:t>。</w:t>
      </w:r>
    </w:p>
    <w:p w14:paraId="30E227DF">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bCs/>
          <w:sz w:val="32"/>
          <w:szCs w:val="32"/>
          <w:lang w:eastAsia="zh-CN"/>
        </w:rPr>
      </w:pPr>
      <w:r>
        <w:rPr>
          <w:rFonts w:ascii="仿宋_GB2312" w:cs="仿宋_GB2312" w:eastAsia="仿宋_GB2312" w:hAnsi="仿宋_GB2312" w:hint="eastAsia"/>
          <w:b w:val="false"/>
          <w:bCs w:val="false"/>
          <w:color w:val="000000"/>
          <w:kern w:val="0"/>
          <w:sz w:val="32"/>
          <w:szCs w:val="32"/>
          <w:lang w:val="en-US" w:bidi="ar-SA" w:eastAsia="zh-CN"/>
        </w:rPr>
        <w:t>组织对一般公共预算项目支出全面开展绩效自评，项目8个，共涉及资金315.02万元，占一般公共预算项目支出总额的99.</w:t>
      </w:r>
      <w:r>
        <w:rPr>
          <w:rFonts w:ascii="仿宋_GB2312" w:cs="仿宋_GB2312" w:eastAsia="仿宋_GB2312" w:hAnsi="仿宋_GB2312" w:hint="default"/>
          <w:b w:val="false"/>
          <w:bCs w:val="false"/>
          <w:color w:val="000000"/>
          <w:kern w:val="0"/>
          <w:sz w:val="32"/>
          <w:szCs w:val="32"/>
          <w:lang w:val="en-US" w:bidi="ar-SA" w:eastAsia="zh-CN"/>
        </w:rPr>
        <w:t>97</w:t>
      </w:r>
      <w:r>
        <w:rPr>
          <w:rFonts w:ascii="仿宋_GB2312" w:cs="仿宋_GB2312" w:eastAsia="仿宋_GB2312" w:hAnsi="仿宋_GB2312" w:hint="eastAsia"/>
          <w:b w:val="false"/>
          <w:bCs w:val="false"/>
          <w:color w:val="000000"/>
          <w:kern w:val="0"/>
          <w:sz w:val="32"/>
          <w:szCs w:val="32"/>
          <w:lang w:val="en-US" w:bidi="ar-SA" w:eastAsia="zh-CN"/>
        </w:rPr>
        <w:t>%。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w:t>
      </w:r>
      <w:r>
        <w:rPr>
          <w:rFonts w:ascii="仿宋_GB2312" w:cs="仿宋_GB2312" w:eastAsia="仿宋_GB2312" w:hAnsi="仿宋_GB2312" w:hint="eastAsia"/>
          <w:b w:val="false"/>
          <w:bCs w:val="false"/>
          <w:sz w:val="32"/>
          <w:szCs w:val="32"/>
          <w:lang w:val="en-US" w:eastAsia="zh-CN"/>
        </w:rPr>
        <w:t>优</w:t>
      </w:r>
      <w:r>
        <w:rPr>
          <w:rFonts w:ascii="仿宋_GB2312" w:cs="仿宋_GB2312" w:eastAsia="仿宋_GB2312" w:hAnsi="仿宋_GB2312" w:hint="eastAsia"/>
          <w:b w:val="false"/>
          <w:bCs w:val="false"/>
          <w:color w:val="000000"/>
          <w:kern w:val="0"/>
          <w:sz w:val="32"/>
          <w:szCs w:val="32"/>
          <w:lang w:val="en-US" w:bidi="ar-SA" w:eastAsia="zh-CN"/>
        </w:rPr>
        <w:t>。</w:t>
      </w:r>
    </w:p>
    <w:p w14:paraId="709E6616">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rPr>
      </w:pPr>
      <w:r>
        <w:rPr>
          <w:rFonts w:ascii="楷体" w:cs="楷体" w:eastAsia="楷体" w:hAnsi="楷体" w:hint="eastAsia"/>
          <w:b/>
          <w:bCs/>
          <w:sz w:val="32"/>
          <w:szCs w:val="32"/>
          <w:lang w:eastAsia="zh-CN"/>
        </w:rPr>
        <w:t>（二）</w:t>
      </w:r>
      <w:r>
        <w:rPr>
          <w:rFonts w:ascii="楷体" w:cs="楷体" w:eastAsia="楷体" w:hAnsi="楷体" w:hint="eastAsia"/>
          <w:b/>
          <w:bCs/>
          <w:sz w:val="32"/>
          <w:szCs w:val="32"/>
        </w:rPr>
        <w:t>部门</w:t>
      </w:r>
      <w:r>
        <w:rPr>
          <w:rFonts w:ascii="楷体" w:cs="楷体" w:eastAsia="楷体" w:hAnsi="楷体" w:hint="eastAsia"/>
          <w:b/>
          <w:bCs/>
          <w:sz w:val="32"/>
          <w:szCs w:val="32"/>
          <w:lang w:eastAsia="zh-CN"/>
        </w:rPr>
        <w:t>（单位）</w:t>
      </w:r>
      <w:r>
        <w:rPr>
          <w:rFonts w:ascii="楷体" w:cs="楷体" w:eastAsia="楷体" w:hAnsi="楷体" w:hint="eastAsia"/>
          <w:b/>
          <w:bCs/>
          <w:sz w:val="32"/>
          <w:szCs w:val="32"/>
        </w:rPr>
        <w:t>整体支出绩效情况</w:t>
      </w:r>
    </w:p>
    <w:p w14:paraId="358526D3">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500"/>
        <w:ind w:left="0" w:right="0" w:firstLine="600"/>
        <w:jc w:val="both"/>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根据年初设定的绩效目标，绩效自评得分为99.99分。全年预算数为1278.14万元，执行数为1278.08万元，完成预算的99.995%。绩效目标完成情况：一是控制在预算内开支。为更好</w:t>
      </w:r>
      <w:bookmarkStart w:id="0" w:name="_GoBack"/>
      <w:bookmarkEnd w:id="0"/>
      <w:r>
        <w:rPr>
          <w:rFonts w:ascii="仿宋_GB2312" w:cs="仿宋_GB2312" w:eastAsia="仿宋_GB2312" w:hAnsi="仿宋_GB2312" w:hint="eastAsia"/>
          <w:b w:val="false"/>
          <w:bCs w:val="false"/>
          <w:color w:val="000000"/>
          <w:kern w:val="0"/>
          <w:sz w:val="32"/>
          <w:szCs w:val="32"/>
          <w:lang w:val="en-US" w:bidi="ar-SA" w:eastAsia="zh-CN"/>
        </w:rPr>
        <w:t>地贯彻落实中央厉行节约的有关规定，创建节约型机关，成本管理不断加强，超预算、无预算不开支，严控预算调整。二是最大效益使用固定资产。截止2023年12月31日固定资产净值670.96万元，按照厉行节约，物尽其用的原则，资产管理采取统一建账，统一核算管理，对每一件固定资产使用明确保管职责，闲置的资产，由办公室统一调整，合理流动，发挥最大的效益。三是全年编辑了《岳阳经济动态》《2018-2022数据岳阳》《2023岳阳统计数据集》等资料，在《岳阳日报》上公开发布了《2022年岳阳市国民经济与经济发展统计公报》。四是按月开展全市经济运行形势分析，形成月度经济运行综合分析报告，向市委、市政府汇报经济运行情况，全年共3篇分析被市主要领导批示。五是成立了市统计局专项治理行动工作专班。制定了局党组和局机关工作实施方案及自查自纠方案。全市各级党委、政府、统计机构及相关部门开展了自查自纠和数据核查。六是开展了“绩效考核群众评价民意调查”、“全市公众生态环境满意度调查”“全市食品安全公众满意度调查”等15项民意调查项目。七是4月至5月深入70家企业开展“四上”单位现场核查工作。八是完成了28个统计规范化建设示范站验收工作，且全部达到优秀等次。 九是顺利完成了普查机构组建、“两员”选聘及培训、普查试点、普查区划分与绘图、编制清查底册等各项工作，特别是“小升规”工作超预期完成目标任务。</w:t>
      </w:r>
    </w:p>
    <w:p w14:paraId="74E7495C">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rPr>
      </w:pPr>
      <w:r>
        <w:rPr>
          <w:rFonts w:ascii="楷体" w:cs="楷体" w:eastAsia="楷体" w:hAnsi="楷体" w:hint="eastAsia"/>
          <w:b/>
          <w:bCs/>
          <w:sz w:val="32"/>
          <w:szCs w:val="32"/>
          <w:lang w:eastAsia="zh-CN"/>
        </w:rPr>
        <w:t>（三）</w:t>
      </w:r>
      <w:r>
        <w:rPr>
          <w:rFonts w:ascii="楷体" w:cs="楷体" w:eastAsia="楷体" w:hAnsi="楷体" w:hint="eastAsia"/>
          <w:b/>
          <w:bCs/>
          <w:sz w:val="32"/>
          <w:szCs w:val="32"/>
        </w:rPr>
        <w:t>存在的问题及原因分析</w:t>
      </w:r>
    </w:p>
    <w:p w14:paraId="1ED44C8E">
      <w:pPr>
        <w:pStyle w:val="style0"/>
        <w:autoSpaceDE w:val="false"/>
        <w:autoSpaceDN w:val="false"/>
        <w:adjustRightInd w:val="false"/>
        <w:ind w:firstLine="640" w:firstLineChars="200"/>
        <w:jc w:val="both"/>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存在的主要问题及原因：一是预算支出绩效指标不够细化、不够全面，预算支出绩效指标跟预算编制同步申报，根据工作计划和重点工作设置，因当年工作任务的变动无法准确预计，绩效目标的设置与实际情况有细微偏差。二是预算执行率不够，年底因预算一体化系统升级,资金无法支付，导致资金支付不及时。下一步改进措施：一是进一步细化预算支出绩效指标设置，年初设置绩效指标时，尽量收集资料，进一步细化单位的工作计划与重点工作，年中可以根据工作任务变动调整绩效指标；二是加快预算执行进度，及时支付费用，制定支付计划，按进度支付资金，避免扎堆支付现象，因不可控因素导致预算执行进度不够。</w:t>
      </w:r>
    </w:p>
    <w:p w14:paraId="37971701">
      <w:pPr>
        <w:pStyle w:val="style0"/>
        <w:autoSpaceDE w:val="false"/>
        <w:autoSpaceDN w:val="false"/>
        <w:adjustRightInd w:val="false"/>
        <w:ind w:firstLine="640" w:firstLineChars="200"/>
        <w:jc w:val="left"/>
        <w:rPr>
          <w:sz w:val="72"/>
          <w:szCs w:val="72"/>
        </w:rPr>
      </w:pPr>
      <w:r>
        <w:rPr>
          <w:rFonts w:ascii="仿宋_GB2312" w:cs="仿宋_GB2312" w:eastAsia="仿宋_GB2312" w:hAnsi="仿宋_GB2312" w:hint="eastAsia"/>
          <w:b w:val="false"/>
          <w:bCs w:val="false"/>
          <w:sz w:val="32"/>
          <w:szCs w:val="32"/>
          <w:lang w:val="en-US" w:eastAsia="zh-CN"/>
        </w:rPr>
        <w:t>预算绩效管理开展情况、绩效目标和绩效评价报告等，已在市政府部门财政预决算公开平台上向社会公开，详见附件。</w:t>
      </w:r>
    </w:p>
    <w:p w14:paraId="7603CEE7">
      <w:pPr>
        <w:pStyle w:val="style4099"/>
        <w:jc w:val="center"/>
        <w:rPr>
          <w:sz w:val="72"/>
          <w:szCs w:val="72"/>
        </w:rPr>
      </w:pPr>
    </w:p>
    <w:p w14:paraId="61502360">
      <w:pPr>
        <w:pStyle w:val="style4099"/>
        <w:jc w:val="center"/>
        <w:rPr>
          <w:rFonts w:ascii="方正小标宋_GBK" w:cs="方正小标宋_GBK" w:eastAsia="方正小标宋_GBK" w:hAnsi="方正小标宋_GBK" w:hint="eastAsia"/>
          <w:sz w:val="70"/>
          <w:szCs w:val="70"/>
          <w:lang w:eastAsia="zh-CN"/>
        </w:rPr>
      </w:pPr>
    </w:p>
    <w:p w14:paraId="6B1970D5">
      <w:pPr>
        <w:pStyle w:val="style4099"/>
        <w:jc w:val="both"/>
        <w:rPr>
          <w:rFonts w:ascii="方正小标宋_GBK" w:cs="方正小标宋_GBK" w:eastAsia="方正小标宋_GBK" w:hAnsi="方正小标宋_GBK" w:hint="eastAsia"/>
          <w:sz w:val="72"/>
          <w:szCs w:val="72"/>
        </w:rPr>
      </w:pPr>
    </w:p>
    <w:p w14:paraId="25BD82FC">
      <w:pPr>
        <w:pStyle w:val="style4099"/>
        <w:jc w:val="center"/>
        <w:rPr>
          <w:rFonts w:ascii="方正小标宋_GBK" w:cs="方正小标宋_GBK" w:eastAsia="方正小标宋_GBK" w:hAnsi="方正小标宋_GBK" w:hint="eastAsia"/>
          <w:sz w:val="72"/>
          <w:szCs w:val="72"/>
        </w:rPr>
      </w:pPr>
    </w:p>
    <w:p w14:paraId="46E2BAE8">
      <w:pPr>
        <w:pStyle w:val="style4099"/>
        <w:jc w:val="center"/>
        <w:rPr>
          <w:rFonts w:ascii="方正小标宋_GBK" w:cs="方正小标宋_GBK" w:eastAsia="方正小标宋_GBK" w:hAnsi="方正小标宋_GBK" w:hint="eastAsia"/>
          <w:sz w:val="72"/>
          <w:szCs w:val="72"/>
        </w:rPr>
      </w:pPr>
    </w:p>
    <w:p w14:paraId="32AF24B5">
      <w:pPr>
        <w:pStyle w:val="style4099"/>
        <w:jc w:val="center"/>
        <w:rPr>
          <w:rFonts w:ascii="方正小标宋_GBK" w:cs="方正小标宋_GBK" w:eastAsia="方正小标宋_GBK" w:hAnsi="方正小标宋_GBK" w:hint="eastAsia"/>
          <w:sz w:val="72"/>
          <w:szCs w:val="72"/>
        </w:rPr>
      </w:pPr>
      <w:r>
        <w:rPr>
          <w:rFonts w:ascii="方正小标宋_GBK" w:cs="方正小标宋_GBK" w:eastAsia="方正小标宋_GBK" w:hAnsi="方正小标宋_GBK" w:hint="eastAsia"/>
          <w:sz w:val="72"/>
          <w:szCs w:val="72"/>
        </w:rPr>
        <w:t>第四部分</w:t>
      </w:r>
    </w:p>
    <w:p w14:paraId="64B7478D">
      <w:pPr>
        <w:pStyle w:val="style0"/>
        <w:jc w:val="center"/>
        <w:rPr>
          <w:rFonts w:ascii="方正小标宋_GBK" w:cs="方正小标宋_GBK" w:eastAsia="方正小标宋_GBK" w:hAnsi="方正小标宋_GBK" w:hint="eastAsia"/>
          <w:color w:val="000000"/>
          <w:kern w:val="0"/>
          <w:sz w:val="70"/>
          <w:szCs w:val="70"/>
        </w:rPr>
      </w:pPr>
    </w:p>
    <w:p w14:paraId="0B260DFF">
      <w:pPr>
        <w:pStyle w:val="style4099"/>
        <w:jc w:val="center"/>
        <w:rPr>
          <w:rFonts w:ascii="方正小标宋_GBK" w:cs="方正小标宋_GBK" w:eastAsia="方正小标宋_GBK" w:hAnsi="方正小标宋_GBK" w:hint="eastAsia"/>
          <w:sz w:val="70"/>
          <w:szCs w:val="70"/>
          <w:lang w:eastAsia="zh-CN"/>
        </w:rPr>
      </w:pPr>
      <w:r>
        <w:rPr>
          <w:rFonts w:ascii="方正小标宋_GBK" w:cs="方正小标宋_GBK" w:eastAsia="方正小标宋_GBK" w:hAnsi="方正小标宋_GBK" w:hint="eastAsia"/>
          <w:color w:val="000000"/>
          <w:kern w:val="0"/>
          <w:sz w:val="70"/>
          <w:szCs w:val="70"/>
        </w:rPr>
        <w:t>名词解释</w:t>
      </w:r>
    </w:p>
    <w:p w14:paraId="0643BD4F">
      <w:pPr>
        <w:pStyle w:val="style29"/>
        <w:rPr/>
      </w:pPr>
    </w:p>
    <w:p w14:paraId="7ECCE630">
      <w:pPr>
        <w:pStyle w:val="style78"/>
        <w:rPr/>
      </w:pPr>
    </w:p>
    <w:p w14:paraId="1D1FB41A">
      <w:pPr>
        <w:pStyle w:val="style0"/>
        <w:rPr/>
      </w:pPr>
    </w:p>
    <w:p w14:paraId="04EF6BC5">
      <w:pPr>
        <w:pStyle w:val="style29"/>
        <w:rPr/>
      </w:pPr>
    </w:p>
    <w:p w14:paraId="28CB3BF5">
      <w:pPr>
        <w:pStyle w:val="style78"/>
        <w:rPr/>
      </w:pPr>
    </w:p>
    <w:p w14:paraId="0413C852">
      <w:pPr>
        <w:pStyle w:val="style0"/>
        <w:rPr/>
      </w:pPr>
    </w:p>
    <w:p w14:paraId="619E744F">
      <w:pPr>
        <w:pStyle w:val="style29"/>
        <w:rPr/>
      </w:pPr>
    </w:p>
    <w:p w14:paraId="03EF0005">
      <w:pPr>
        <w:pStyle w:val="style78"/>
        <w:rPr/>
      </w:pPr>
    </w:p>
    <w:p w14:paraId="5A8B090F">
      <w:pPr>
        <w:pStyle w:val="style0"/>
        <w:rPr/>
      </w:pPr>
    </w:p>
    <w:p w14:paraId="07CF7B76">
      <w:pPr>
        <w:pStyle w:val="style29"/>
        <w:rPr/>
      </w:pPr>
    </w:p>
    <w:p w14:paraId="0824FA2B">
      <w:pPr>
        <w:pStyle w:val="style78"/>
        <w:rPr/>
      </w:pPr>
    </w:p>
    <w:p w14:paraId="274BF782">
      <w:pPr>
        <w:pStyle w:val="style0"/>
        <w:rPr/>
      </w:pPr>
    </w:p>
    <w:p w14:paraId="599D8B90">
      <w:pPr>
        <w:pStyle w:val="style29"/>
        <w:rPr/>
      </w:pPr>
    </w:p>
    <w:p w14:paraId="06020FC2">
      <w:pPr>
        <w:pStyle w:val="style78"/>
        <w:rPr/>
      </w:pPr>
    </w:p>
    <w:p w14:paraId="62B1B527">
      <w:pPr>
        <w:pStyle w:val="style0"/>
        <w:rPr/>
      </w:pPr>
    </w:p>
    <w:p w14:paraId="40F162F8">
      <w:pPr>
        <w:pStyle w:val="style29"/>
        <w:rPr/>
      </w:pPr>
    </w:p>
    <w:p w14:paraId="499A0ACA">
      <w:pPr>
        <w:pStyle w:val="style78"/>
        <w:rPr/>
      </w:pPr>
    </w:p>
    <w:p w14:paraId="0B701671">
      <w:pPr>
        <w:pStyle w:val="style0"/>
        <w:rPr/>
      </w:pPr>
    </w:p>
    <w:p w14:paraId="7C94697F">
      <w:pPr>
        <w:pStyle w:val="style29"/>
        <w:rPr/>
      </w:pPr>
    </w:p>
    <w:p w14:paraId="36394733">
      <w:pPr>
        <w:pStyle w:val="style78"/>
        <w:rPr/>
      </w:pPr>
    </w:p>
    <w:p w14:paraId="5798CDB9">
      <w:pPr>
        <w:pStyle w:val="style0"/>
        <w:rPr/>
      </w:pPr>
    </w:p>
    <w:p w14:paraId="2025CF6F">
      <w:pPr>
        <w:pStyle w:val="style0"/>
        <w:rPr/>
      </w:pPr>
    </w:p>
    <w:p w14:paraId="6F0168D7">
      <w:pPr>
        <w:pStyle w:val="style29"/>
        <w:rPr/>
      </w:pPr>
    </w:p>
    <w:p w14:paraId="623D657A">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F7B42DB">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67306D3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三、收入科目</w:t>
      </w:r>
    </w:p>
    <w:p w14:paraId="3A878CAB">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财政拨款收入：指单位从同级财政部门取得的财政预算资金。</w:t>
      </w:r>
    </w:p>
    <w:p w14:paraId="53860A95">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四、支出科目</w:t>
      </w:r>
    </w:p>
    <w:p w14:paraId="6FD49F1F">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基本支出：指为保障机构正常运转、完成日常工作任务而发生的人员支出和公用支出。</w:t>
      </w:r>
    </w:p>
    <w:p w14:paraId="794553CF">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b/>
          <w:bCs/>
          <w:i/>
          <w:color w:val="ff0000"/>
          <w:kern w:val="0"/>
          <w:sz w:val="32"/>
          <w:szCs w:val="32"/>
          <w:lang w:val="en-US" w:bidi="ar-SA" w:eastAsia="zh-CN"/>
        </w:rPr>
      </w:pPr>
      <w:r>
        <w:rPr>
          <w:rFonts w:ascii="仿宋_GB2312" w:cs="仿宋_GB2312" w:eastAsia="仿宋_GB2312" w:hAnsi="仿宋_GB2312" w:hint="eastAsia"/>
          <w:color w:val="000000"/>
          <w:kern w:val="0"/>
          <w:sz w:val="32"/>
          <w:szCs w:val="32"/>
        </w:rPr>
        <w:t>项目支出：指在基本支出之外为完成特定行政任务和事业发展目标所发生的支出。</w:t>
      </w:r>
    </w:p>
    <w:p w14:paraId="6D7176A0">
      <w:pPr>
        <w:pStyle w:val="style4099"/>
        <w:jc w:val="center"/>
        <w:rPr>
          <w:rFonts w:ascii="仿宋_GB2312" w:cs="仿宋_GB2312" w:eastAsia="仿宋_GB2312" w:hAnsi="仿宋_GB2312" w:hint="eastAsia"/>
          <w:sz w:val="32"/>
          <w:szCs w:val="32"/>
        </w:rPr>
      </w:pPr>
    </w:p>
    <w:p w14:paraId="6FF0979F">
      <w:pPr>
        <w:pStyle w:val="style78"/>
        <w:rPr/>
      </w:pPr>
    </w:p>
    <w:p w14:paraId="168D5E84">
      <w:pPr>
        <w:pStyle w:val="style0"/>
        <w:rPr/>
      </w:pPr>
    </w:p>
    <w:p w14:paraId="0BC13AB7">
      <w:pPr>
        <w:pStyle w:val="style29"/>
        <w:rPr/>
      </w:pPr>
    </w:p>
    <w:p w14:paraId="5C7FCDBE">
      <w:pPr>
        <w:pStyle w:val="style78"/>
        <w:rPr/>
      </w:pPr>
    </w:p>
    <w:p w14:paraId="4C678E50">
      <w:pPr>
        <w:pStyle w:val="style0"/>
        <w:rPr/>
      </w:pPr>
    </w:p>
    <w:p w14:paraId="6CDC6D5F">
      <w:pPr>
        <w:pStyle w:val="style29"/>
        <w:rPr/>
      </w:pPr>
    </w:p>
    <w:p w14:paraId="656ABB01">
      <w:pPr>
        <w:pStyle w:val="style78"/>
        <w:rPr/>
      </w:pPr>
    </w:p>
    <w:p w14:paraId="6741A86F">
      <w:pPr>
        <w:pStyle w:val="style0"/>
        <w:rPr/>
      </w:pPr>
    </w:p>
    <w:p w14:paraId="56E98B83">
      <w:pPr>
        <w:pStyle w:val="style29"/>
        <w:rPr/>
      </w:pPr>
    </w:p>
    <w:p w14:paraId="2C7BE970">
      <w:pPr>
        <w:pStyle w:val="style78"/>
        <w:rPr/>
      </w:pPr>
    </w:p>
    <w:p w14:paraId="631FB39C">
      <w:pPr>
        <w:pStyle w:val="style0"/>
        <w:rPr/>
      </w:pPr>
    </w:p>
    <w:p w14:paraId="3E4AF455">
      <w:pPr>
        <w:pStyle w:val="style29"/>
        <w:rPr/>
      </w:pPr>
    </w:p>
    <w:p w14:paraId="5F200EB7">
      <w:pPr>
        <w:pStyle w:val="style78"/>
        <w:rPr/>
      </w:pPr>
    </w:p>
    <w:p w14:paraId="27294B04">
      <w:pPr>
        <w:pStyle w:val="style0"/>
        <w:rPr/>
      </w:pPr>
    </w:p>
    <w:p w14:paraId="0E646CDB">
      <w:pPr>
        <w:pStyle w:val="style29"/>
        <w:rPr/>
      </w:pPr>
    </w:p>
    <w:p w14:paraId="79EAA66B">
      <w:pPr>
        <w:pStyle w:val="style78"/>
        <w:rPr/>
      </w:pPr>
    </w:p>
    <w:p w14:paraId="136E5C69">
      <w:pPr>
        <w:pStyle w:val="style4099"/>
        <w:jc w:val="center"/>
        <w:rPr>
          <w:rFonts w:ascii="方正小标宋_GBK" w:cs="方正小标宋_GBK" w:eastAsia="方正小标宋_GBK" w:hAnsi="方正小标宋_GBK" w:hint="eastAsia"/>
          <w:sz w:val="70"/>
          <w:szCs w:val="70"/>
        </w:rPr>
      </w:pPr>
      <w:r>
        <w:rPr>
          <w:rFonts w:ascii="方正小标宋_GBK" w:cs="方正小标宋_GBK" w:eastAsia="方正小标宋_GBK" w:hAnsi="方正小标宋_GBK" w:hint="eastAsia"/>
          <w:sz w:val="72"/>
          <w:szCs w:val="72"/>
        </w:rPr>
        <w:t>第</w:t>
      </w:r>
      <w:r>
        <w:rPr>
          <w:rFonts w:ascii="方正小标宋_GBK" w:cs="方正小标宋_GBK" w:eastAsia="方正小标宋_GBK" w:hAnsi="方正小标宋_GBK" w:hint="eastAsia"/>
          <w:sz w:val="72"/>
          <w:szCs w:val="72"/>
          <w:lang w:eastAsia="zh-CN"/>
        </w:rPr>
        <w:t>五</w:t>
      </w:r>
      <w:r>
        <w:rPr>
          <w:rFonts w:ascii="方正小标宋_GBK" w:cs="方正小标宋_GBK" w:eastAsia="方正小标宋_GBK" w:hAnsi="方正小标宋_GBK" w:hint="eastAsia"/>
          <w:sz w:val="72"/>
          <w:szCs w:val="72"/>
        </w:rPr>
        <w:t>部分</w:t>
      </w:r>
    </w:p>
    <w:p w14:paraId="46069A41">
      <w:pPr>
        <w:pStyle w:val="style4099"/>
        <w:jc w:val="both"/>
        <w:rPr>
          <w:rFonts w:ascii="方正小标宋_GBK" w:cs="方正小标宋_GBK" w:eastAsia="方正小标宋_GBK" w:hAnsi="方正小标宋_GBK" w:hint="eastAsia"/>
          <w:sz w:val="70"/>
          <w:szCs w:val="70"/>
          <w:lang w:eastAsia="zh-CN"/>
        </w:rPr>
      </w:pPr>
    </w:p>
    <w:p w14:paraId="018D9840">
      <w:pPr>
        <w:pStyle w:val="style4099"/>
        <w:jc w:val="center"/>
        <w:rPr>
          <w:rFonts w:ascii="方正小标宋_GBK" w:cs="方正小标宋_GBK" w:eastAsia="方正小标宋_GBK" w:hAnsi="方正小标宋_GBK" w:hint="eastAsia"/>
          <w:sz w:val="70"/>
          <w:szCs w:val="70"/>
          <w:lang w:eastAsia="zh-CN"/>
        </w:rPr>
      </w:pPr>
      <w:r>
        <w:rPr>
          <w:rFonts w:ascii="方正小标宋_GBK" w:cs="方正小标宋_GBK" w:eastAsia="方正小标宋_GBK" w:hAnsi="方正小标宋_GBK" w:hint="eastAsia"/>
          <w:sz w:val="70"/>
          <w:szCs w:val="70"/>
          <w:lang w:eastAsia="zh-CN"/>
        </w:rPr>
        <w:t>附</w:t>
      </w:r>
      <w:r>
        <w:rPr>
          <w:rFonts w:ascii="方正小标宋_GBK" w:cs="方正小标宋_GBK" w:eastAsia="方正小标宋_GBK" w:hAnsi="方正小标宋_GBK" w:hint="eastAsia"/>
          <w:sz w:val="70"/>
          <w:szCs w:val="70"/>
          <w:lang w:val="en-US" w:eastAsia="zh-CN"/>
        </w:rPr>
        <w:t xml:space="preserve"> </w:t>
      </w:r>
      <w:r>
        <w:rPr>
          <w:rFonts w:ascii="方正小标宋_GBK" w:cs="方正小标宋_GBK" w:eastAsia="方正小标宋_GBK" w:hAnsi="方正小标宋_GBK" w:hint="eastAsia"/>
          <w:sz w:val="70"/>
          <w:szCs w:val="70"/>
          <w:lang w:eastAsia="zh-CN"/>
        </w:rPr>
        <w:t>件</w:t>
      </w:r>
    </w:p>
    <w:p w14:paraId="302F7C2E">
      <w:pPr>
        <w:pStyle w:val="style0"/>
        <w:ind w:firstLine="640" w:firstLineChars="200"/>
        <w:jc w:val="left"/>
        <w:rPr>
          <w:rFonts w:ascii="宋体" w:cs="黑体" w:eastAsia="宋体" w:hAnsi="宋体" w:hint="eastAsia"/>
          <w:b/>
          <w:color w:val="000000"/>
          <w:kern w:val="0"/>
          <w:sz w:val="32"/>
          <w:szCs w:val="32"/>
          <w:lang w:val="en-US" w:eastAsia="zh-CN"/>
        </w:rPr>
      </w:pPr>
    </w:p>
    <w:p w14:paraId="2D02929E">
      <w:pPr>
        <w:pStyle w:val="style0"/>
        <w:ind w:firstLine="640" w:firstLineChars="200"/>
        <w:jc w:val="left"/>
        <w:rPr>
          <w:rFonts w:ascii="宋体" w:cs="黑体" w:eastAsia="宋体" w:hAnsi="宋体" w:hint="eastAsia"/>
          <w:b/>
          <w:color w:val="000000"/>
          <w:kern w:val="0"/>
          <w:sz w:val="32"/>
          <w:szCs w:val="32"/>
          <w:lang w:val="en-US" w:eastAsia="zh-CN"/>
        </w:rPr>
      </w:pPr>
      <w:r>
        <w:rPr>
          <w:rFonts w:ascii="宋体" w:cs="黑体" w:eastAsia="宋体" w:hAnsi="宋体" w:hint="eastAsia"/>
          <w:b/>
          <w:color w:val="000000"/>
          <w:kern w:val="0"/>
          <w:sz w:val="32"/>
          <w:szCs w:val="32"/>
          <w:lang w:val="en-US" w:eastAsia="zh-CN"/>
        </w:rPr>
        <w:t>1、2023年部门决算公开表格</w:t>
      </w:r>
    </w:p>
    <w:p w14:paraId="62873D07">
      <w:pPr>
        <w:pStyle w:val="style0"/>
        <w:ind w:firstLine="640" w:firstLineChars="200"/>
        <w:jc w:val="left"/>
        <w:rPr>
          <w:rFonts w:ascii="宋体" w:cs="黑体" w:eastAsia="宋体" w:hAnsi="宋体" w:hint="eastAsia"/>
          <w:color w:val="000000"/>
          <w:kern w:val="0"/>
          <w:sz w:val="32"/>
          <w:szCs w:val="32"/>
          <w:lang w:eastAsia="zh-CN"/>
        </w:rPr>
      </w:pPr>
      <w:r>
        <w:rPr>
          <w:rFonts w:ascii="宋体" w:cs="黑体" w:eastAsia="宋体" w:hAnsi="宋体" w:hint="eastAsia"/>
          <w:b/>
          <w:color w:val="000000"/>
          <w:kern w:val="0"/>
          <w:sz w:val="32"/>
          <w:szCs w:val="32"/>
          <w:lang w:val="en-US" w:eastAsia="zh-CN"/>
        </w:rPr>
        <w:t>2、</w:t>
      </w:r>
      <w:r>
        <w:rPr>
          <w:rFonts w:ascii="宋体" w:cs="黑体" w:eastAsia="宋体" w:hAnsi="宋体" w:hint="eastAsia"/>
          <w:b/>
          <w:color w:val="000000"/>
          <w:kern w:val="0"/>
          <w:sz w:val="32"/>
          <w:szCs w:val="32"/>
        </w:rPr>
        <w:t>202</w:t>
      </w:r>
      <w:r>
        <w:rPr>
          <w:rFonts w:ascii="宋体" w:cs="黑体" w:eastAsia="宋体" w:hAnsi="宋体" w:hint="eastAsia"/>
          <w:b/>
          <w:color w:val="000000"/>
          <w:kern w:val="0"/>
          <w:sz w:val="32"/>
          <w:szCs w:val="32"/>
          <w:lang w:val="en-US" w:eastAsia="zh-CN"/>
        </w:rPr>
        <w:t>3</w:t>
      </w:r>
      <w:r>
        <w:rPr>
          <w:rFonts w:ascii="宋体" w:cs="黑体" w:eastAsia="宋体" w:hAnsi="宋体" w:hint="eastAsia"/>
          <w:b/>
          <w:color w:val="000000"/>
          <w:kern w:val="0"/>
          <w:sz w:val="32"/>
          <w:szCs w:val="32"/>
        </w:rPr>
        <w:t>年度部门整体支出绩效评价报告</w:t>
      </w:r>
    </w:p>
    <w:p w14:paraId="5A1E3957">
      <w:pPr>
        <w:pStyle w:val="style0"/>
        <w:rPr/>
      </w:pPr>
    </w:p>
    <w:sectPr>
      <w:pgSz w:w="11906" w:h="16838" w:orient="portrait"/>
      <w:pgMar w:top="1417" w:right="1474" w:bottom="1417"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Arial Unicode MS">
    <w:altName w:val="Arial Unicode MS"/>
    <w:panose1 w:val="020b0604020002020204"/>
    <w:charset w:val="86"/>
    <w:family w:val="auto"/>
    <w:pitch w:val="default"/>
    <w:sig w:usb0="FFFFFFFF" w:usb1="E9FFFFFF" w:usb2="0000003F" w:usb3="00000000" w:csb0="603F01FF" w:csb1="FFFF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80F3C52"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7">
    <w:name w:val="Body Text Indent"/>
    <w:basedOn w:val="style0"/>
    <w:next w:val="style78"/>
    <w:qFormat/>
    <w:uiPriority w:val="99"/>
    <w:pPr>
      <w:widowControl/>
      <w:spacing w:after="120"/>
      <w:ind w:left="420" w:leftChars="200"/>
      <w:jc w:val="left"/>
    </w:pPr>
    <w:rPr>
      <w:rFonts w:ascii="宋体" w:cs="宋体" w:eastAsia="宋体" w:hAnsi="宋体"/>
      <w:kern w:val="0"/>
      <w:sz w:val="24"/>
    </w:rPr>
  </w:style>
  <w:style w:type="paragraph" w:styleId="style78">
    <w:name w:val="Body Text First Indent 2"/>
    <w:basedOn w:val="style67"/>
    <w:next w:val="style0"/>
    <w:qFormat/>
    <w:uiPriority w:val="99"/>
    <w:pPr>
      <w:ind w:firstLine="420" w:firstLineChars="200"/>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29">
    <w:name w:val="footnote text"/>
    <w:basedOn w:val="style0"/>
    <w:next w:val="style78"/>
    <w:qFormat/>
    <w:uiPriority w:val="0"/>
    <w:pPr>
      <w:snapToGrid w:val="false"/>
      <w:jc w:val="left"/>
    </w:pPr>
    <w:rPr>
      <w:sz w:val="18"/>
      <w:szCs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customStyle="1" w:styleId="style4099">
    <w:name w:val="Default"/>
    <w:next w:val="style4099"/>
    <w:qFormat/>
    <w:uiPriority w:val="0"/>
    <w:pPr>
      <w:widowControl w:val="false"/>
      <w:autoSpaceDE w:val="false"/>
      <w:autoSpaceDN w:val="false"/>
      <w:adjustRightInd w:val="false"/>
    </w:pPr>
    <w:rPr>
      <w:rFonts w:ascii="黑体" w:cs="黑体" w:eastAsia="黑体" w:hAnsi="Calibri"/>
      <w:color w:val="000000"/>
      <w:kern w:val="0"/>
      <w:sz w:val="24"/>
      <w:szCs w:val="24"/>
      <w:lang w:val="en-US" w:bidi="ar-SA" w:eastAsia="zh-CN"/>
    </w:rPr>
  </w:style>
  <w:style w:type="paragraph" w:styleId="style179">
    <w:name w:val="List Paragraph"/>
    <w:basedOn w:val="style0"/>
    <w:next w:val="style179"/>
    <w:qFormat/>
    <w:uiPriority w:val="34"/>
    <w:pPr>
      <w:ind w:firstLine="420" w:firstLineChars="200"/>
    </w:pPr>
    <w:rPr/>
  </w:style>
  <w:style w:type="character" w:customStyle="1" w:styleId="style4100">
    <w:name w:val="批注框文本 Char"/>
    <w:basedOn w:val="style65"/>
    <w:next w:val="style4100"/>
    <w:link w:val="style153"/>
    <w:qFormat/>
    <w:uiPriority w:val="99"/>
    <w:rPr>
      <w:sz w:val="18"/>
      <w:szCs w:val="18"/>
    </w:rPr>
  </w:style>
  <w:style w:type="character" w:customStyle="1" w:styleId="style4101">
    <w:name w:val="font01"/>
    <w:basedOn w:val="style65"/>
    <w:next w:val="style4101"/>
    <w:qFormat/>
    <w:uiPriority w:val="0"/>
    <w:rPr>
      <w:rFonts w:ascii="宋体" w:cs="宋体" w:eastAsia="宋体" w:hAnsi="宋体" w:hint="eastAsia"/>
      <w:color w:val="000000"/>
      <w:sz w:val="22"/>
      <w:szCs w:val="22"/>
      <w:u w:val="none"/>
    </w:rPr>
  </w:style>
  <w:style w:type="character" w:customStyle="1" w:styleId="style4102">
    <w:name w:val="font21"/>
    <w:basedOn w:val="style65"/>
    <w:next w:val="style4102"/>
    <w:qFormat/>
    <w:uiPriority w:val="0"/>
    <w:rPr>
      <w:rFonts w:ascii="宋体" w:cs="宋体" w:eastAsia="宋体" w:hAnsi="宋体" w:hint="eastAsia"/>
      <w:color w:val="000000"/>
      <w:sz w:val="24"/>
      <w:szCs w:val="24"/>
      <w:u w:val="none"/>
    </w:rPr>
  </w:style>
  <w:style w:type="character" w:customStyle="1" w:styleId="style4103">
    <w:name w:val="font11"/>
    <w:basedOn w:val="style65"/>
    <w:next w:val="style4103"/>
    <w:qFormat/>
    <w:uiPriority w:val="0"/>
    <w:rPr>
      <w:rFonts w:ascii="宋体" w:cs="宋体" w:eastAsia="宋体" w:hAnsi="宋体" w:hint="eastAsia"/>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Words>7143</Words>
  <Pages>22</Pages>
  <Characters>7826</Characters>
  <Application>WPS Office</Application>
  <DocSecurity>0</DocSecurity>
  <Paragraphs>252</Paragraphs>
  <ScaleCrop>false</ScaleCrop>
  <Company>Microsoft</Company>
  <LinksUpToDate>false</LinksUpToDate>
  <CharactersWithSpaces>7843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2020-07-08T02:32:00Z</dcterms:created>
  <dc:creator>李航 null</dc:creator>
  <lastModifiedBy>CET-AL00</lastModifiedBy>
  <lastPrinted>2024-09-25T07:50:00Z</lastPrinted>
  <dcterms:modified xsi:type="dcterms:W3CDTF">2025-08-20T02:33:56Z</dcterms:modified>
  <revision>67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8c3fbc0887fe4071b96cef2b6032fc0e_23</vt:lpwstr>
  </property>
  <property fmtid="{D5CDD505-2E9C-101B-9397-08002B2CF9AE}" pid="4" name="KSOTemplateDocerSaveRecord">
    <vt:lpwstr>eyJoZGlkIjoiOTY1NTVjOTU0ZjE3ZWY0NGQxNzU5ZTMzNzBiNmQ5MGIiLCJ1c2VySWQiOiIyNjEwNzEwOTMifQ==</vt:lpwstr>
  </property>
</Properties>
</file>