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left"/>
        <w:rPr>
          <w:rFonts w:ascii="黑体" w:hAnsi="黑体" w:eastAsia="黑体" w:cs="黑体"/>
          <w:bCs/>
          <w:sz w:val="32"/>
          <w:szCs w:val="32"/>
        </w:rPr>
      </w:pPr>
      <w:r>
        <w:rPr>
          <w:rFonts w:hint="eastAsia" w:ascii="黑体" w:hAnsi="黑体" w:eastAsia="黑体" w:cs="黑体"/>
          <w:bCs/>
          <w:sz w:val="32"/>
          <w:szCs w:val="32"/>
        </w:rPr>
        <w:t>附件1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rPr>
      </w:pPr>
      <w:r>
        <w:rPr>
          <w:rFonts w:hint="eastAsia" w:eastAsia="仿宋_GB2312"/>
          <w:sz w:val="32"/>
          <w:szCs w:val="32"/>
        </w:rPr>
        <w:t>部门(单位)名称：建设管理部</w:t>
      </w:r>
    </w:p>
    <w:p>
      <w:pPr>
        <w:spacing w:beforeLines="50" w:line="348" w:lineRule="auto"/>
        <w:ind w:firstLine="476" w:firstLineChars="150"/>
        <w:jc w:val="left"/>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码：007001</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eastAsia="仿宋_GB2312"/>
          <w:sz w:val="32"/>
        </w:rPr>
        <w:t>2022</w:t>
      </w:r>
      <w:r>
        <w:rPr>
          <w:rFonts w:hint="eastAsia" w:eastAsia="仿宋_GB2312"/>
          <w:sz w:val="32"/>
        </w:rPr>
        <w:t>年7月 22日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万佳</w:t>
            </w:r>
          </w:p>
        </w:tc>
        <w:tc>
          <w:tcPr>
            <w:tcW w:w="1479" w:type="dxa"/>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5874118901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p>
        </w:tc>
        <w:tc>
          <w:tcPr>
            <w:tcW w:w="1479" w:type="dxa"/>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负责区域内建设项目方案及初步设计的审查，以及建筑面积复核等技术性审查工作；负责拟订区域内征地拆迁和安置工作计划，并协调岳阳楼区、云溪区组织实施；负责对区域内建设项目实施行业管理；负责新港区部分自建项目的设计和质量、安全、进度、档案管理以及工程量核定、资金计划申报，牵头组织自建项目建设过程中的变更管理；负责区域内林地、水务等日常报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bookmarkStart w:id="0" w:name="_Hlk77350218"/>
            <w:r>
              <w:rPr>
                <w:rFonts w:hint="eastAsia" w:ascii="仿宋_GB2312" w:hAnsi="仿宋_GB2312" w:eastAsia="仿宋_GB2312" w:cs="仿宋_GB2312"/>
                <w:color w:val="000000"/>
                <w:sz w:val="24"/>
              </w:rPr>
              <w:t>年度主要</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spacing w:line="28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1：松阳湖安置小区一期完成基础部分的施工；茅岭中路、城陵矶片区安置房、凌泊湖小区六期、雷公嘴路及绿道、景苑路、完成交工验收；西干渠疏浚及擂鼓台区域水系综合治理（污水）及支护工程完成沿江路污水管70%施工任务；联岭路完成基层施工；天河路、敖家垄路、竹园路、科研路达到通车条件；环芭蕉湖南段绿道工程、东干渠排水（雨水）工程进场施工；环白杨湖环境综合修复治理工程完成80%施工任务；云港西路完成10%路基施工；象骨港前池开挖完成招标工作；西干渠疏浚及擂鼓台区域水系综合治理（雨水）工程完成30%箱涵施工；茅岭东路、港南路、城陵矶小学道路工程、江济中路、云水路完成土路基施工；新港区范围内完成土石方工程填挖共计100万立方米。</w:t>
            </w:r>
          </w:p>
          <w:p>
            <w:pPr>
              <w:spacing w:line="28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2：按期保质完成竹园路一期道路工程（预算评审）、白杨坡铁塔基站移动线路设备搬迁工程（预算评审）、岳阳市江济中路道路工程（预算评审）、松阳湖路攀华新材料2号门热力管道地埋工程（预算评审）、临港汽车城物流园一期项目土石方工程（结算）、雷公嘴道路工程（结算评审）等重点项目的初审工作。</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w:t>
            </w:r>
            <w:r>
              <w:rPr>
                <w:rFonts w:ascii="仿宋_GB2312" w:hAnsi="仿宋_GB2312" w:eastAsia="仿宋_GB2312" w:cs="仿宋_GB2312"/>
                <w:color w:val="000000" w:themeColor="text1"/>
                <w:sz w:val="24"/>
              </w:rPr>
              <w:t>3</w:t>
            </w:r>
            <w:r>
              <w:rPr>
                <w:rFonts w:hint="eastAsia" w:ascii="仿宋_GB2312" w:hAnsi="仿宋_GB2312" w:eastAsia="仿宋_GB2312" w:cs="仿宋_GB2312"/>
                <w:color w:val="000000" w:themeColor="text1"/>
                <w:sz w:val="24"/>
              </w:rPr>
              <w:t>：按照绿色建筑标准对全年建设项目进行审批，组织建筑科技前沿技术推广，举办新材料、新技术方面推广讲座两次,完成建筑初步设计审查、施工设计图（含消防）审查及备案：全面推行互联网+施工图（含消防）审查和“多图联审”。</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w:t>
            </w:r>
            <w:r>
              <w:rPr>
                <w:rFonts w:ascii="仿宋_GB2312" w:hAnsi="仿宋_GB2312" w:eastAsia="仿宋_GB2312" w:cs="仿宋_GB2312"/>
                <w:color w:val="000000" w:themeColor="text1"/>
                <w:sz w:val="24"/>
              </w:rPr>
              <w:t>4</w:t>
            </w:r>
            <w:r>
              <w:rPr>
                <w:rFonts w:hint="eastAsia" w:ascii="仿宋_GB2312" w:hAnsi="仿宋_GB2312" w:eastAsia="仿宋_GB2312" w:cs="仿宋_GB2312"/>
                <w:color w:val="000000" w:themeColor="text1"/>
                <w:sz w:val="24"/>
              </w:rPr>
              <w:t>：完成各类房屋建筑、市政工程招投标监督工作；标后稽查工作，建筑市场违法违规工程治理工作</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w:t>
            </w:r>
            <w:r>
              <w:rPr>
                <w:rFonts w:ascii="仿宋_GB2312" w:hAnsi="仿宋_GB2312" w:eastAsia="仿宋_GB2312" w:cs="仿宋_GB2312"/>
                <w:color w:val="000000" w:themeColor="text1"/>
                <w:sz w:val="24"/>
              </w:rPr>
              <w:t>5</w:t>
            </w:r>
            <w:r>
              <w:rPr>
                <w:rFonts w:hint="eastAsia" w:ascii="仿宋_GB2312" w:hAnsi="仿宋_GB2312" w:eastAsia="仿宋_GB2312" w:cs="仿宋_GB2312"/>
                <w:color w:val="000000" w:themeColor="text1"/>
                <w:sz w:val="24"/>
              </w:rPr>
              <w:t>：完成施工许可证核发，做好建设工程质量安全监督管理。落实建筑安全生产目标管理工作，推进建筑工人实名制和“互联网+智慧工地”管理工作，开展预拌混凝土生产质量和在建房屋市政工程混凝土施工质量、起重设备、防高坠等专项整治行动，确保全年不出现重大安全质量事故。</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w:t>
            </w:r>
            <w:r>
              <w:rPr>
                <w:rFonts w:ascii="仿宋_GB2312" w:hAnsi="仿宋_GB2312" w:eastAsia="仿宋_GB2312" w:cs="仿宋_GB2312"/>
                <w:color w:val="000000" w:themeColor="text1"/>
                <w:sz w:val="24"/>
              </w:rPr>
              <w:t>6</w:t>
            </w:r>
            <w:r>
              <w:rPr>
                <w:rFonts w:hint="eastAsia" w:ascii="仿宋_GB2312" w:hAnsi="仿宋_GB2312" w:eastAsia="仿宋_GB2312" w:cs="仿宋_GB2312"/>
                <w:color w:val="000000" w:themeColor="text1"/>
                <w:sz w:val="24"/>
              </w:rPr>
              <w:t>：项目在施工许可阶段涉水行政审批手续办理，包括：取水许可审批，防洪影响审批，生产建设项目水土保持方案审批。完成建设项目使用林地审批（含临时占用一般用途林地审批）、林木采伐手续办理。按要求实行告知承诺制并建立事中事后监管机制；在区域评估范围内全面推进区域评估成果；完成上级林地疑似图斑督查工作，核查图斑的违法性</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w:t>
            </w:r>
            <w:r>
              <w:rPr>
                <w:rFonts w:ascii="仿宋_GB2312" w:hAnsi="仿宋_GB2312" w:eastAsia="仿宋_GB2312" w:cs="仿宋_GB2312"/>
                <w:color w:val="000000" w:themeColor="text1"/>
                <w:sz w:val="24"/>
              </w:rPr>
              <w:t>7</w:t>
            </w:r>
            <w:r>
              <w:rPr>
                <w:rFonts w:hint="eastAsia" w:ascii="仿宋_GB2312" w:hAnsi="仿宋_GB2312" w:eastAsia="仿宋_GB2312" w:cs="仿宋_GB2312"/>
                <w:color w:val="000000" w:themeColor="text1"/>
                <w:sz w:val="24"/>
              </w:rPr>
              <w:t>：完成人防审批办理</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w:t>
            </w:r>
            <w:r>
              <w:rPr>
                <w:rFonts w:ascii="仿宋_GB2312" w:hAnsi="仿宋_GB2312" w:eastAsia="仿宋_GB2312" w:cs="仿宋_GB2312"/>
                <w:color w:val="000000" w:themeColor="text1"/>
                <w:sz w:val="24"/>
              </w:rPr>
              <w:t>8</w:t>
            </w:r>
            <w:r>
              <w:rPr>
                <w:rFonts w:hint="eastAsia" w:ascii="仿宋_GB2312" w:hAnsi="仿宋_GB2312" w:eastAsia="仿宋_GB2312" w:cs="仿宋_GB2312"/>
                <w:color w:val="000000" w:themeColor="text1"/>
                <w:sz w:val="24"/>
              </w:rPr>
              <w:t>：《新港区工改2021年工作任务清单实施方案》和市、区工改办交办工作完成工改任务</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任务</w:t>
            </w:r>
            <w:r>
              <w:rPr>
                <w:rFonts w:ascii="仿宋_GB2312" w:hAnsi="仿宋_GB2312" w:eastAsia="仿宋_GB2312" w:cs="仿宋_GB2312"/>
                <w:color w:val="000000" w:themeColor="text1"/>
                <w:sz w:val="24"/>
              </w:rPr>
              <w:t>9</w:t>
            </w:r>
            <w:r>
              <w:rPr>
                <w:rFonts w:hint="eastAsia" w:ascii="仿宋_GB2312" w:hAnsi="仿宋_GB2312" w:eastAsia="仿宋_GB2312" w:cs="仿宋_GB2312"/>
                <w:color w:val="000000" w:themeColor="text1"/>
                <w:sz w:val="24"/>
              </w:rPr>
              <w:t>：按《2021年湖南城陵矶新港区争资争项任务分配表》，完成争资争项。</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8"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1、安置房建设</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全年共推进凌泊湖安置房六期、城陵矶片区安置房和松阳湖安置房小区三个安置房项目建设。目前，凌泊湖安置房六期和城陵矶片区安置房已完成施工任务，基本达到交房条件</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2、市政路网及配套建设</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年完成雷公嘴路、景苑路、茅岭中路三条道路验收工作；敖家垄路、竹园路、环白杨湖综合环境整治与生态修复建设项目等九个续建项目按照目标正常推进，其中天河路、敖家垄路、竹园路和茅岭东路已达到通车条件；根据党工委部署，启动了江济中路及电力管廊项目、东干渠排水及辅道工程、西干渠疏浚及擂鼓台区域水系综合治理（雨水）三个新建项目施工以及港南路、东欣路、东风大道、云水路等项目的前期设计工作。</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按党工委部署，启动了松阳湖路、城陵矶路、芭云路、环湖路、桔园路路灯建设和通关服务中心、云港路、长江大道等主干道建筑立面灯光亮化建设。</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3、供水、电力管网建设</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在工委主要领导高位推动下，我部参考长沙市作法就电力项目与国网公司协商形成了高效、互信的建设模式，明确了业务委托、财政评审、税收缴纳、工程结算、资产移交流程，双方同意以文件形式进一步规范。同时，市自来水公司也同意按此模式实施。彻底理顺困绕多年的水、电建设卡脖子现象。</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4、生态环境治理</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年完成象骨港黑臭水体销号、省环保督察反馈的“建筑工地管理，未按照6个100%施工”的整改销号、省环保督察反馈的“混凝土行业管理混乱粗犷、生产废水直排”问题销号、中央环保督察反馈的“污水处理厂进水COD浓度偏低”销号。</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我部作为牵头部门，前后与临港污水厂运营方联泰水务进行了20余轮的艰难谈判和友好协商，终于在11月19日与对方正式签订了《湖南城陵矶临港产业新区污水处理厂BOT项目特许经营合同提前终止协议》。在商定最终补偿款过程中，我部始终坚持以新港区利益为重，采取多种措施赢得了联泰水务的支持和配合，最终节省财政资金1000余万元。</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5、土石方及应急建设任务</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年共完成攀华项目、6906二期项目、多式联运物流园二期项目、银华科技项目等项目土石方工程，目前正在实施中瑞打印机项目和新宏项目土方工程，累计挖运土方量约140万方，超额完成年初100万方的目标任务。攀华项目20天24小时施工完成40万方土石方施工；块弃土场和煤灰湖西弃土场从市城区接收土方约130万方，节约财政资金约1690万元。</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年共完成凯门科技临时污水处理设施、云港路宋家组雨污管网改造、中创空天周边绿化提质改造工程、攀华一期铁塔防护及清淤工程、松杨湖路蒸汽入地项目、杨树港华琨桥新建工程等应急项目，启动了云景路提质改造工程、谭家</w:t>
            </w:r>
          </w:p>
          <w:p>
            <w:pPr>
              <w:autoSpaceDN w:val="0"/>
              <w:jc w:val="left"/>
              <w:textAlignment w:val="center"/>
              <w:rPr>
                <w:rFonts w:ascii="仿宋_GB2312" w:hAnsi="仿宋_GB2312" w:eastAsia="仿宋_GB2312" w:cs="仿宋_GB2312"/>
                <w:color w:val="000000" w:themeColor="text1"/>
                <w:sz w:val="24"/>
              </w:rPr>
            </w:pPr>
            <w:r>
              <w:rPr>
                <w:rFonts w:ascii="仿宋_GB2312" w:hAnsi="仿宋_GB2312" w:eastAsia="仿宋_GB2312" w:cs="仿宋_GB2312"/>
                <w:color w:val="000000" w:themeColor="text1"/>
                <w:sz w:val="24"/>
              </w:rPr>
              <w:t>6</w:t>
            </w:r>
            <w:r>
              <w:rPr>
                <w:rFonts w:hint="eastAsia" w:ascii="仿宋_GB2312" w:hAnsi="仿宋_GB2312" w:eastAsia="仿宋_GB2312" w:cs="仿宋_GB2312"/>
                <w:color w:val="000000" w:themeColor="text1"/>
                <w:sz w:val="24"/>
              </w:rPr>
              <w:t>、完成岳阳市首宗“拿地即开工”项目试点</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今年5月31日，我部在全省率先推出“分阶段办理施工许可”网下试点，助力攀华项目实现提前5个月开工。10月31日，我部牵头，联合资规分局、城管分局和质安分站等工改成员单位，在全市率先推行“拿地即开工”试点，，实现自贸区启润膨化项目四证齐发，作为全市典行推介，创造了建筑工程领域审批的“岳阳速度”。</w:t>
            </w:r>
          </w:p>
          <w:p>
            <w:pPr>
              <w:autoSpaceDN w:val="0"/>
              <w:jc w:val="left"/>
              <w:textAlignment w:val="center"/>
              <w:rPr>
                <w:rFonts w:ascii="仿宋_GB2312" w:hAnsi="仿宋_GB2312" w:eastAsia="仿宋_GB2312" w:cs="仿宋_GB2312"/>
                <w:color w:val="000000" w:themeColor="text1"/>
                <w:sz w:val="24"/>
              </w:rPr>
            </w:pPr>
            <w:r>
              <w:rPr>
                <w:rFonts w:ascii="仿宋_GB2312" w:hAnsi="仿宋_GB2312" w:eastAsia="仿宋_GB2312" w:cs="仿宋_GB2312"/>
                <w:color w:val="000000" w:themeColor="text1"/>
                <w:sz w:val="24"/>
              </w:rPr>
              <w:t>7</w:t>
            </w:r>
            <w:r>
              <w:rPr>
                <w:rFonts w:hint="eastAsia" w:ascii="仿宋_GB2312" w:hAnsi="仿宋_GB2312" w:eastAsia="仿宋_GB2312" w:cs="仿宋_GB2312"/>
                <w:color w:val="000000" w:themeColor="text1"/>
                <w:sz w:val="24"/>
              </w:rPr>
              <w:t>、率先推行“两设合一”、“两审合一”改革。</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推行将工程规划和施工许可两个阶段设计合二为一的“两设合一”、一次出具规划设计方案和施工图审查结论的“两审合一”、“技审分离”、“豁免审批”和“批后核查”等一系列优化举措。</w:t>
            </w:r>
          </w:p>
          <w:p>
            <w:pPr>
              <w:autoSpaceDN w:val="0"/>
              <w:jc w:val="left"/>
              <w:textAlignment w:val="center"/>
              <w:rPr>
                <w:rFonts w:ascii="仿宋_GB2312" w:hAnsi="仿宋_GB2312" w:eastAsia="仿宋_GB2312" w:cs="仿宋_GB2312"/>
                <w:color w:val="000000" w:themeColor="text1"/>
                <w:sz w:val="24"/>
              </w:rPr>
            </w:pPr>
            <w:r>
              <w:rPr>
                <w:rFonts w:ascii="仿宋_GB2312" w:hAnsi="仿宋_GB2312" w:eastAsia="仿宋_GB2312" w:cs="仿宋_GB2312"/>
                <w:color w:val="000000" w:themeColor="text1"/>
                <w:sz w:val="24"/>
              </w:rPr>
              <w:t>8</w:t>
            </w:r>
            <w:r>
              <w:rPr>
                <w:rFonts w:hint="eastAsia" w:ascii="仿宋_GB2312" w:hAnsi="仿宋_GB2312" w:eastAsia="仿宋_GB2312" w:cs="仿宋_GB2312"/>
                <w:color w:val="000000" w:themeColor="text1"/>
                <w:sz w:val="24"/>
              </w:rPr>
              <w:t>、推行工程建设项目审批“帮代办”专业服务</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为了更好的服务企业，年初市住建局牵头，我区和经开区参与，通过政府采购程序确定了一家工程建设项目审批“帮代办”专业服务机构。“帮代办”机构重点解决企业在项目审批过程中“办什么、找谁办、如何办、快速办”等问题，主动帮助企业办理从项目拿地到取得合法开工手续为止的所有行政审批事项的审批及其相关服务。此举较大的优化了办理建筑许可的营商环境。</w:t>
            </w:r>
          </w:p>
          <w:p>
            <w:pPr>
              <w:autoSpaceDN w:val="0"/>
              <w:jc w:val="left"/>
              <w:textAlignment w:val="center"/>
              <w:rPr>
                <w:rFonts w:ascii="仿宋_GB2312" w:hAnsi="仿宋_GB2312" w:eastAsia="仿宋_GB2312" w:cs="仿宋_GB2312"/>
                <w:color w:val="000000" w:themeColor="text1"/>
                <w:sz w:val="24"/>
              </w:rPr>
            </w:pPr>
            <w:r>
              <w:rPr>
                <w:rFonts w:ascii="仿宋_GB2312" w:hAnsi="仿宋_GB2312" w:eastAsia="仿宋_GB2312" w:cs="仿宋_GB2312"/>
                <w:color w:val="000000" w:themeColor="text1"/>
                <w:sz w:val="24"/>
              </w:rPr>
              <w:t>9</w:t>
            </w:r>
            <w:r>
              <w:rPr>
                <w:rFonts w:hint="eastAsia" w:ascii="仿宋_GB2312" w:hAnsi="仿宋_GB2312" w:eastAsia="仿宋_GB2312" w:cs="仿宋_GB2312"/>
                <w:color w:val="000000" w:themeColor="text1"/>
                <w:sz w:val="24"/>
              </w:rPr>
              <w:t>、制定区域评估“一图一表一指南”</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制定了区域评估“一图一表一指南”。把我区七项区域评估的成果集成在一张规划图纸上并在政务服务中心上墙，让企业一眼就能明确办理流程。</w:t>
            </w:r>
          </w:p>
          <w:p>
            <w:pPr>
              <w:autoSpaceDN w:val="0"/>
              <w:jc w:val="left"/>
              <w:textAlignment w:val="center"/>
              <w:rPr>
                <w:rFonts w:ascii="仿宋_GB2312" w:hAnsi="仿宋_GB2312" w:eastAsia="仿宋_GB2312" w:cs="仿宋_GB2312"/>
                <w:color w:val="000000" w:themeColor="text1"/>
                <w:sz w:val="24"/>
              </w:rPr>
            </w:pPr>
            <w:r>
              <w:rPr>
                <w:rFonts w:ascii="仿宋_GB2312" w:hAnsi="仿宋_GB2312" w:eastAsia="仿宋_GB2312" w:cs="仿宋_GB2312"/>
                <w:color w:val="000000" w:themeColor="text1"/>
                <w:sz w:val="24"/>
              </w:rPr>
              <w:t>10</w:t>
            </w:r>
            <w:r>
              <w:rPr>
                <w:rFonts w:hint="eastAsia" w:ascii="仿宋_GB2312" w:hAnsi="仿宋_GB2312" w:eastAsia="仿宋_GB2312" w:cs="仿宋_GB2312"/>
                <w:color w:val="000000" w:themeColor="text1"/>
                <w:sz w:val="24"/>
              </w:rPr>
              <w:t xml:space="preserve">、狠抓行业监管， </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住建领域</w:t>
            </w:r>
            <w:r>
              <w:rPr>
                <w:rFonts w:ascii="仿宋_GB2312" w:hAnsi="仿宋_GB2312" w:eastAsia="仿宋_GB2312" w:cs="仿宋_GB2312"/>
                <w:color w:val="000000" w:themeColor="text1"/>
                <w:sz w:val="24"/>
              </w:rPr>
              <w:t>:</w:t>
            </w:r>
            <w:r>
              <w:rPr>
                <w:rFonts w:hint="eastAsia" w:ascii="仿宋_GB2312" w:hAnsi="仿宋_GB2312" w:eastAsia="仿宋_GB2312" w:cs="仿宋_GB2312"/>
                <w:color w:val="000000" w:themeColor="text1"/>
                <w:sz w:val="24"/>
              </w:rPr>
              <w:t>完成初步设计审批26项，核发施工许可36项，施工图及消防审查60项，一般设计变更4项，招标审批备案28项。一是招投标监管规范高效。今年以来共监管设计、监理、施工、检测、总承包等各类招标项目28个，招标金额约26亿元。全年未发生一起违法违纪情况，招投标行为规范，营商环境较好。是深入开展建设领域农民工工资治理和矛盾调处工作。联合质安分站做好实名制管理和农民工工资保证金缴纳督查工作。主动担当，做好未名府事故善后协调，先行垫付补偿款，确保国庆期间社情稳定。三是抓好建筑工地的质量安全管理。联合质安分站对港区有报建手续的38个合规项目、未办理报建手续的26个项目，全面监管工程安全质量，确保安全无隐患。开展在建项目安全生产、燃气管线检查、建党100周年特护期专项检查。四是抓好建筑工地扬尘污染治理。联合质安分站对港区在建项目扬尘进行重点监督，加强对港区范围内所有在建工程进行“六个一百”整治，保证建筑工地清扫保洁、工地喷淋、洒水抑尘设施全覆盖。</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是水利、林业领域:完成水利审批29项，其中防洪影响评价审批8项，水土保持方案审批21项；核查审计署移交的涉嫌非法围湖问题及全市河湖“清四乱”问题图斑共计5处，其中销号4处，联合市水利局查处整改1处，完成新港区2021年度遥感监管疑似违法违规扰动图斑核查共计20处，并已全部销号。</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完成林地报批审批12项，临时使用林地审批4项。完成国家林业和草原局下发“2021年森林督查图班”56个及“打击毁林专项行动”图班39个共计95个图班的外业调查</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人防领域:完成人防审批19项，收取易地建设费用609.42万元。对综合保税区高分子材料进口加工仓储项目一期、永济新镇商住楼项目沿河商业街和中华粮粮食物流园区项目（一期工程）三个人防整治问题项目的欠缴费用进行了追缴，计139万元。完成人防宣传活动2次，试鸣活动1次。</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r>
              <w:rPr>
                <w:rFonts w:ascii="仿宋_GB2312" w:hAnsi="仿宋_GB2312" w:eastAsia="仿宋_GB2312" w:cs="仿宋_GB2312"/>
                <w:color w:val="000000" w:themeColor="text1"/>
                <w:sz w:val="24"/>
              </w:rPr>
              <w:t>0.</w:t>
            </w:r>
            <w:r>
              <w:rPr>
                <w:rFonts w:hint="eastAsia" w:ascii="仿宋_GB2312" w:hAnsi="仿宋_GB2312" w:eastAsia="仿宋_GB2312" w:cs="仿宋_GB2312"/>
                <w:color w:val="000000" w:themeColor="text1"/>
                <w:sz w:val="24"/>
              </w:rPr>
              <w:t>按照党工委安排，我部作为攀华项目联点服务部门，为实现攀华项目2021年底彩涂线投产的目标，部门人员三班进行驻点服务，挂图作战。自今年3月底启动场地平整起，在土石方平整、杆线迁改、蒸气管入地、设计方案优化、施工图审查、施工许可证办理全过程保驾护航，确保年底投产目标任务顺利完成。</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积极协调市住建局，将岳阳哈工置业项目按照“先行先试”的原则办理了工业地产商品房预售许可证，为企业解了燃眉之急。</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狠抓争资争项，争当解忧排难“多面手”。</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获批海绵城市专项资金2800万元，五个市辖区排名第一。</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申报2021年新增政府专项债券项目（5G电子信息产业园项目、白洋湖自贸区配套项目）14.8亿元，已通过省发改委和省财政厅审核，2022年下达额度后即可发行。</w:t>
            </w:r>
          </w:p>
          <w:p>
            <w:pPr>
              <w:autoSpaceDN w:val="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3538.15</w:t>
            </w: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3538.15</w:t>
            </w:r>
          </w:p>
        </w:tc>
        <w:tc>
          <w:tcPr>
            <w:tcW w:w="1705" w:type="dxa"/>
            <w:gridSpan w:val="2"/>
            <w:vAlign w:val="center"/>
          </w:tcPr>
          <w:p>
            <w:pPr>
              <w:autoSpaceDN w:val="0"/>
              <w:jc w:val="left"/>
              <w:textAlignment w:val="center"/>
              <w:rPr>
                <w:rFonts w:ascii="仿宋_GB2312" w:hAnsi="仿宋_GB2312" w:eastAsia="仿宋_GB2312" w:cs="仿宋_GB2312"/>
                <w:color w:val="000000"/>
                <w:sz w:val="24"/>
              </w:rPr>
            </w:pPr>
          </w:p>
        </w:tc>
        <w:tc>
          <w:tcPr>
            <w:tcW w:w="1800" w:type="dxa"/>
            <w:gridSpan w:val="4"/>
            <w:vAlign w:val="center"/>
          </w:tcPr>
          <w:p>
            <w:pPr>
              <w:autoSpaceDN w:val="0"/>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3538.15</w:t>
            </w: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3538.15</w:t>
            </w:r>
          </w:p>
        </w:tc>
        <w:tc>
          <w:tcPr>
            <w:tcW w:w="1705" w:type="dxa"/>
            <w:gridSpan w:val="2"/>
            <w:vAlign w:val="center"/>
          </w:tcPr>
          <w:p>
            <w:pPr>
              <w:autoSpaceDN w:val="0"/>
              <w:jc w:val="left"/>
              <w:textAlignment w:val="center"/>
              <w:rPr>
                <w:rFonts w:ascii="仿宋_GB2312" w:hAnsi="仿宋_GB2312" w:eastAsia="仿宋_GB2312" w:cs="仿宋_GB2312"/>
                <w:color w:val="000000"/>
                <w:sz w:val="24"/>
              </w:rPr>
            </w:pPr>
          </w:p>
        </w:tc>
        <w:tc>
          <w:tcPr>
            <w:tcW w:w="1800" w:type="dxa"/>
            <w:gridSpan w:val="4"/>
            <w:vAlign w:val="center"/>
          </w:tcPr>
          <w:p>
            <w:pPr>
              <w:autoSpaceDN w:val="0"/>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left"/>
              <w:textAlignment w:val="center"/>
              <w:rPr>
                <w:rFonts w:ascii="仿宋_GB2312" w:hAnsi="仿宋_GB2312" w:eastAsia="仿宋_GB2312" w:cs="仿宋_GB2312"/>
                <w:color w:val="000000"/>
                <w:sz w:val="24"/>
              </w:rPr>
            </w:pPr>
          </w:p>
        </w:tc>
        <w:tc>
          <w:tcPr>
            <w:tcW w:w="1080" w:type="dxa"/>
            <w:gridSpan w:val="2"/>
            <w:vAlign w:val="center"/>
          </w:tcPr>
          <w:p>
            <w:pPr>
              <w:autoSpaceDN w:val="0"/>
              <w:jc w:val="left"/>
              <w:textAlignment w:val="center"/>
              <w:rPr>
                <w:rFonts w:ascii="仿宋_GB2312" w:hAnsi="仿宋_GB2312" w:eastAsia="仿宋_GB2312" w:cs="仿宋_GB2312"/>
                <w:color w:val="000000"/>
                <w:sz w:val="24"/>
              </w:rPr>
            </w:pPr>
          </w:p>
        </w:tc>
        <w:tc>
          <w:tcPr>
            <w:tcW w:w="1705" w:type="dxa"/>
            <w:gridSpan w:val="2"/>
            <w:vAlign w:val="center"/>
          </w:tcPr>
          <w:p>
            <w:pPr>
              <w:autoSpaceDN w:val="0"/>
              <w:jc w:val="left"/>
              <w:textAlignment w:val="center"/>
              <w:rPr>
                <w:rFonts w:ascii="仿宋_GB2312" w:hAnsi="仿宋_GB2312" w:eastAsia="仿宋_GB2312" w:cs="仿宋_GB2312"/>
                <w:color w:val="000000"/>
                <w:sz w:val="24"/>
              </w:rPr>
            </w:pPr>
          </w:p>
        </w:tc>
        <w:tc>
          <w:tcPr>
            <w:tcW w:w="1800" w:type="dxa"/>
            <w:gridSpan w:val="4"/>
            <w:vAlign w:val="center"/>
          </w:tcPr>
          <w:p>
            <w:pPr>
              <w:autoSpaceDN w:val="0"/>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left"/>
              <w:textAlignment w:val="center"/>
              <w:rPr>
                <w:rFonts w:ascii="仿宋_GB2312" w:hAnsi="仿宋_GB2312" w:eastAsia="仿宋_GB2312" w:cs="仿宋_GB2312"/>
                <w:color w:val="000000"/>
                <w:sz w:val="24"/>
              </w:rPr>
            </w:pPr>
          </w:p>
        </w:tc>
        <w:tc>
          <w:tcPr>
            <w:tcW w:w="1080" w:type="dxa"/>
            <w:gridSpan w:val="2"/>
            <w:vAlign w:val="center"/>
          </w:tcPr>
          <w:p>
            <w:pPr>
              <w:autoSpaceDN w:val="0"/>
              <w:jc w:val="left"/>
              <w:textAlignment w:val="center"/>
              <w:rPr>
                <w:rFonts w:ascii="仿宋_GB2312" w:hAnsi="仿宋_GB2312" w:eastAsia="仿宋_GB2312" w:cs="仿宋_GB2312"/>
                <w:color w:val="000000"/>
                <w:sz w:val="24"/>
              </w:rPr>
            </w:pPr>
          </w:p>
        </w:tc>
        <w:tc>
          <w:tcPr>
            <w:tcW w:w="1705" w:type="dxa"/>
            <w:gridSpan w:val="2"/>
            <w:vAlign w:val="center"/>
          </w:tcPr>
          <w:p>
            <w:pPr>
              <w:autoSpaceDN w:val="0"/>
              <w:jc w:val="left"/>
              <w:textAlignment w:val="center"/>
              <w:rPr>
                <w:rFonts w:ascii="仿宋_GB2312" w:hAnsi="仿宋_GB2312" w:eastAsia="仿宋_GB2312" w:cs="仿宋_GB2312"/>
                <w:color w:val="000000"/>
                <w:sz w:val="24"/>
              </w:rPr>
            </w:pPr>
          </w:p>
        </w:tc>
        <w:tc>
          <w:tcPr>
            <w:tcW w:w="1800" w:type="dxa"/>
            <w:gridSpan w:val="4"/>
            <w:vAlign w:val="center"/>
          </w:tcPr>
          <w:p>
            <w:pPr>
              <w:autoSpaceDN w:val="0"/>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widowControl/>
              <w:jc w:val="center"/>
              <w:rPr>
                <w:rFonts w:ascii="仿宋_GB2312" w:hAnsi="仿宋_GB2312" w:eastAsia="仿宋_GB2312" w:cs="仿宋_GB2312"/>
                <w:color w:val="000000"/>
                <w:sz w:val="24"/>
              </w:rPr>
            </w:pPr>
            <w:r>
              <w:rPr>
                <w:rFonts w:hint="eastAsia"/>
                <w:color w:val="000000"/>
                <w:sz w:val="20"/>
                <w:szCs w:val="20"/>
              </w:rPr>
              <w:t>3538.15</w:t>
            </w:r>
          </w:p>
        </w:tc>
        <w:tc>
          <w:tcPr>
            <w:tcW w:w="1355" w:type="dxa"/>
            <w:gridSpan w:val="2"/>
            <w:tcBorders>
              <w:lef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444.78</w:t>
            </w:r>
          </w:p>
        </w:tc>
        <w:tc>
          <w:tcPr>
            <w:tcW w:w="1080" w:type="dxa"/>
            <w:gridSpan w:val="2"/>
            <w:vAlign w:val="center"/>
          </w:tcPr>
          <w:p>
            <w:pPr>
              <w:widowControl/>
              <w:jc w:val="center"/>
              <w:rPr>
                <w:color w:val="000000"/>
                <w:sz w:val="20"/>
                <w:szCs w:val="20"/>
              </w:rPr>
            </w:pPr>
          </w:p>
          <w:p>
            <w:pPr>
              <w:widowControl/>
              <w:jc w:val="center"/>
              <w:rPr>
                <w:rFonts w:ascii="宋体" w:hAnsi="宋体" w:eastAsia="宋体" w:cs="宋体"/>
                <w:color w:val="000000"/>
                <w:kern w:val="0"/>
                <w:sz w:val="20"/>
                <w:szCs w:val="20"/>
              </w:rPr>
            </w:pPr>
            <w:r>
              <w:rPr>
                <w:rFonts w:hint="eastAsia"/>
                <w:color w:val="000000"/>
                <w:sz w:val="20"/>
                <w:szCs w:val="20"/>
              </w:rPr>
              <w:t>372.31</w:t>
            </w:r>
          </w:p>
          <w:p>
            <w:pPr>
              <w:widowControl/>
              <w:jc w:val="center"/>
              <w:rPr>
                <w:rFonts w:ascii="宋体" w:hAnsi="宋体" w:eastAsia="宋体" w:cs="宋体"/>
                <w:color w:val="000000"/>
                <w:kern w:val="0"/>
                <w:sz w:val="20"/>
                <w:szCs w:val="20"/>
              </w:rPr>
            </w:pPr>
          </w:p>
        </w:tc>
        <w:tc>
          <w:tcPr>
            <w:tcW w:w="2160" w:type="dxa"/>
            <w:gridSpan w:val="4"/>
            <w:vAlign w:val="center"/>
          </w:tcPr>
          <w:p>
            <w:pPr>
              <w:widowControl/>
              <w:jc w:val="center"/>
              <w:rPr>
                <w:color w:val="000000"/>
                <w:sz w:val="20"/>
                <w:szCs w:val="20"/>
              </w:rPr>
            </w:pPr>
          </w:p>
          <w:p>
            <w:pPr>
              <w:widowControl/>
              <w:jc w:val="center"/>
              <w:rPr>
                <w:rFonts w:ascii="宋体" w:hAnsi="宋体" w:eastAsia="宋体" w:cs="宋体"/>
                <w:color w:val="000000"/>
                <w:kern w:val="0"/>
                <w:sz w:val="20"/>
                <w:szCs w:val="20"/>
              </w:rPr>
            </w:pPr>
            <w:r>
              <w:rPr>
                <w:rFonts w:hint="eastAsia"/>
                <w:color w:val="000000"/>
                <w:sz w:val="20"/>
                <w:szCs w:val="20"/>
              </w:rPr>
              <w:t>72.47</w:t>
            </w:r>
          </w:p>
          <w:p>
            <w:pPr>
              <w:widowControl/>
              <w:jc w:val="center"/>
              <w:rPr>
                <w:rFonts w:ascii="宋体" w:hAnsi="宋体" w:eastAsia="宋体" w:cs="宋体"/>
                <w:color w:val="000000"/>
                <w:kern w:val="0"/>
                <w:sz w:val="20"/>
                <w:szCs w:val="20"/>
              </w:rPr>
            </w:pPr>
          </w:p>
        </w:tc>
        <w:tc>
          <w:tcPr>
            <w:tcW w:w="1080" w:type="dxa"/>
            <w:vAlign w:val="center"/>
          </w:tcPr>
          <w:p>
            <w:pPr>
              <w:widowControl/>
              <w:jc w:val="center"/>
              <w:rPr>
                <w:color w:val="000000"/>
                <w:sz w:val="20"/>
                <w:szCs w:val="20"/>
              </w:rPr>
            </w:pPr>
          </w:p>
          <w:p>
            <w:pPr>
              <w:widowControl/>
              <w:jc w:val="center"/>
              <w:rPr>
                <w:rFonts w:ascii="宋体" w:hAnsi="宋体" w:eastAsia="宋体" w:cs="宋体"/>
                <w:color w:val="000000"/>
                <w:kern w:val="0"/>
                <w:sz w:val="20"/>
                <w:szCs w:val="20"/>
              </w:rPr>
            </w:pPr>
            <w:r>
              <w:rPr>
                <w:rFonts w:hint="eastAsia"/>
                <w:color w:val="000000"/>
                <w:sz w:val="20"/>
                <w:szCs w:val="20"/>
              </w:rPr>
              <w:t>3093.37</w:t>
            </w:r>
          </w:p>
          <w:p>
            <w:pPr>
              <w:widowControl/>
              <w:jc w:val="center"/>
              <w:rPr>
                <w:rFonts w:ascii="宋体" w:hAnsi="宋体" w:eastAsia="宋体" w:cs="宋体"/>
                <w:color w:val="000000"/>
                <w:kern w:val="0"/>
                <w:sz w:val="20"/>
                <w:szCs w:val="20"/>
              </w:rPr>
            </w:pPr>
          </w:p>
        </w:tc>
        <w:tc>
          <w:tcPr>
            <w:tcW w:w="720" w:type="dxa"/>
            <w:gridSpan w:val="3"/>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0</w:t>
            </w:r>
          </w:p>
        </w:tc>
        <w:tc>
          <w:tcPr>
            <w:tcW w:w="625" w:type="dxa"/>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widowControl/>
              <w:jc w:val="center"/>
              <w:rPr>
                <w:rFonts w:ascii="仿宋_GB2312" w:hAnsi="仿宋_GB2312" w:eastAsia="仿宋_GB2312" w:cs="仿宋_GB2312"/>
                <w:color w:val="000000"/>
                <w:sz w:val="24"/>
              </w:rPr>
            </w:pPr>
            <w:r>
              <w:rPr>
                <w:rFonts w:hint="eastAsia"/>
                <w:color w:val="000000"/>
                <w:sz w:val="20"/>
                <w:szCs w:val="20"/>
              </w:rPr>
              <w:t>3538.15</w:t>
            </w:r>
          </w:p>
        </w:tc>
        <w:tc>
          <w:tcPr>
            <w:tcW w:w="1355" w:type="dxa"/>
            <w:gridSpan w:val="2"/>
            <w:tcBorders>
              <w:lef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444.78</w:t>
            </w:r>
          </w:p>
        </w:tc>
        <w:tc>
          <w:tcPr>
            <w:tcW w:w="1080" w:type="dxa"/>
            <w:gridSpan w:val="2"/>
            <w:vAlign w:val="center"/>
          </w:tcPr>
          <w:p>
            <w:pPr>
              <w:widowControl/>
              <w:jc w:val="center"/>
              <w:rPr>
                <w:color w:val="000000"/>
                <w:sz w:val="20"/>
                <w:szCs w:val="20"/>
              </w:rPr>
            </w:pPr>
          </w:p>
          <w:p>
            <w:pPr>
              <w:widowControl/>
              <w:jc w:val="center"/>
              <w:rPr>
                <w:rFonts w:ascii="宋体" w:hAnsi="宋体" w:eastAsia="宋体" w:cs="宋体"/>
                <w:color w:val="000000"/>
                <w:kern w:val="0"/>
                <w:sz w:val="20"/>
                <w:szCs w:val="20"/>
              </w:rPr>
            </w:pPr>
            <w:r>
              <w:rPr>
                <w:rFonts w:hint="eastAsia"/>
                <w:color w:val="000000"/>
                <w:sz w:val="20"/>
                <w:szCs w:val="20"/>
              </w:rPr>
              <w:t>372.31</w:t>
            </w:r>
          </w:p>
          <w:p>
            <w:pPr>
              <w:widowControl/>
              <w:jc w:val="center"/>
              <w:rPr>
                <w:rFonts w:ascii="宋体" w:hAnsi="宋体" w:eastAsia="宋体" w:cs="宋体"/>
                <w:color w:val="000000"/>
                <w:kern w:val="0"/>
                <w:sz w:val="20"/>
                <w:szCs w:val="20"/>
              </w:rPr>
            </w:pPr>
          </w:p>
        </w:tc>
        <w:tc>
          <w:tcPr>
            <w:tcW w:w="2160" w:type="dxa"/>
            <w:gridSpan w:val="4"/>
            <w:vAlign w:val="center"/>
          </w:tcPr>
          <w:p>
            <w:pPr>
              <w:widowControl/>
              <w:jc w:val="center"/>
              <w:rPr>
                <w:color w:val="000000"/>
                <w:sz w:val="20"/>
                <w:szCs w:val="20"/>
              </w:rPr>
            </w:pPr>
          </w:p>
          <w:p>
            <w:pPr>
              <w:widowControl/>
              <w:jc w:val="center"/>
              <w:rPr>
                <w:rFonts w:ascii="宋体" w:hAnsi="宋体" w:eastAsia="宋体" w:cs="宋体"/>
                <w:color w:val="000000"/>
                <w:kern w:val="0"/>
                <w:sz w:val="20"/>
                <w:szCs w:val="20"/>
              </w:rPr>
            </w:pPr>
            <w:r>
              <w:rPr>
                <w:rFonts w:hint="eastAsia"/>
                <w:color w:val="000000"/>
                <w:sz w:val="20"/>
                <w:szCs w:val="20"/>
              </w:rPr>
              <w:t>72.47</w:t>
            </w:r>
          </w:p>
          <w:p>
            <w:pPr>
              <w:widowControl/>
              <w:jc w:val="center"/>
              <w:rPr>
                <w:rFonts w:ascii="宋体" w:hAnsi="宋体" w:eastAsia="宋体" w:cs="宋体"/>
                <w:color w:val="000000"/>
                <w:kern w:val="0"/>
                <w:sz w:val="20"/>
                <w:szCs w:val="20"/>
              </w:rPr>
            </w:pPr>
          </w:p>
        </w:tc>
        <w:tc>
          <w:tcPr>
            <w:tcW w:w="1080" w:type="dxa"/>
            <w:vAlign w:val="center"/>
          </w:tcPr>
          <w:p>
            <w:pPr>
              <w:widowControl/>
              <w:jc w:val="center"/>
              <w:rPr>
                <w:color w:val="000000"/>
                <w:sz w:val="20"/>
                <w:szCs w:val="20"/>
              </w:rPr>
            </w:pPr>
          </w:p>
          <w:p>
            <w:pPr>
              <w:widowControl/>
              <w:jc w:val="center"/>
              <w:rPr>
                <w:rFonts w:ascii="宋体" w:hAnsi="宋体" w:eastAsia="宋体" w:cs="宋体"/>
                <w:color w:val="000000"/>
                <w:kern w:val="0"/>
                <w:sz w:val="20"/>
                <w:szCs w:val="20"/>
              </w:rPr>
            </w:pPr>
            <w:r>
              <w:rPr>
                <w:rFonts w:hint="eastAsia"/>
                <w:color w:val="000000"/>
                <w:sz w:val="20"/>
                <w:szCs w:val="20"/>
              </w:rPr>
              <w:t>3093.37</w:t>
            </w:r>
          </w:p>
          <w:p>
            <w:pPr>
              <w:widowControl/>
              <w:jc w:val="center"/>
              <w:rPr>
                <w:rFonts w:ascii="宋体" w:hAnsi="宋体" w:eastAsia="宋体" w:cs="宋体"/>
                <w:color w:val="000000"/>
                <w:kern w:val="0"/>
                <w:sz w:val="20"/>
                <w:szCs w:val="20"/>
              </w:rPr>
            </w:pPr>
          </w:p>
        </w:tc>
        <w:tc>
          <w:tcPr>
            <w:tcW w:w="720" w:type="dxa"/>
            <w:gridSpan w:val="3"/>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0</w:t>
            </w:r>
          </w:p>
        </w:tc>
        <w:tc>
          <w:tcPr>
            <w:tcW w:w="625" w:type="dxa"/>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jc w:val="center"/>
              <w:textAlignment w:val="center"/>
              <w:rPr>
                <w:rFonts w:ascii="仿宋_GB2312" w:hAnsi="仿宋_GB2312" w:eastAsia="仿宋_GB2312" w:cs="仿宋_GB2312"/>
                <w:color w:val="000000"/>
                <w:sz w:val="24"/>
              </w:rPr>
            </w:pPr>
          </w:p>
        </w:tc>
        <w:tc>
          <w:tcPr>
            <w:tcW w:w="1080" w:type="dxa"/>
            <w:vAlign w:val="center"/>
          </w:tcPr>
          <w:p>
            <w:pPr>
              <w:autoSpaceDN w:val="0"/>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jc w:val="center"/>
              <w:textAlignment w:val="center"/>
              <w:rPr>
                <w:rFonts w:ascii="仿宋_GB2312" w:hAnsi="仿宋_GB2312" w:eastAsia="仿宋_GB2312" w:cs="仿宋_GB2312"/>
                <w:color w:val="000000"/>
                <w:sz w:val="24"/>
              </w:rPr>
            </w:pPr>
          </w:p>
        </w:tc>
        <w:tc>
          <w:tcPr>
            <w:tcW w:w="1080" w:type="dxa"/>
            <w:vAlign w:val="center"/>
          </w:tcPr>
          <w:p>
            <w:pPr>
              <w:autoSpaceDN w:val="0"/>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jc w:val="center"/>
              <w:textAlignment w:val="center"/>
              <w:rPr>
                <w:color w:val="000000"/>
                <w:sz w:val="20"/>
                <w:szCs w:val="20"/>
              </w:rPr>
            </w:pPr>
            <w:r>
              <w:rPr>
                <w:rFonts w:hint="eastAsia"/>
                <w:color w:val="000000"/>
                <w:sz w:val="20"/>
                <w:szCs w:val="20"/>
              </w:rPr>
              <w:t>0.93</w:t>
            </w:r>
          </w:p>
        </w:tc>
        <w:tc>
          <w:tcPr>
            <w:tcW w:w="1355" w:type="dxa"/>
            <w:gridSpan w:val="2"/>
            <w:tcBorders>
              <w:left w:val="single" w:color="auto" w:sz="4" w:space="0"/>
            </w:tcBorders>
            <w:vAlign w:val="center"/>
          </w:tcPr>
          <w:p>
            <w:pPr>
              <w:autoSpaceDN w:val="0"/>
              <w:jc w:val="center"/>
              <w:textAlignment w:val="center"/>
              <w:rPr>
                <w:color w:val="000000"/>
                <w:sz w:val="20"/>
                <w:szCs w:val="20"/>
              </w:rPr>
            </w:pPr>
            <w:r>
              <w:rPr>
                <w:rFonts w:hint="eastAsia"/>
                <w:color w:val="000000"/>
                <w:sz w:val="20"/>
                <w:szCs w:val="20"/>
              </w:rPr>
              <w:t>0.93</w:t>
            </w:r>
          </w:p>
        </w:tc>
        <w:tc>
          <w:tcPr>
            <w:tcW w:w="1080" w:type="dxa"/>
            <w:gridSpan w:val="2"/>
            <w:vAlign w:val="center"/>
          </w:tcPr>
          <w:p>
            <w:pPr>
              <w:autoSpaceDN w:val="0"/>
              <w:jc w:val="center"/>
              <w:textAlignment w:val="center"/>
              <w:rPr>
                <w:color w:val="000000"/>
                <w:sz w:val="20"/>
                <w:szCs w:val="20"/>
              </w:rPr>
            </w:pPr>
            <w:r>
              <w:rPr>
                <w:rFonts w:hint="eastAsia"/>
                <w:color w:val="000000"/>
                <w:sz w:val="20"/>
                <w:szCs w:val="20"/>
              </w:rPr>
              <w:t>0</w:t>
            </w:r>
          </w:p>
        </w:tc>
        <w:tc>
          <w:tcPr>
            <w:tcW w:w="2160" w:type="dxa"/>
            <w:gridSpan w:val="4"/>
            <w:vAlign w:val="center"/>
          </w:tcPr>
          <w:p>
            <w:pPr>
              <w:autoSpaceDN w:val="0"/>
              <w:jc w:val="center"/>
              <w:textAlignment w:val="center"/>
              <w:rPr>
                <w:color w:val="000000"/>
                <w:sz w:val="20"/>
                <w:szCs w:val="20"/>
              </w:rPr>
            </w:pPr>
            <w:r>
              <w:rPr>
                <w:rFonts w:hint="eastAsia"/>
                <w:color w:val="000000"/>
                <w:sz w:val="20"/>
                <w:szCs w:val="20"/>
              </w:rPr>
              <w:t>0</w:t>
            </w:r>
          </w:p>
        </w:tc>
        <w:tc>
          <w:tcPr>
            <w:tcW w:w="2425" w:type="dxa"/>
            <w:gridSpan w:val="5"/>
            <w:vAlign w:val="center"/>
          </w:tcPr>
          <w:p>
            <w:pPr>
              <w:autoSpaceDN w:val="0"/>
              <w:jc w:val="center"/>
              <w:textAlignment w:val="center"/>
              <w:rPr>
                <w:color w:val="000000"/>
                <w:sz w:val="20"/>
                <w:szCs w:val="20"/>
              </w:rPr>
            </w:pPr>
            <w:r>
              <w:rPr>
                <w:rFonts w:hint="eastAsia"/>
                <w:color w:val="00000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eastAsia="仿宋_GB2312"/>
                <w:color w:val="000000"/>
                <w:sz w:val="20"/>
                <w:szCs w:val="20"/>
              </w:rPr>
              <w:t>0.93</w:t>
            </w: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eastAsia="仿宋_GB2312"/>
                <w:color w:val="000000"/>
                <w:sz w:val="20"/>
                <w:szCs w:val="20"/>
              </w:rPr>
              <w:t>0.93</w:t>
            </w: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0</w:t>
            </w:r>
          </w:p>
        </w:tc>
        <w:tc>
          <w:tcPr>
            <w:tcW w:w="2160" w:type="dxa"/>
            <w:gridSpan w:val="4"/>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0</w:t>
            </w:r>
          </w:p>
        </w:tc>
        <w:tc>
          <w:tcPr>
            <w:tcW w:w="2425" w:type="dxa"/>
            <w:gridSpan w:val="5"/>
            <w:vAlign w:val="center"/>
          </w:tcPr>
          <w:p>
            <w:pPr>
              <w:autoSpaceDN w:val="0"/>
              <w:jc w:val="center"/>
              <w:textAlignment w:val="center"/>
              <w:rPr>
                <w:rFonts w:ascii="仿宋_GB2312" w:hAnsi="仿宋_GB2312" w:eastAsia="仿宋_GB2312" w:cs="仿宋_GB2312"/>
                <w:color w:val="000000"/>
                <w:sz w:val="24"/>
              </w:rPr>
            </w:pPr>
            <w:r>
              <w:rPr>
                <w:rFonts w:hint="eastAsia"/>
                <w:color w:val="00000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35" w:type="dxa"/>
            <w:gridSpan w:val="4"/>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644" w:type="dxa"/>
            <w:gridSpan w:val="7"/>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35" w:type="dxa"/>
            <w:gridSpan w:val="4"/>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644" w:type="dxa"/>
            <w:gridSpan w:val="7"/>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rPr>
                <w:rFonts w:ascii="仿宋_GB2312" w:hAnsi="仿宋_GB2312" w:eastAsia="仿宋_GB2312" w:cs="仿宋_GB2312"/>
                <w:sz w:val="24"/>
              </w:rPr>
            </w:pPr>
          </w:p>
        </w:tc>
        <w:tc>
          <w:tcPr>
            <w:tcW w:w="3774" w:type="dxa"/>
            <w:gridSpan w:val="7"/>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目标1:保障本年度建设、规划和征拆工作顺利开展。</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目标2：完成本年度相应施工任务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目标3：按时效及时完成企业上传的施工图审查任务</w:t>
            </w:r>
          </w:p>
        </w:tc>
        <w:tc>
          <w:tcPr>
            <w:tcW w:w="4585" w:type="dxa"/>
            <w:gridSpan w:val="9"/>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1:保障本年度建设、规划和征拆工作顺利开展按计划已完成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2：完成本年度施工任务。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3：按时效及时完成企业上传的施工图审查任务按计划已完成。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指标1：保障本年度建设、规划工作完成</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rPr>
                <w:rFonts w:ascii="仿宋_GB2312" w:hAnsi="仿宋_GB2312" w:eastAsia="仿宋_GB2312" w:cs="仿宋_GB2312"/>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指标2：验收合格</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rPr>
                <w:rFonts w:ascii="仿宋_GB2312" w:hAnsi="仿宋_GB2312" w:eastAsia="仿宋_GB2312" w:cs="仿宋_GB2312"/>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指标3：按标准审图，并及时高效完成审图</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指标1：完成凌泊湖六期安置房建设1503套，城陵矶片区安置房90套</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autoSpaceDN w:val="0"/>
              <w:jc w:val="center"/>
              <w:textAlignment w:val="center"/>
              <w:rPr>
                <w:rFonts w:ascii="仿宋_GB2312" w:hAnsi="仿宋_GB2312" w:eastAsia="仿宋_GB2312" w:cs="仿宋_GB2312"/>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指标2：完成相应的施工任务</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autoSpaceDN w:val="0"/>
              <w:jc w:val="center"/>
              <w:textAlignment w:val="center"/>
              <w:rPr>
                <w:rFonts w:ascii="仿宋_GB2312" w:hAnsi="仿宋_GB2312" w:eastAsia="仿宋_GB2312" w:cs="仿宋_GB2312"/>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指标3：严标准高效率完成审图，审核经费500万元</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指标1：在既定时间内完成绩效目标</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autoSpaceDN w:val="0"/>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autoSpaceDN w:val="0"/>
              <w:jc w:val="center"/>
              <w:textAlignment w:val="center"/>
              <w:rPr>
                <w:rFonts w:ascii="仿宋_GB2312" w:hAnsi="仿宋_GB2312" w:eastAsia="仿宋_GB2312" w:cs="仿宋_GB2312"/>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指标1：控制在预算内，无资金浪费</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autoSpaceDN w:val="0"/>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Merge w:val="continue"/>
            <w:vAlign w:val="center"/>
          </w:tcPr>
          <w:p>
            <w:pPr>
              <w:autoSpaceDN w:val="0"/>
              <w:jc w:val="center"/>
              <w:textAlignment w:val="center"/>
              <w:rPr>
                <w:rFonts w:ascii="仿宋_GB2312" w:hAnsi="仿宋_GB2312" w:eastAsia="仿宋_GB2312" w:cs="仿宋_GB2312"/>
                <w:sz w:val="24"/>
              </w:rPr>
            </w:pP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restart"/>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指标1：为港区产业项目建设供地，创造经济价值，促进港区经济发展</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指标2：为入园企业减少建设成本，节约建设资金</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指标1：为港区产业项目建设供地，创造经济价值，促进港区经济发展</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指标2：为入园企业减少建设成本，节约建设资金</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指标1：注重生态环境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指标2：优化营商环境，为企业减负</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rPr>
                <w:rFonts w:ascii="仿宋_GB2312" w:hAnsi="仿宋_GB2312" w:eastAsia="仿宋_GB2312" w:cs="仿宋_GB2312"/>
                <w:sz w:val="24"/>
              </w:rPr>
            </w:pPr>
          </w:p>
        </w:tc>
        <w:tc>
          <w:tcPr>
            <w:tcW w:w="1549" w:type="dxa"/>
            <w:gridSpan w:val="4"/>
            <w:vMerge w:val="continue"/>
            <w:vAlign w:val="center"/>
          </w:tcPr>
          <w:p>
            <w:pPr>
              <w:autoSpaceDN w:val="0"/>
              <w:rPr>
                <w:rFonts w:ascii="仿宋_GB2312" w:hAnsi="仿宋_GB2312" w:eastAsia="仿宋_GB2312" w:cs="仿宋_GB2312"/>
                <w:sz w:val="24"/>
              </w:rPr>
            </w:pPr>
          </w:p>
        </w:tc>
        <w:tc>
          <w:tcPr>
            <w:tcW w:w="1417"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指标1：服务对象满意率95%；社会公众满意率95%</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00</w:t>
            </w:r>
            <w:r>
              <w:rPr>
                <w:rFonts w:hint="eastAsia" w:ascii="仿宋_GB2312" w:hAnsi="仿宋_GB2312" w:eastAsia="仿宋_GB2312" w:cs="仿宋_GB2312"/>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黄 洪</w:t>
            </w:r>
          </w:p>
        </w:tc>
        <w:tc>
          <w:tcPr>
            <w:tcW w:w="3561" w:type="dxa"/>
            <w:gridSpan w:val="6"/>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科长</w:t>
            </w:r>
          </w:p>
        </w:tc>
        <w:tc>
          <w:tcPr>
            <w:tcW w:w="1479" w:type="dxa"/>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建设管理部</w:t>
            </w:r>
          </w:p>
        </w:tc>
        <w:tc>
          <w:tcPr>
            <w:tcW w:w="3106" w:type="dxa"/>
            <w:gridSpan w:val="8"/>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孟志军</w:t>
            </w:r>
          </w:p>
        </w:tc>
        <w:tc>
          <w:tcPr>
            <w:tcW w:w="3561" w:type="dxa"/>
            <w:gridSpan w:val="6"/>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部长</w:t>
            </w:r>
          </w:p>
        </w:tc>
        <w:tc>
          <w:tcPr>
            <w:tcW w:w="1479" w:type="dxa"/>
            <w:vAlign w:val="center"/>
          </w:tcPr>
          <w:p>
            <w:pPr>
              <w:autoSpaceDN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建设管理部</w:t>
            </w:r>
          </w:p>
        </w:tc>
        <w:tc>
          <w:tcPr>
            <w:tcW w:w="3106" w:type="dxa"/>
            <w:gridSpan w:val="8"/>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jc w:val="center"/>
              <w:textAlignment w:val="center"/>
              <w:rPr>
                <w:rFonts w:ascii="仿宋_GB2312" w:hAnsi="仿宋_GB2312" w:eastAsia="仿宋_GB2312" w:cs="仿宋_GB2312"/>
                <w:color w:val="000000"/>
                <w:sz w:val="24"/>
              </w:rPr>
            </w:pPr>
          </w:p>
        </w:tc>
        <w:tc>
          <w:tcPr>
            <w:tcW w:w="1479" w:type="dxa"/>
            <w:vAlign w:val="center"/>
          </w:tcPr>
          <w:p>
            <w:pPr>
              <w:autoSpaceDN w:val="0"/>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jc w:val="center"/>
              <w:textAlignment w:val="center"/>
              <w:rPr>
                <w:rFonts w:ascii="仿宋_GB2312" w:hAnsi="仿宋_GB2312" w:eastAsia="仿宋_GB2312" w:cs="仿宋_GB2312"/>
                <w:color w:val="000000"/>
                <w:sz w:val="24"/>
              </w:rPr>
            </w:pPr>
          </w:p>
        </w:tc>
        <w:tc>
          <w:tcPr>
            <w:tcW w:w="1479" w:type="dxa"/>
            <w:vAlign w:val="center"/>
          </w:tcPr>
          <w:p>
            <w:pPr>
              <w:autoSpaceDN w:val="0"/>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rPr>
                <w:rFonts w:eastAsia="仿宋_GB2312"/>
                <w:sz w:val="24"/>
              </w:rPr>
            </w:pPr>
            <w:r>
              <w:rPr>
                <w:rFonts w:hint="eastAsia" w:eastAsia="仿宋_GB2312"/>
                <w:sz w:val="24"/>
              </w:rPr>
              <w:t>财政部门归口业务科室意见：</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hint="eastAsia" w:eastAsia="仿宋_GB2312"/>
                <w:sz w:val="24"/>
              </w:rPr>
              <w:t xml:space="preserve">                                  财政部门归口业务科室负责人（签章）：</w:t>
            </w:r>
          </w:p>
          <w:p>
            <w:pPr>
              <w:autoSpaceDN w:val="0"/>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万 佳                 联系电话：1</w:t>
      </w:r>
      <w:r>
        <w:rPr>
          <w:rFonts w:eastAsia="仿宋_GB2312" w:cs="仿宋_GB2312"/>
          <w:bCs/>
          <w:sz w:val="28"/>
          <w:szCs w:val="28"/>
        </w:rPr>
        <w:t xml:space="preserve">5874118901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（一）部门（单位）基本情况</w:t>
            </w:r>
          </w:p>
          <w:p>
            <w:pPr>
              <w:autoSpaceDN w:val="0"/>
              <w:jc w:val="left"/>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sz w:val="24"/>
              </w:rPr>
              <w:t>建设管理部基本情况人员共22人，在编人员8人，其主要职能</w:t>
            </w:r>
            <w:r>
              <w:rPr>
                <w:rFonts w:hint="eastAsia" w:ascii="仿宋_GB2312" w:hAnsi="仿宋_GB2312" w:eastAsia="仿宋_GB2312" w:cs="仿宋_GB2312"/>
                <w:color w:val="000000" w:themeColor="text1"/>
                <w:sz w:val="24"/>
              </w:rPr>
              <w:t>负责区域内建设项目方案及初步设计的审查，以及建筑面积复核等技术性审查工作；负责拟订区域内征地拆迁和安置工作计划，并协调岳阳楼区、云溪区组织实施；负责对区域内建设项目实施行业管理；负责新港区部分自建项目的设计和质量、安全、进度、档案管理以及工程量核定、资金计划申报，牵头组织自建项目建设过程中的变更管理；负责区域内林地、水务等日常报批工作。</w:t>
            </w:r>
          </w:p>
          <w:p>
            <w:pPr>
              <w:autoSpaceDN w:val="0"/>
              <w:jc w:val="left"/>
              <w:textAlignment w:val="center"/>
              <w:rPr>
                <w:rFonts w:ascii="仿宋_GB2312" w:hAnsi="仿宋_GB2312" w:eastAsia="仿宋_GB2312" w:cs="仿宋_GB2312"/>
                <w:color w:val="000000" w:themeColor="text1"/>
                <w:sz w:val="24"/>
              </w:rPr>
            </w:pP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工作任务：1、城新港工发〔2021〕10号文件中规定的白杨湖北岸景观工程、凌泊湖六期安置房等23个项目（包含交通大会战考核项目）。2、城新港工发〔2021〕9号中文件中规定的所有建设项目在施工许可阶段的报建手续办理，包括：施工设计图的审查及备案（含消防），施工许可证的办理（含质量安全监督注册手续办理）。3、挖填方100万方。4、工程建设项目审批制度改革工作，按《湖南城陵矶新港区工程建设项目审批制度改革2021年工作任务清单》完成。5、严格审查招标文件，及时协助业主单位开展招投标。6、项目在施工许可阶段涉水行政审批手续办理，包括：取水许可审批，防洪影响审批，生产建设项目水土保持方案审批。7、建设项目使用林地审批（含临时占用一般用途林地审批）、林木采伐手续办理8、年初目标任务明确的杭瑞高速冷水铺互通连接线A段、北环线建设项目项目</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（二）部门（单位）整体支出规模、使用方向和主要内容、涉及范围等</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委会年初工作计划和重点工作，围绕市委、市政府的工作部署，积极履行职责，强化管理，我部圆满完成了年度工作目标。根据部门整体支出合计3538.15万元，其中项目支出3093.37万元，基本支出444.78万元。基本支出中，人员支出372.31万元，公用支出72.47万元。</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（一）基本支出</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基本支出用于保障单位各科室正常运转、完成日常工作任务而发生支出，包括人员经费和日常公用经费。部门基本支出444.78万元，其中人员支出372.31万元，公用支出72.47万元。</w:t>
            </w: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（二）专项支出</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1、专项资金安排落实、总投入等情况分析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2021年年初预算批复的项目支出为31718万元，实际决算支出3538.15万元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2、专项资金实际使用情况分析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支出符合国家财经法规和财务管理制度规定以及有关专项资金管理办法</w:t>
            </w:r>
            <w:r>
              <w:rPr>
                <w:rFonts w:hint="eastAsia" w:ascii="仿宋_GB2312" w:hAnsi="仿宋_GB2312" w:eastAsia="仿宋_GB2312" w:cs="仿宋_GB2312"/>
                <w:bCs/>
                <w:sz w:val="28"/>
                <w:szCs w:val="28"/>
              </w:rPr>
              <w:t>的规定；资金拨</w:t>
            </w:r>
            <w:r>
              <w:rPr>
                <w:rFonts w:hint="eastAsia" w:ascii="仿宋_GB2312" w:hAnsi="仿宋_GB2312" w:eastAsia="仿宋_GB2312" w:cs="仿宋_GB2312"/>
                <w:color w:val="000000"/>
                <w:sz w:val="24"/>
              </w:rPr>
              <w:t>付有完整的审批程序和手续；项目支出按规定经过评估论证；支出符合部门预算批复的用途；资金使用无截留、挤占、挪用、虚列支出等情况。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3、专项资金管理情况分析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三、部门（单位）专项组织实施情况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（一）专项组织情况分析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（二）专项管理情况分析</w:t>
            </w:r>
          </w:p>
          <w:p>
            <w:pPr>
              <w:autoSpaceDN w:val="0"/>
              <w:jc w:val="left"/>
              <w:textAlignment w:val="center"/>
              <w:rPr>
                <w:rFonts w:ascii="仿宋_GB2312" w:hAnsi="仿宋_GB2312" w:eastAsia="仿宋_GB2312" w:cs="仿宋_GB2312"/>
                <w:bCs/>
                <w:sz w:val="28"/>
                <w:szCs w:val="28"/>
              </w:rPr>
            </w:pPr>
            <w:r>
              <w:rPr>
                <w:rFonts w:hint="eastAsia" w:ascii="仿宋_GB2312" w:hAnsi="仿宋_GB2312" w:eastAsia="仿宋_GB2312" w:cs="仿宋_GB2312"/>
                <w:color w:val="000000"/>
                <w:sz w:val="24"/>
              </w:rPr>
              <w:t>按规定发布奖补申报通知，公开预决算信息；按规定时限公开预决算信息；已制定或具有预算资金管理办法，内部财务管理制度、会计核算制度等管理制度；相关管理制度合法、合规、完整；相关管理制度得到有效执行</w:t>
            </w:r>
            <w:r>
              <w:rPr>
                <w:rFonts w:hint="eastAsia" w:ascii="仿宋_GB2312" w:hAnsi="仿宋_GB2312" w:eastAsia="仿宋_GB2312" w:cs="仿宋_GB2312"/>
                <w:bCs/>
                <w:sz w:val="28"/>
                <w:szCs w:val="28"/>
              </w:rPr>
              <w:t>。</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根据自评绩效评分细则，我部严格执行预算管理，防止各种违反财经纪律的行为、保障重点、量入为出、收支平衡的原则，提高资金使用效益。并完成了以下任务：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1、安置房建设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全年共推进凌泊湖安置房六期、城陵矶片区安置房和松阳湖安置房小区三个安置房项目建设。目前，凌泊湖安置房六期和城陵矶片区安置房已完成施工任务，基本达到交房条件</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2、市政路网及配套建设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全年完成三条道路验收工作；九个续建项目按照目标正常推进，其中天河路、敖家垄路、竹园路和茅岭东路已达到通车条件；根据党工委部署，启动了三个新建项目施工以及五个项目的前期设计工作。</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按党工委部署，启动了松阳湖路、城陵矶路、芭云路、环湖路、桔园路路灯建设和通关服务中心、云港路、长江大道等主干道建筑立面灯光亮化建设。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3、供水、电力管网建设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工委主要领导高位推动下，我部参考长沙市作法就电力项目与国网公司协商形成了高效、互信的建设模式，明确了业务委托、财政评审、税收缴纳、工程结算、资产移交流程，双方同意以文件形式进一步规范。同时，市自来水公司也同意按此模式实施。彻底理顺困绕多年的水、电建设卡脖子现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启动了江一路、江岭东路、环湖路、雷公嘴路、敖家垄路、竹园路、天河路、茅岭路等八条道路的供水主管的建设。目前，江一路、江岭东路、环湖路、雷公嘴路四条道路已完成施工，敖家垄路、竹园路、天河路、茅岭路四条道路供水管网已完成设计和预算评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完成了江一路、雷公嘴路、10KV松港I线、攀华项目临时用电供电线路的建设。启动了110KV巴云德松线（10#－13#杆塔）、攀华项目10KV水泥支线、中储粮项目10KV松镇线/松伍线、110KV巴云德松线/依松线线等电力线路迁改工作。</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4、生态环境治理</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完成象骨港黑臭水体销号、省环保督察反馈的“建筑工地管理，未按照6个100%施工”的整改销号、省环保督察反馈的“混凝土行业管理混乱粗犷、生产废水直排”问题销号、中央环保督察反馈的“污水处理厂进水COD浓度偏低”销号。</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5、土石方及应急建设任务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完成攀华项目、6906二期项目、多式联运物流园二期项目、银华科技项目等项目土石方工程，目前正在实施中瑞打印机项目和新宏项目土方工程，累计挖运土方量约140万方，超额完成年初100万方的目标任务。攀华项目20天24小时施工完成40万方土石方施工；块弃土场和煤灰湖西弃土场从市城区接收土方约130万方，节约财政资金约1690万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全年共完成凯门科技临时污水处理设施、云港路宋家组雨污管网改造、中创空天周边绿化提质改造工程、攀华一期铁塔防护及清淤工程、松杨湖路蒸汽入地项目、杨树港华琨桥新建工程等应急项目。</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6、完成岳阳市首宗“拿地即开工”项目试点</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今年5月31日，我部在全省率先推出“分阶段办理施工许可”网下试点，助力攀华项目实现提前5个月开工。10月31日，我部牵头，联合资规分局、城管分局和质安分站等工改成员单位，在全市率先推行“拿地即开工”试点，，实现自贸区启润膨化项目四证齐发，作为全市典行推介，创造了建筑工程领域审批的“岳阳速度”。</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7、率先推行“两设合一”、“两审合一”改革。</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推行将工程规划和施工许可两个阶段设计合二为一的“两设合一”、一次出具规划设计方案和施工图审查结论的“两审合一”、“技审分离”、“豁免审批”和“批后核查”等一系列优化举措。</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8、推行工程建设项目审批“帮代办”专业服务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了更好的服务企业，年初市住建局牵头，我区和经开区参与，通过政府采购程序确定了一家工程建设项目审批“帮代办”专业服务机构。“帮代办”机构重点解决企业在项目审批过程中“办什么、找谁办、如何办、快速办”等问题，主动帮助企业办理从项目拿地到取得合法开工手续为止的所有行政审批事项的审批及其相关服务。此举较大的优化了办理建筑许可的营商环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9、制定区域评估“一图一表一指南”</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制定了区域评估“一图一表一指南”。把我区七项区域评估的成果集成在一张规划图纸上并在政务服务中心上墙，让企业一眼就能明确办理流程。</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10、狠抓行业监管， </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住建领域:完成初步设计审批26项，核发施工许可36项，施工图及消防审查60项，一般设计变更4项，招标审批备案28项。一是招投标监管规范高效。今年以来共监管设计、监理、施工、检测、总承包等各类招标项目28个，招标金额约26亿元。全年未发生一起违法违纪情况，招投标行为规范，营商环境较好。二是抓好建筑工地的质量安全管理。联合质安分站对港区有报建手续的38个合规项目、未办理报建手续的26个项目，全面监管工程安全质量，确保安全无隐患。开展在建项目安全生产、燃气管线检查、建党100周年特护期专项检查。三是抓好建筑工地扬尘污染治理。联合质安分站对港区在建项目扬尘进行重点监督，加强对港区范围内所有在建工程进行“六个一百”整治，保证建筑工地清扫保洁、工地喷淋、洒水抑尘设施全覆盖。</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利、林业领域:完成水利审批29项，其中防洪影响评价审批8项，水土保持方案审批21项；核查审计署移交的涉嫌非法围湖问题及全市河湖“清四乱”问题图斑共计5处，其中销号4处，联合市水利局查处整改1处，完成新港区2021年度遥感监管疑似违法违规扰动图斑核查共计20处，并已全部销号。</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完成林地报批审批12项，临时使用林地审批4项。完成国家林业和草原局下发“2021年森林督查图班”56个及“打击毁林专项行动”图班39个共计95个图班的外业调查</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防领域:完成人防审批19项，收取易地建设费用609.42万元。对综合保税区高分子材料进口加工仓储项目一期、永济新镇商住楼项目沿河商业街和中华粮粮食物流园区项目（一期工程）三个人防整治问题项目的欠缴费用进行了追缴，计139万元。完成人防宣传活动2次，试鸣活动1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按照党工委安排，我部作为攀华项目联点服务部门，为实现攀华项目2021年底彩涂线投产的目标，部门人员三班进行驻点服务，挂图作战。自今年3月底启动场地平整起，在土石方平整、杆线迁改、蒸气管入地、设计方案优化、施工图审查、施工许可证办理全过程保驾护航，确保年底投产目标任务顺利完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积极协调市住建局，将岳阳哈工置业项目按照“先行先试”的原则办理了工业地产商品房预售许可证，为企业解了燃眉之急。</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获批海绵城市专项资金2800万元，五个市辖区排名第一。</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申报2021年新增政府专项债券项目（5G电子信息产业园项目、白洋湖自贸区配套项目）14.8亿元，已通过省发改委和省财政厅审核，2022年下达额度后即可发行。</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因疫情的影响导致工程的进展程度和资金拨付的情况，存在不确定因素，增加了预算难度。</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280" w:lineRule="exact"/>
              <w:ind w:firstLine="474" w:firstLineChars="200"/>
              <w:rPr>
                <w:rFonts w:eastAsia="楷体_GB2312"/>
                <w:bCs/>
                <w:sz w:val="28"/>
                <w:szCs w:val="28"/>
              </w:rPr>
            </w:pPr>
            <w:r>
              <w:rPr>
                <w:rFonts w:hint="eastAsia" w:ascii="仿宋_GB2312" w:hAnsi="仿宋_GB2312" w:eastAsia="仿宋_GB2312" w:cs="仿宋_GB2312"/>
                <w:color w:val="000000"/>
                <w:sz w:val="24"/>
              </w:rPr>
              <w:t>早规划、早组织、早预算，项目审核审批与施工进展，按进度正常推进，争取专项经费预算与支出基本一致。</w:t>
            </w:r>
          </w:p>
        </w:tc>
      </w:tr>
    </w:tbl>
    <w:p>
      <w:pPr>
        <w:spacing w:line="348" w:lineRule="auto"/>
        <w:rPr>
          <w:sz w:val="28"/>
          <w:szCs w:val="28"/>
        </w:rPr>
      </w:pPr>
      <w:bookmarkStart w:id="1" w:name="_GoBack"/>
      <w:bookmarkEnd w:id="1"/>
    </w:p>
    <w:sectPr>
      <w:headerReference r:id="rId3" w:type="default"/>
      <w:pgSz w:w="11906" w:h="16838"/>
      <w:pgMar w:top="1588" w:right="1588" w:bottom="1588" w:left="1588" w:header="851" w:footer="1020"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3"/>
  <w:drawingGridVerticalSpacing w:val="301"/>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ZmRiNjBlY2NjMGI5YmFkNTQ4ZWZhY2M2ZTQ0ZWRjZmMifQ=="/>
  </w:docVars>
  <w:rsids>
    <w:rsidRoot w:val="00F521AC"/>
    <w:rsid w:val="00003EB1"/>
    <w:rsid w:val="00005DF5"/>
    <w:rsid w:val="00010D7A"/>
    <w:rsid w:val="00024D2C"/>
    <w:rsid w:val="000260E9"/>
    <w:rsid w:val="00026733"/>
    <w:rsid w:val="00026EDF"/>
    <w:rsid w:val="00050AF2"/>
    <w:rsid w:val="00056B12"/>
    <w:rsid w:val="00081A89"/>
    <w:rsid w:val="00082D66"/>
    <w:rsid w:val="000907A7"/>
    <w:rsid w:val="00096750"/>
    <w:rsid w:val="000A3E95"/>
    <w:rsid w:val="000B10DA"/>
    <w:rsid w:val="000B28E3"/>
    <w:rsid w:val="000B3931"/>
    <w:rsid w:val="000D2C50"/>
    <w:rsid w:val="000D35DF"/>
    <w:rsid w:val="000D4A37"/>
    <w:rsid w:val="000D6385"/>
    <w:rsid w:val="000E0C52"/>
    <w:rsid w:val="000E44B2"/>
    <w:rsid w:val="000F18C2"/>
    <w:rsid w:val="000F2261"/>
    <w:rsid w:val="000F265E"/>
    <w:rsid w:val="001113B3"/>
    <w:rsid w:val="00111919"/>
    <w:rsid w:val="00121064"/>
    <w:rsid w:val="001274A6"/>
    <w:rsid w:val="001477FB"/>
    <w:rsid w:val="0015582E"/>
    <w:rsid w:val="0017578D"/>
    <w:rsid w:val="001779C9"/>
    <w:rsid w:val="001A3FB9"/>
    <w:rsid w:val="001A6003"/>
    <w:rsid w:val="001B6FEA"/>
    <w:rsid w:val="001C0E82"/>
    <w:rsid w:val="001C669D"/>
    <w:rsid w:val="001D0882"/>
    <w:rsid w:val="001D33EF"/>
    <w:rsid w:val="001D39FF"/>
    <w:rsid w:val="001D40FA"/>
    <w:rsid w:val="001D59FA"/>
    <w:rsid w:val="001E757A"/>
    <w:rsid w:val="001F0AA8"/>
    <w:rsid w:val="001F769E"/>
    <w:rsid w:val="00204F0D"/>
    <w:rsid w:val="00220EA4"/>
    <w:rsid w:val="002228C6"/>
    <w:rsid w:val="002319A0"/>
    <w:rsid w:val="00232650"/>
    <w:rsid w:val="00241C05"/>
    <w:rsid w:val="002539C5"/>
    <w:rsid w:val="00253DEA"/>
    <w:rsid w:val="002908F0"/>
    <w:rsid w:val="002925F6"/>
    <w:rsid w:val="002B3114"/>
    <w:rsid w:val="002B7CFD"/>
    <w:rsid w:val="002C10A0"/>
    <w:rsid w:val="002C55D1"/>
    <w:rsid w:val="002D0413"/>
    <w:rsid w:val="002D6B96"/>
    <w:rsid w:val="002D7DBD"/>
    <w:rsid w:val="002E1135"/>
    <w:rsid w:val="002E1E26"/>
    <w:rsid w:val="002F390D"/>
    <w:rsid w:val="002F60FF"/>
    <w:rsid w:val="00303DD3"/>
    <w:rsid w:val="003104AF"/>
    <w:rsid w:val="00320034"/>
    <w:rsid w:val="0032250D"/>
    <w:rsid w:val="00332BB6"/>
    <w:rsid w:val="00334545"/>
    <w:rsid w:val="00347857"/>
    <w:rsid w:val="0036710C"/>
    <w:rsid w:val="0037745C"/>
    <w:rsid w:val="0038587D"/>
    <w:rsid w:val="0039324B"/>
    <w:rsid w:val="00394711"/>
    <w:rsid w:val="003A0113"/>
    <w:rsid w:val="003B00F5"/>
    <w:rsid w:val="003B56A9"/>
    <w:rsid w:val="003C0133"/>
    <w:rsid w:val="003C08FC"/>
    <w:rsid w:val="003C1415"/>
    <w:rsid w:val="003D0A51"/>
    <w:rsid w:val="003D1404"/>
    <w:rsid w:val="003E4968"/>
    <w:rsid w:val="003F1FCC"/>
    <w:rsid w:val="003F6FBE"/>
    <w:rsid w:val="00402768"/>
    <w:rsid w:val="0041038C"/>
    <w:rsid w:val="00414610"/>
    <w:rsid w:val="00434F20"/>
    <w:rsid w:val="004412D2"/>
    <w:rsid w:val="00454AB8"/>
    <w:rsid w:val="0047486C"/>
    <w:rsid w:val="00475895"/>
    <w:rsid w:val="004831D2"/>
    <w:rsid w:val="00497775"/>
    <w:rsid w:val="004A1022"/>
    <w:rsid w:val="004A175A"/>
    <w:rsid w:val="004A440C"/>
    <w:rsid w:val="004B6F18"/>
    <w:rsid w:val="004D3F63"/>
    <w:rsid w:val="004E01C2"/>
    <w:rsid w:val="004E4D39"/>
    <w:rsid w:val="00532371"/>
    <w:rsid w:val="0054082A"/>
    <w:rsid w:val="005534F8"/>
    <w:rsid w:val="00557CE8"/>
    <w:rsid w:val="00564E7D"/>
    <w:rsid w:val="005725E6"/>
    <w:rsid w:val="00572799"/>
    <w:rsid w:val="005901A2"/>
    <w:rsid w:val="00595358"/>
    <w:rsid w:val="005961D8"/>
    <w:rsid w:val="00596FC1"/>
    <w:rsid w:val="005A5CEA"/>
    <w:rsid w:val="005B1E93"/>
    <w:rsid w:val="005B6700"/>
    <w:rsid w:val="005D50DC"/>
    <w:rsid w:val="005E24D1"/>
    <w:rsid w:val="005E46AD"/>
    <w:rsid w:val="005F5EEA"/>
    <w:rsid w:val="005F7633"/>
    <w:rsid w:val="00604AE8"/>
    <w:rsid w:val="00604FE6"/>
    <w:rsid w:val="00606B25"/>
    <w:rsid w:val="00616310"/>
    <w:rsid w:val="00622E89"/>
    <w:rsid w:val="00625743"/>
    <w:rsid w:val="00627F1B"/>
    <w:rsid w:val="006363BB"/>
    <w:rsid w:val="0064603D"/>
    <w:rsid w:val="00655EB6"/>
    <w:rsid w:val="0066251B"/>
    <w:rsid w:val="0067543D"/>
    <w:rsid w:val="00682829"/>
    <w:rsid w:val="006B167D"/>
    <w:rsid w:val="006C4524"/>
    <w:rsid w:val="006D3CF1"/>
    <w:rsid w:val="006D7C61"/>
    <w:rsid w:val="006E7AA7"/>
    <w:rsid w:val="006F0260"/>
    <w:rsid w:val="006F4200"/>
    <w:rsid w:val="00700961"/>
    <w:rsid w:val="00701987"/>
    <w:rsid w:val="00716CE3"/>
    <w:rsid w:val="00725667"/>
    <w:rsid w:val="00736EFE"/>
    <w:rsid w:val="007556ED"/>
    <w:rsid w:val="00773BC9"/>
    <w:rsid w:val="007777F4"/>
    <w:rsid w:val="00780FE5"/>
    <w:rsid w:val="007928AF"/>
    <w:rsid w:val="0079496B"/>
    <w:rsid w:val="007A6C0D"/>
    <w:rsid w:val="007C001D"/>
    <w:rsid w:val="007C6A33"/>
    <w:rsid w:val="007C74D1"/>
    <w:rsid w:val="007D034A"/>
    <w:rsid w:val="007D2E06"/>
    <w:rsid w:val="007F75FD"/>
    <w:rsid w:val="007F766B"/>
    <w:rsid w:val="00801650"/>
    <w:rsid w:val="00802152"/>
    <w:rsid w:val="00807973"/>
    <w:rsid w:val="00816F26"/>
    <w:rsid w:val="008254B9"/>
    <w:rsid w:val="0083009A"/>
    <w:rsid w:val="008613DB"/>
    <w:rsid w:val="00865245"/>
    <w:rsid w:val="008671CE"/>
    <w:rsid w:val="00873E24"/>
    <w:rsid w:val="008766B7"/>
    <w:rsid w:val="00893926"/>
    <w:rsid w:val="008A73F2"/>
    <w:rsid w:val="008B0AEF"/>
    <w:rsid w:val="008B504E"/>
    <w:rsid w:val="008D1E26"/>
    <w:rsid w:val="008D4A78"/>
    <w:rsid w:val="008E6189"/>
    <w:rsid w:val="008F0E3B"/>
    <w:rsid w:val="008F291E"/>
    <w:rsid w:val="00902843"/>
    <w:rsid w:val="00904DA1"/>
    <w:rsid w:val="00914A31"/>
    <w:rsid w:val="0092625E"/>
    <w:rsid w:val="00926410"/>
    <w:rsid w:val="00942A92"/>
    <w:rsid w:val="009440E3"/>
    <w:rsid w:val="00950E43"/>
    <w:rsid w:val="00970B2B"/>
    <w:rsid w:val="00976EC2"/>
    <w:rsid w:val="00996B5A"/>
    <w:rsid w:val="009A306D"/>
    <w:rsid w:val="009A6E11"/>
    <w:rsid w:val="009C67E8"/>
    <w:rsid w:val="009E7663"/>
    <w:rsid w:val="00A10045"/>
    <w:rsid w:val="00A20F18"/>
    <w:rsid w:val="00A22DC4"/>
    <w:rsid w:val="00A33916"/>
    <w:rsid w:val="00A46F54"/>
    <w:rsid w:val="00A5171F"/>
    <w:rsid w:val="00A54D5D"/>
    <w:rsid w:val="00A675D5"/>
    <w:rsid w:val="00A712A3"/>
    <w:rsid w:val="00A72038"/>
    <w:rsid w:val="00A9218F"/>
    <w:rsid w:val="00AA0989"/>
    <w:rsid w:val="00AA16BE"/>
    <w:rsid w:val="00AB14B8"/>
    <w:rsid w:val="00AC36DE"/>
    <w:rsid w:val="00AD06C8"/>
    <w:rsid w:val="00AD0E66"/>
    <w:rsid w:val="00AD105F"/>
    <w:rsid w:val="00AD574C"/>
    <w:rsid w:val="00AF12D6"/>
    <w:rsid w:val="00AF19F1"/>
    <w:rsid w:val="00B00897"/>
    <w:rsid w:val="00B04CA3"/>
    <w:rsid w:val="00B131AF"/>
    <w:rsid w:val="00B230E8"/>
    <w:rsid w:val="00B32B1E"/>
    <w:rsid w:val="00B34A91"/>
    <w:rsid w:val="00B575B0"/>
    <w:rsid w:val="00B6434A"/>
    <w:rsid w:val="00B676AC"/>
    <w:rsid w:val="00B735BC"/>
    <w:rsid w:val="00B735E0"/>
    <w:rsid w:val="00B8377C"/>
    <w:rsid w:val="00B95C26"/>
    <w:rsid w:val="00B9644C"/>
    <w:rsid w:val="00B97BF5"/>
    <w:rsid w:val="00BC7F9A"/>
    <w:rsid w:val="00BD0E6D"/>
    <w:rsid w:val="00BE6625"/>
    <w:rsid w:val="00BE6929"/>
    <w:rsid w:val="00BF3187"/>
    <w:rsid w:val="00BF329A"/>
    <w:rsid w:val="00BF3858"/>
    <w:rsid w:val="00BF7945"/>
    <w:rsid w:val="00C07659"/>
    <w:rsid w:val="00C079EF"/>
    <w:rsid w:val="00C111C8"/>
    <w:rsid w:val="00C2125D"/>
    <w:rsid w:val="00C249E4"/>
    <w:rsid w:val="00C35BF9"/>
    <w:rsid w:val="00C413D6"/>
    <w:rsid w:val="00C473A5"/>
    <w:rsid w:val="00C6068F"/>
    <w:rsid w:val="00C760B4"/>
    <w:rsid w:val="00C94C51"/>
    <w:rsid w:val="00CA1890"/>
    <w:rsid w:val="00CB51A5"/>
    <w:rsid w:val="00CD64E7"/>
    <w:rsid w:val="00CE7209"/>
    <w:rsid w:val="00D03B18"/>
    <w:rsid w:val="00D13565"/>
    <w:rsid w:val="00D163B1"/>
    <w:rsid w:val="00D23C30"/>
    <w:rsid w:val="00D32A14"/>
    <w:rsid w:val="00D32C7C"/>
    <w:rsid w:val="00D41F2D"/>
    <w:rsid w:val="00D47E7F"/>
    <w:rsid w:val="00D516E9"/>
    <w:rsid w:val="00D619E5"/>
    <w:rsid w:val="00D63103"/>
    <w:rsid w:val="00D64A9A"/>
    <w:rsid w:val="00D7081E"/>
    <w:rsid w:val="00D73BE4"/>
    <w:rsid w:val="00D96E3B"/>
    <w:rsid w:val="00DA23A3"/>
    <w:rsid w:val="00DA30A4"/>
    <w:rsid w:val="00DB2C5A"/>
    <w:rsid w:val="00DB4BFF"/>
    <w:rsid w:val="00DC0295"/>
    <w:rsid w:val="00DC5AFB"/>
    <w:rsid w:val="00DC7A0B"/>
    <w:rsid w:val="00DC7CBF"/>
    <w:rsid w:val="00DE5351"/>
    <w:rsid w:val="00DF1BBB"/>
    <w:rsid w:val="00DF3CFF"/>
    <w:rsid w:val="00E03031"/>
    <w:rsid w:val="00E07EBC"/>
    <w:rsid w:val="00E341EB"/>
    <w:rsid w:val="00E37999"/>
    <w:rsid w:val="00E41941"/>
    <w:rsid w:val="00E516D5"/>
    <w:rsid w:val="00E60FCA"/>
    <w:rsid w:val="00E610B4"/>
    <w:rsid w:val="00E61DB6"/>
    <w:rsid w:val="00E67F5C"/>
    <w:rsid w:val="00E75218"/>
    <w:rsid w:val="00E83AEA"/>
    <w:rsid w:val="00E84755"/>
    <w:rsid w:val="00EA1E6B"/>
    <w:rsid w:val="00EB2748"/>
    <w:rsid w:val="00EC3950"/>
    <w:rsid w:val="00ED0664"/>
    <w:rsid w:val="00EE6506"/>
    <w:rsid w:val="00EF48C4"/>
    <w:rsid w:val="00EF7BE7"/>
    <w:rsid w:val="00F058E8"/>
    <w:rsid w:val="00F07005"/>
    <w:rsid w:val="00F11624"/>
    <w:rsid w:val="00F13C9F"/>
    <w:rsid w:val="00F22646"/>
    <w:rsid w:val="00F4172C"/>
    <w:rsid w:val="00F42BE3"/>
    <w:rsid w:val="00F4540E"/>
    <w:rsid w:val="00F458DE"/>
    <w:rsid w:val="00F521AC"/>
    <w:rsid w:val="00F5361E"/>
    <w:rsid w:val="00F56436"/>
    <w:rsid w:val="00F61B32"/>
    <w:rsid w:val="00F66BA4"/>
    <w:rsid w:val="00F705DD"/>
    <w:rsid w:val="00F74B28"/>
    <w:rsid w:val="00F81F44"/>
    <w:rsid w:val="00F86472"/>
    <w:rsid w:val="00FB7F6D"/>
    <w:rsid w:val="00FC3EED"/>
    <w:rsid w:val="00FE660E"/>
    <w:rsid w:val="1FD37985"/>
    <w:rsid w:val="21DE1912"/>
    <w:rsid w:val="2A6D1036"/>
    <w:rsid w:val="30DF318F"/>
    <w:rsid w:val="35D06877"/>
    <w:rsid w:val="38100F54"/>
    <w:rsid w:val="3C12626D"/>
    <w:rsid w:val="452B03D5"/>
    <w:rsid w:val="46EF7542"/>
    <w:rsid w:val="65666F58"/>
    <w:rsid w:val="6AD16123"/>
    <w:rsid w:val="79BA3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155D-05F2-4CBB-86B8-8D75430C1A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19736</Words>
  <Characters>20596</Characters>
  <Lines>168</Lines>
  <Paragraphs>47</Paragraphs>
  <TotalTime>168</TotalTime>
  <ScaleCrop>false</ScaleCrop>
  <LinksUpToDate>false</LinksUpToDate>
  <CharactersWithSpaces>22063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2022-06-27T08:52:00Z</dcterms:created>
  <dc:creator>lenvov</dc:creator>
  <cp:lastModifiedBy>Administrator</cp:lastModifiedBy>
  <cp:lastPrinted>2021-07-22T09:57:00Z</cp:lastPrinted>
  <dcterms:modified xsi:type="dcterms:W3CDTF">2022-08-25T06:27:52Z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7A39C0F03D08436D96AAC10E373ABD04</vt:lpwstr>
  </property>
</Properties>
</file>