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E6D68">
      <w:pPr>
        <w:pStyle w:val="14"/>
        <w:jc w:val="center"/>
        <w:rPr>
          <w:sz w:val="56"/>
          <w:szCs w:val="56"/>
        </w:rPr>
      </w:pPr>
    </w:p>
    <w:p w14:paraId="0CA834F4">
      <w:pPr>
        <w:pStyle w:val="14"/>
        <w:jc w:val="center"/>
        <w:rPr>
          <w:sz w:val="56"/>
          <w:szCs w:val="56"/>
        </w:rPr>
      </w:pPr>
    </w:p>
    <w:p w14:paraId="0844A131">
      <w:pPr>
        <w:pStyle w:val="14"/>
        <w:jc w:val="center"/>
        <w:rPr>
          <w:sz w:val="84"/>
          <w:szCs w:val="84"/>
        </w:rPr>
      </w:pPr>
    </w:p>
    <w:p w14:paraId="0B6569BF">
      <w:pPr>
        <w:pStyle w:val="14"/>
        <w:jc w:val="center"/>
        <w:rPr>
          <w:sz w:val="84"/>
          <w:szCs w:val="84"/>
        </w:rPr>
      </w:pPr>
    </w:p>
    <w:p w14:paraId="7574E6C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5DB33CA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岳阳市岳阳中学部门决算</w:t>
      </w:r>
    </w:p>
    <w:p w14:paraId="23385DB6">
      <w:pPr>
        <w:pStyle w:val="14"/>
        <w:jc w:val="center"/>
        <w:rPr>
          <w:rFonts w:hint="eastAsia" w:ascii="方正小标宋_GBK" w:hAnsi="方正小标宋_GBK" w:eastAsia="方正小标宋_GBK" w:cs="方正小标宋_GBK"/>
          <w:sz w:val="56"/>
          <w:szCs w:val="56"/>
        </w:rPr>
      </w:pPr>
    </w:p>
    <w:p w14:paraId="75DBDACB">
      <w:pPr>
        <w:pStyle w:val="14"/>
        <w:jc w:val="center"/>
        <w:rPr>
          <w:sz w:val="56"/>
          <w:szCs w:val="56"/>
        </w:rPr>
      </w:pPr>
    </w:p>
    <w:p w14:paraId="7BE3A156">
      <w:pPr>
        <w:pStyle w:val="14"/>
        <w:jc w:val="center"/>
        <w:rPr>
          <w:sz w:val="56"/>
          <w:szCs w:val="56"/>
        </w:rPr>
      </w:pPr>
    </w:p>
    <w:p w14:paraId="26F725A3">
      <w:pPr>
        <w:pStyle w:val="14"/>
        <w:jc w:val="center"/>
        <w:rPr>
          <w:sz w:val="56"/>
          <w:szCs w:val="56"/>
        </w:rPr>
      </w:pPr>
    </w:p>
    <w:p w14:paraId="132A16DF">
      <w:pPr>
        <w:pStyle w:val="14"/>
        <w:jc w:val="center"/>
        <w:rPr>
          <w:sz w:val="32"/>
          <w:szCs w:val="32"/>
        </w:rPr>
      </w:pPr>
    </w:p>
    <w:p w14:paraId="01E9778B">
      <w:pPr>
        <w:pStyle w:val="14"/>
        <w:jc w:val="center"/>
        <w:rPr>
          <w:sz w:val="32"/>
          <w:szCs w:val="32"/>
        </w:rPr>
      </w:pPr>
    </w:p>
    <w:p w14:paraId="76E30130">
      <w:pPr>
        <w:pStyle w:val="14"/>
        <w:jc w:val="center"/>
        <w:rPr>
          <w:sz w:val="32"/>
          <w:szCs w:val="32"/>
        </w:rPr>
      </w:pPr>
    </w:p>
    <w:p w14:paraId="2ED42DAD">
      <w:pPr>
        <w:pStyle w:val="14"/>
        <w:jc w:val="center"/>
        <w:rPr>
          <w:sz w:val="32"/>
          <w:szCs w:val="32"/>
        </w:rPr>
      </w:pPr>
    </w:p>
    <w:p w14:paraId="180CA6F7">
      <w:pPr>
        <w:pStyle w:val="14"/>
        <w:jc w:val="center"/>
        <w:rPr>
          <w:sz w:val="32"/>
          <w:szCs w:val="32"/>
        </w:rPr>
      </w:pPr>
    </w:p>
    <w:p w14:paraId="44E2D462">
      <w:pPr>
        <w:pStyle w:val="14"/>
        <w:spacing w:line="540" w:lineRule="exact"/>
        <w:jc w:val="center"/>
        <w:rPr>
          <w:sz w:val="56"/>
          <w:szCs w:val="56"/>
        </w:rPr>
      </w:pPr>
    </w:p>
    <w:p w14:paraId="5E41D253">
      <w:pPr>
        <w:pStyle w:val="14"/>
        <w:spacing w:line="500" w:lineRule="exact"/>
        <w:jc w:val="both"/>
        <w:rPr>
          <w:b/>
          <w:sz w:val="36"/>
          <w:szCs w:val="28"/>
        </w:rPr>
      </w:pPr>
    </w:p>
    <w:p w14:paraId="12B2F83C">
      <w:pPr>
        <w:pStyle w:val="14"/>
        <w:spacing w:line="500" w:lineRule="exact"/>
        <w:jc w:val="center"/>
        <w:rPr>
          <w:b/>
          <w:sz w:val="36"/>
          <w:szCs w:val="28"/>
        </w:rPr>
      </w:pPr>
      <w:r>
        <w:rPr>
          <w:rFonts w:hint="eastAsia"/>
          <w:b/>
          <w:sz w:val="36"/>
          <w:szCs w:val="28"/>
        </w:rPr>
        <w:t>目录</w:t>
      </w:r>
    </w:p>
    <w:p w14:paraId="0661BF30">
      <w:pPr>
        <w:pStyle w:val="14"/>
        <w:spacing w:line="500" w:lineRule="exact"/>
        <w:rPr>
          <w:rFonts w:hint="eastAsia" w:hAnsi="黑体"/>
          <w:bCs/>
          <w:sz w:val="28"/>
          <w:szCs w:val="28"/>
        </w:rPr>
      </w:pPr>
      <w:r>
        <w:rPr>
          <w:rFonts w:hint="eastAsia" w:hAnsi="黑体"/>
          <w:bCs/>
          <w:sz w:val="28"/>
          <w:szCs w:val="28"/>
        </w:rPr>
        <w:t>第一部分 岳阳市岳阳中学概况</w:t>
      </w:r>
    </w:p>
    <w:p w14:paraId="364B045C">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7ABEEC1">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16860D89">
      <w:pPr>
        <w:pStyle w:val="14"/>
        <w:spacing w:line="500" w:lineRule="exact"/>
        <w:rPr>
          <w:rFonts w:hint="eastAsia" w:hAnsi="黑体"/>
          <w:bCs/>
          <w:sz w:val="28"/>
          <w:szCs w:val="28"/>
        </w:rPr>
      </w:pPr>
      <w:r>
        <w:rPr>
          <w:rFonts w:hint="eastAsia" w:hAnsi="黑体"/>
          <w:bCs/>
          <w:sz w:val="28"/>
          <w:szCs w:val="28"/>
        </w:rPr>
        <w:t>第二部分 部门决算表</w:t>
      </w:r>
    </w:p>
    <w:p w14:paraId="19C3C5AC">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3D8E7BE">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63B5AA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7659E4F">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9339A44">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966B81E">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206421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77ADFA3">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216D5CE">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C829119">
      <w:pPr>
        <w:pStyle w:val="14"/>
        <w:spacing w:line="500" w:lineRule="exact"/>
        <w:rPr>
          <w:rFonts w:hint="eastAsia" w:hAnsi="黑体"/>
          <w:bCs/>
          <w:sz w:val="28"/>
          <w:szCs w:val="28"/>
        </w:rPr>
      </w:pPr>
      <w:r>
        <w:rPr>
          <w:rFonts w:hint="eastAsia" w:hAnsi="黑体"/>
          <w:bCs/>
          <w:sz w:val="28"/>
          <w:szCs w:val="28"/>
        </w:rPr>
        <w:t>第三部分 部门决算情况说明</w:t>
      </w:r>
    </w:p>
    <w:p w14:paraId="686AD60D">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40C128">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1BBB12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AB4331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1D1D0E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28E7AD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795FCE4">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2AF1A859">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国有资本经营预算财政拨款支出决算情况</w:t>
      </w:r>
    </w:p>
    <w:p w14:paraId="77C597FD">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九、财政拨款三公经费支出决算情况说明</w:t>
      </w:r>
    </w:p>
    <w:p w14:paraId="449CB0BC">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35B5C1E">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1A4F1B25">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4F1EE368">
      <w:pPr>
        <w:autoSpaceDE w:val="0"/>
        <w:autoSpaceDN w:val="0"/>
        <w:adjustRightInd w:val="0"/>
        <w:spacing w:line="480" w:lineRule="exact"/>
        <w:ind w:firstLine="700" w:firstLineChars="25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十三、关于国有资产占用情况说明</w:t>
      </w:r>
    </w:p>
    <w:p w14:paraId="0063F42D">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4E6C9161">
      <w:pPr>
        <w:pStyle w:val="14"/>
        <w:spacing w:line="500" w:lineRule="exact"/>
        <w:rPr>
          <w:rFonts w:hint="eastAsia" w:hAnsi="黑体"/>
          <w:bCs/>
          <w:sz w:val="28"/>
          <w:szCs w:val="28"/>
        </w:rPr>
      </w:pPr>
      <w:r>
        <w:rPr>
          <w:rFonts w:hint="eastAsia" w:hAnsi="黑体"/>
          <w:bCs/>
          <w:sz w:val="28"/>
          <w:szCs w:val="28"/>
        </w:rPr>
        <w:t>第四部分 名词解释</w:t>
      </w:r>
    </w:p>
    <w:p w14:paraId="1112C17E">
      <w:pPr>
        <w:pStyle w:val="14"/>
        <w:spacing w:line="500" w:lineRule="exact"/>
        <w:rPr>
          <w:rFonts w:hint="eastAsia" w:hAnsi="黑体"/>
          <w:bCs/>
          <w:sz w:val="28"/>
          <w:szCs w:val="28"/>
        </w:rPr>
      </w:pPr>
      <w:r>
        <w:rPr>
          <w:rFonts w:hint="eastAsia" w:hAnsi="黑体"/>
          <w:bCs/>
          <w:sz w:val="28"/>
          <w:szCs w:val="28"/>
        </w:rPr>
        <w:t>第五部分 附件</w:t>
      </w:r>
    </w:p>
    <w:p w14:paraId="3AD4AC3B">
      <w:pPr>
        <w:pStyle w:val="14"/>
        <w:jc w:val="center"/>
        <w:rPr>
          <w:rFonts w:hint="eastAsia" w:ascii="方正小标宋_GBK" w:hAnsi="方正小标宋_GBK" w:eastAsia="方正小标宋_GBK" w:cs="方正小标宋_GBK"/>
          <w:sz w:val="84"/>
          <w:szCs w:val="84"/>
        </w:rPr>
      </w:pPr>
    </w:p>
    <w:p w14:paraId="462B07D4">
      <w:pPr>
        <w:pStyle w:val="14"/>
        <w:jc w:val="center"/>
        <w:rPr>
          <w:rFonts w:hint="eastAsia" w:ascii="方正小标宋_GBK" w:hAnsi="方正小标宋_GBK" w:eastAsia="方正小标宋_GBK" w:cs="方正小标宋_GBK"/>
          <w:sz w:val="84"/>
          <w:szCs w:val="84"/>
        </w:rPr>
      </w:pPr>
    </w:p>
    <w:p w14:paraId="565C76A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41CC4EE">
      <w:pPr>
        <w:pStyle w:val="14"/>
        <w:jc w:val="center"/>
        <w:rPr>
          <w:rFonts w:hint="eastAsia" w:ascii="方正小标宋_GBK" w:hAnsi="方正小标宋_GBK" w:eastAsia="方正小标宋_GBK" w:cs="方正小标宋_GBK"/>
          <w:sz w:val="84"/>
          <w:szCs w:val="84"/>
        </w:rPr>
      </w:pPr>
    </w:p>
    <w:p w14:paraId="0B6B53B0">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岳阳市岳阳中学概况</w:t>
      </w:r>
    </w:p>
    <w:p w14:paraId="41F2EBFC">
      <w:pPr>
        <w:pStyle w:val="8"/>
        <w:rPr>
          <w:rFonts w:hint="eastAsia" w:ascii="方正小标宋_GBK" w:hAnsi="方正小标宋_GBK" w:eastAsia="方正小标宋_GBK" w:cs="方正小标宋_GBK"/>
          <w:sz w:val="84"/>
          <w:szCs w:val="84"/>
        </w:rPr>
      </w:pPr>
    </w:p>
    <w:p w14:paraId="422A639D">
      <w:pPr>
        <w:pStyle w:val="4"/>
        <w:ind w:firstLine="1680"/>
        <w:rPr>
          <w:rFonts w:hint="eastAsia" w:ascii="方正小标宋_GBK" w:hAnsi="方正小标宋_GBK" w:eastAsia="方正小标宋_GBK" w:cs="方正小标宋_GBK"/>
          <w:sz w:val="84"/>
          <w:szCs w:val="84"/>
        </w:rPr>
      </w:pPr>
    </w:p>
    <w:p w14:paraId="60419EDD">
      <w:pPr>
        <w:rPr>
          <w:rFonts w:hint="eastAsia" w:ascii="方正小标宋_GBK" w:hAnsi="方正小标宋_GBK" w:eastAsia="方正小标宋_GBK" w:cs="方正小标宋_GBK"/>
          <w:sz w:val="84"/>
          <w:szCs w:val="84"/>
        </w:rPr>
      </w:pPr>
    </w:p>
    <w:p w14:paraId="16DEF6F0">
      <w:pPr>
        <w:pStyle w:val="8"/>
        <w:rPr>
          <w:rFonts w:hint="eastAsia" w:ascii="方正小标宋_GBK" w:hAnsi="方正小标宋_GBK" w:eastAsia="方正小标宋_GBK" w:cs="方正小标宋_GBK"/>
          <w:sz w:val="84"/>
          <w:szCs w:val="84"/>
        </w:rPr>
      </w:pPr>
    </w:p>
    <w:p w14:paraId="2D32F1EA">
      <w:pPr>
        <w:pStyle w:val="4"/>
        <w:ind w:firstLine="1680"/>
        <w:rPr>
          <w:rFonts w:hint="eastAsia" w:ascii="方正小标宋_GBK" w:hAnsi="方正小标宋_GBK" w:eastAsia="方正小标宋_GBK" w:cs="方正小标宋_GBK"/>
          <w:sz w:val="84"/>
          <w:szCs w:val="84"/>
        </w:rPr>
      </w:pPr>
    </w:p>
    <w:p w14:paraId="1E5A0B5B">
      <w:pPr>
        <w:pStyle w:val="15"/>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部门职责</w:t>
      </w:r>
    </w:p>
    <w:p w14:paraId="7159559E">
      <w:pPr>
        <w:keepNext/>
        <w:keepLines/>
        <w:shd w:val="clear" w:color="auto" w:fill="FFFFFF"/>
        <w:ind w:firstLine="64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（一）办公室负责行政协调、党务、宣传、人事、计生、工资福利及有关内部事务的管理；</w:t>
      </w:r>
    </w:p>
    <w:p w14:paraId="1875D227">
      <w:pPr>
        <w:keepNext/>
        <w:keepLines/>
        <w:shd w:val="clear" w:color="auto" w:fill="FFFFFF"/>
        <w:ind w:firstLine="64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（二）教务处负责学校教育教学常规管理，以及有关教育教学的场、馆、室和设备的管理；</w:t>
      </w:r>
    </w:p>
    <w:p w14:paraId="3AEAB12B">
      <w:pPr>
        <w:keepNext/>
        <w:keepLines/>
        <w:shd w:val="clear" w:color="auto" w:fill="FFFFFF"/>
        <w:ind w:firstLine="64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（三）德育处负责学校德育工作、班主任工作管理和学生思想政治教育，抓好校园保卫和环保工作；</w:t>
      </w:r>
    </w:p>
    <w:p w14:paraId="55AC0151">
      <w:pPr>
        <w:keepNext/>
        <w:keepLines/>
        <w:shd w:val="clear" w:color="auto" w:fill="FFFFFF"/>
        <w:ind w:firstLine="64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（四）教研处负责制定学校科研计划，指导教师开展教学科研和课题研究工作；</w:t>
      </w:r>
    </w:p>
    <w:p w14:paraId="6069449A">
      <w:pPr>
        <w:keepNext/>
        <w:keepLines/>
        <w:shd w:val="clear" w:color="auto" w:fill="FFFFFF"/>
        <w:ind w:firstLine="64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（五）后勤处负责学校后勤事务、财务、物业管理，优化校园建设，指导后勤服务中心开展工作，发展校园经济。</w:t>
      </w:r>
    </w:p>
    <w:p w14:paraId="4ADE8029">
      <w:pPr>
        <w:widowControl/>
        <w:spacing w:line="600" w:lineRule="exact"/>
        <w:rPr>
          <w:rFonts w:hint="eastAsia"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58B54CC0">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（一）内设机构设置。我校现有组织机构1个，内设5个部门：办公室、教务处、德育处、教研处、后勤处。</w:t>
      </w:r>
    </w:p>
    <w:p w14:paraId="78B6FD8F">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（二）决算单位构成。本单位无独立核算的下属单位，2023年度部门决算汇总公开单位仅包括岳阳市岳阳中学本级。</w:t>
      </w:r>
    </w:p>
    <w:p w14:paraId="5C9B7D2F">
      <w:pPr>
        <w:widowControl/>
        <w:spacing w:line="600" w:lineRule="exact"/>
        <w:rPr>
          <w:rFonts w:ascii="Times New Roman" w:hAnsi="Times New Roman" w:eastAsia="仿宋_GB2312" w:cs="仿宋_GB2312"/>
          <w:bCs/>
          <w:kern w:val="0"/>
          <w:sz w:val="32"/>
          <w:szCs w:val="32"/>
        </w:rPr>
      </w:pPr>
    </w:p>
    <w:p w14:paraId="3207CF53">
      <w:pPr>
        <w:pStyle w:val="8"/>
      </w:pPr>
    </w:p>
    <w:p w14:paraId="70DEF9A3">
      <w:pPr>
        <w:pStyle w:val="4"/>
        <w:ind w:firstLine="480"/>
        <w:rPr>
          <w:rFonts w:hint="eastAsia"/>
        </w:rPr>
      </w:pPr>
    </w:p>
    <w:p w14:paraId="2316441B"/>
    <w:p w14:paraId="478882C2">
      <w:pPr>
        <w:pStyle w:val="8"/>
      </w:pPr>
    </w:p>
    <w:p w14:paraId="0F1DC637">
      <w:pPr>
        <w:pStyle w:val="4"/>
        <w:ind w:firstLine="480"/>
        <w:rPr>
          <w:rFonts w:hint="eastAsia"/>
        </w:rPr>
      </w:pPr>
    </w:p>
    <w:p w14:paraId="577E847E"/>
    <w:p w14:paraId="6B95FFB2">
      <w:pPr>
        <w:pStyle w:val="8"/>
      </w:pPr>
    </w:p>
    <w:p w14:paraId="1F41C4E5">
      <w:pPr>
        <w:pStyle w:val="4"/>
        <w:ind w:firstLine="480"/>
        <w:rPr>
          <w:rFonts w:hint="eastAsia"/>
        </w:rPr>
      </w:pPr>
    </w:p>
    <w:p w14:paraId="02B07F57"/>
    <w:p w14:paraId="14460FC5">
      <w:pPr>
        <w:pStyle w:val="8"/>
      </w:pPr>
    </w:p>
    <w:p w14:paraId="0A7ADDF6">
      <w:pPr>
        <w:pStyle w:val="4"/>
        <w:ind w:firstLine="480"/>
        <w:rPr>
          <w:rFonts w:hint="eastAsia"/>
        </w:rPr>
      </w:pPr>
    </w:p>
    <w:p w14:paraId="1911F714"/>
    <w:p w14:paraId="1AB00D5F">
      <w:pPr>
        <w:pStyle w:val="8"/>
      </w:pPr>
    </w:p>
    <w:p w14:paraId="0505D2C0">
      <w:pPr>
        <w:pStyle w:val="4"/>
        <w:ind w:firstLine="480"/>
        <w:rPr>
          <w:rFonts w:hint="eastAsia"/>
        </w:rPr>
      </w:pPr>
    </w:p>
    <w:p w14:paraId="69420574"/>
    <w:p w14:paraId="443F9546">
      <w:pPr>
        <w:pStyle w:val="8"/>
      </w:pPr>
    </w:p>
    <w:p w14:paraId="42D4710F">
      <w:pPr>
        <w:pStyle w:val="4"/>
        <w:ind w:firstLine="480"/>
        <w:rPr>
          <w:rFonts w:hint="eastAsia"/>
        </w:rPr>
      </w:pPr>
    </w:p>
    <w:p w14:paraId="37B26E38"/>
    <w:p w14:paraId="068DFA30">
      <w:pPr>
        <w:pStyle w:val="8"/>
      </w:pPr>
    </w:p>
    <w:p w14:paraId="58C2E3B1">
      <w:pPr>
        <w:pStyle w:val="4"/>
        <w:ind w:firstLine="480"/>
        <w:rPr>
          <w:rFonts w:hint="eastAsia"/>
        </w:rPr>
      </w:pPr>
    </w:p>
    <w:p w14:paraId="0CA304F5"/>
    <w:p w14:paraId="0A346788">
      <w:pPr>
        <w:pStyle w:val="8"/>
      </w:pPr>
    </w:p>
    <w:p w14:paraId="5A71D537">
      <w:pPr>
        <w:pStyle w:val="4"/>
        <w:ind w:firstLine="480"/>
        <w:rPr>
          <w:rFonts w:hint="eastAsia"/>
        </w:rPr>
      </w:pPr>
    </w:p>
    <w:p w14:paraId="37D2330B"/>
    <w:p w14:paraId="707A859B">
      <w:pPr>
        <w:pStyle w:val="14"/>
        <w:jc w:val="center"/>
        <w:rPr>
          <w:rFonts w:hint="eastAsia" w:ascii="方正小标宋_GBK" w:hAnsi="方正小标宋_GBK" w:eastAsia="方正小标宋_GBK" w:cs="方正小标宋_GBK"/>
          <w:sz w:val="84"/>
          <w:szCs w:val="84"/>
        </w:rPr>
      </w:pPr>
    </w:p>
    <w:p w14:paraId="5EA9455A">
      <w:pPr>
        <w:pStyle w:val="14"/>
        <w:jc w:val="center"/>
        <w:rPr>
          <w:rFonts w:hint="eastAsia" w:ascii="方正小标宋_GBK" w:hAnsi="方正小标宋_GBK" w:eastAsia="方正小标宋_GBK" w:cs="方正小标宋_GBK"/>
          <w:sz w:val="84"/>
          <w:szCs w:val="84"/>
        </w:rPr>
      </w:pPr>
    </w:p>
    <w:p w14:paraId="044BB70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735E38D">
      <w:pPr>
        <w:pStyle w:val="14"/>
        <w:jc w:val="center"/>
        <w:rPr>
          <w:rFonts w:hint="eastAsia" w:ascii="方正小标宋_GBK" w:hAnsi="方正小标宋_GBK" w:eastAsia="方正小标宋_GBK" w:cs="方正小标宋_GBK"/>
          <w:sz w:val="84"/>
          <w:szCs w:val="84"/>
        </w:rPr>
      </w:pPr>
    </w:p>
    <w:p w14:paraId="47506424">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AF98A2B">
      <w:pPr>
        <w:pStyle w:val="14"/>
        <w:jc w:val="center"/>
        <w:rPr>
          <w:rFonts w:ascii="仿宋_GB2312" w:hAnsi="仿宋_GB2312" w:eastAsia="仿宋_GB2312" w:cs="仿宋_GB2312"/>
          <w:sz w:val="72"/>
          <w:szCs w:val="72"/>
        </w:rPr>
      </w:pPr>
      <w:r>
        <w:rPr>
          <w:rFonts w:hint="eastAsia" w:ascii="仿宋_GB2312" w:hAnsi="仿宋_GB2312" w:eastAsia="仿宋_GB2312" w:cs="仿宋_GB2312"/>
          <w:sz w:val="72"/>
          <w:szCs w:val="72"/>
        </w:rPr>
        <w:t>（见附件）</w:t>
      </w:r>
    </w:p>
    <w:p w14:paraId="73C77C83">
      <w:pPr>
        <w:pStyle w:val="14"/>
        <w:jc w:val="center"/>
        <w:rPr>
          <w:rFonts w:ascii="仿宋_GB2312" w:hAnsi="仿宋_GB2312" w:eastAsia="仿宋_GB2312" w:cs="仿宋_GB2312"/>
          <w:sz w:val="72"/>
          <w:szCs w:val="72"/>
        </w:rPr>
      </w:pPr>
    </w:p>
    <w:p w14:paraId="04354B84">
      <w:pPr>
        <w:pStyle w:val="14"/>
        <w:jc w:val="center"/>
        <w:rPr>
          <w:rFonts w:ascii="仿宋_GB2312" w:hAnsi="仿宋_GB2312" w:eastAsia="仿宋_GB2312" w:cs="仿宋_GB2312"/>
          <w:sz w:val="72"/>
          <w:szCs w:val="72"/>
        </w:rPr>
      </w:pPr>
    </w:p>
    <w:p w14:paraId="1B51D64A">
      <w:pPr>
        <w:pStyle w:val="14"/>
        <w:jc w:val="center"/>
        <w:rPr>
          <w:rFonts w:ascii="仿宋_GB2312" w:hAnsi="仿宋_GB2312" w:eastAsia="仿宋_GB2312" w:cs="仿宋_GB2312"/>
          <w:sz w:val="72"/>
          <w:szCs w:val="72"/>
        </w:rPr>
      </w:pPr>
    </w:p>
    <w:p w14:paraId="50617F4A">
      <w:pPr>
        <w:pStyle w:val="14"/>
        <w:jc w:val="center"/>
        <w:rPr>
          <w:rFonts w:ascii="仿宋_GB2312" w:hAnsi="仿宋_GB2312" w:eastAsia="仿宋_GB2312" w:cs="仿宋_GB2312"/>
          <w:sz w:val="72"/>
          <w:szCs w:val="72"/>
        </w:rPr>
      </w:pPr>
    </w:p>
    <w:p w14:paraId="4D1C7D73">
      <w:pPr>
        <w:pStyle w:val="14"/>
        <w:jc w:val="center"/>
        <w:rPr>
          <w:rFonts w:ascii="仿宋_GB2312" w:hAnsi="仿宋_GB2312" w:eastAsia="仿宋_GB2312" w:cs="仿宋_GB2312"/>
          <w:sz w:val="72"/>
          <w:szCs w:val="72"/>
        </w:rPr>
      </w:pPr>
    </w:p>
    <w:p w14:paraId="7E07C242">
      <w:pPr>
        <w:pStyle w:val="14"/>
        <w:jc w:val="center"/>
        <w:rPr>
          <w:rFonts w:ascii="仿宋_GB2312" w:hAnsi="仿宋_GB2312" w:eastAsia="仿宋_GB2312" w:cs="仿宋_GB2312"/>
          <w:sz w:val="72"/>
          <w:szCs w:val="72"/>
        </w:rPr>
      </w:pPr>
    </w:p>
    <w:p w14:paraId="35DE1C02">
      <w:pPr>
        <w:pStyle w:val="14"/>
        <w:jc w:val="center"/>
        <w:rPr>
          <w:rFonts w:ascii="仿宋_GB2312" w:hAnsi="仿宋_GB2312" w:eastAsia="仿宋_GB2312" w:cs="仿宋_GB2312"/>
          <w:sz w:val="72"/>
          <w:szCs w:val="72"/>
        </w:rPr>
      </w:pPr>
    </w:p>
    <w:p w14:paraId="76F96CDF">
      <w:pPr>
        <w:pStyle w:val="14"/>
        <w:jc w:val="center"/>
        <w:rPr>
          <w:rFonts w:hint="eastAsia" w:ascii="方正小标宋_GBK" w:hAnsi="方正小标宋_GBK" w:eastAsia="方正小标宋_GBK" w:cs="方正小标宋_GBK"/>
          <w:sz w:val="72"/>
          <w:szCs w:val="72"/>
        </w:rPr>
      </w:pPr>
    </w:p>
    <w:p w14:paraId="1B2CD612">
      <w:pPr>
        <w:pStyle w:val="14"/>
        <w:jc w:val="center"/>
        <w:rPr>
          <w:rFonts w:hint="eastAsia" w:ascii="方正小标宋_GBK" w:hAnsi="方正小标宋_GBK" w:eastAsia="方正小标宋_GBK" w:cs="方正小标宋_GBK"/>
          <w:sz w:val="72"/>
          <w:szCs w:val="72"/>
        </w:rPr>
      </w:pPr>
    </w:p>
    <w:p w14:paraId="7740AF9B">
      <w:pPr>
        <w:pStyle w:val="14"/>
        <w:jc w:val="both"/>
        <w:rPr>
          <w:rFonts w:hint="eastAsia" w:ascii="方正小标宋_GBK" w:hAnsi="方正小标宋_GBK" w:eastAsia="方正小标宋_GBK" w:cs="方正小标宋_GBK"/>
          <w:sz w:val="72"/>
          <w:szCs w:val="72"/>
        </w:rPr>
      </w:pPr>
    </w:p>
    <w:p w14:paraId="5D72F4B4">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38C63E7">
      <w:pPr>
        <w:pStyle w:val="14"/>
        <w:jc w:val="center"/>
        <w:rPr>
          <w:rFonts w:hint="eastAsia" w:ascii="方正小标宋_GBK" w:hAnsi="方正小标宋_GBK" w:eastAsia="方正小标宋_GBK" w:cs="方正小标宋_GBK"/>
          <w:sz w:val="70"/>
          <w:szCs w:val="70"/>
        </w:rPr>
      </w:pPr>
    </w:p>
    <w:p w14:paraId="723895EE">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1F4C8AA4">
      <w:pPr>
        <w:pStyle w:val="14"/>
        <w:jc w:val="center"/>
        <w:rPr>
          <w:rFonts w:hint="eastAsia" w:ascii="方正小标宋_GBK" w:hAnsi="方正小标宋_GBK" w:eastAsia="方正小标宋_GBK" w:cs="方正小标宋_GBK"/>
          <w:sz w:val="70"/>
          <w:szCs w:val="70"/>
        </w:rPr>
      </w:pPr>
    </w:p>
    <w:p w14:paraId="7983BF4A">
      <w:pPr>
        <w:pStyle w:val="14"/>
        <w:jc w:val="center"/>
        <w:rPr>
          <w:rFonts w:hint="eastAsia" w:ascii="方正小标宋_GBK" w:hAnsi="方正小标宋_GBK" w:eastAsia="方正小标宋_GBK" w:cs="方正小标宋_GBK"/>
          <w:sz w:val="70"/>
          <w:szCs w:val="70"/>
        </w:rPr>
      </w:pPr>
    </w:p>
    <w:p w14:paraId="21B10D81">
      <w:pPr>
        <w:pStyle w:val="14"/>
        <w:jc w:val="center"/>
        <w:rPr>
          <w:rFonts w:hint="eastAsia" w:ascii="方正小标宋_GBK" w:hAnsi="方正小标宋_GBK" w:eastAsia="方正小标宋_GBK" w:cs="方正小标宋_GBK"/>
          <w:sz w:val="70"/>
          <w:szCs w:val="70"/>
        </w:rPr>
      </w:pPr>
    </w:p>
    <w:p w14:paraId="7CE51D99">
      <w:pPr>
        <w:pStyle w:val="14"/>
        <w:jc w:val="center"/>
        <w:rPr>
          <w:rFonts w:hint="eastAsia" w:ascii="方正小标宋_GBK" w:hAnsi="方正小标宋_GBK" w:eastAsia="方正小标宋_GBK" w:cs="方正小标宋_GBK"/>
          <w:sz w:val="70"/>
          <w:szCs w:val="70"/>
        </w:rPr>
      </w:pPr>
    </w:p>
    <w:p w14:paraId="679F7D71">
      <w:pPr>
        <w:pStyle w:val="14"/>
        <w:jc w:val="center"/>
        <w:rPr>
          <w:rFonts w:hint="eastAsia" w:ascii="方正小标宋_GBK" w:hAnsi="方正小标宋_GBK" w:eastAsia="方正小标宋_GBK" w:cs="方正小标宋_GBK"/>
          <w:sz w:val="70"/>
          <w:szCs w:val="70"/>
        </w:rPr>
      </w:pPr>
    </w:p>
    <w:p w14:paraId="08B52A01">
      <w:pPr>
        <w:pStyle w:val="14"/>
        <w:jc w:val="center"/>
        <w:rPr>
          <w:rFonts w:hint="eastAsia" w:ascii="方正小标宋_GBK" w:hAnsi="方正小标宋_GBK" w:eastAsia="方正小标宋_GBK" w:cs="方正小标宋_GBK"/>
          <w:sz w:val="70"/>
          <w:szCs w:val="70"/>
        </w:rPr>
      </w:pPr>
    </w:p>
    <w:p w14:paraId="426C35ED">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14:paraId="16A3B231">
      <w:pPr>
        <w:pStyle w:val="14"/>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710DDC64">
      <w:pPr>
        <w:pStyle w:val="14"/>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2023年度收、支总计4908.03万元。与上年相比，增加742.18万元，增长17.82%，主要是因为增加教师保障性租赁住房项目430.4万、教学楼安全隐患整改项目250万。</w:t>
      </w:r>
    </w:p>
    <w:p w14:paraId="2FFF7D04">
      <w:pPr>
        <w:pStyle w:val="14"/>
        <w:spacing w:line="600" w:lineRule="exact"/>
        <w:ind w:firstLine="640" w:firstLineChars="200"/>
        <w:rPr>
          <w:rFonts w:hint="eastAsia" w:hAnsi="黑体"/>
          <w:bCs/>
          <w:sz w:val="32"/>
          <w:szCs w:val="32"/>
        </w:rPr>
      </w:pPr>
      <w:r>
        <w:rPr>
          <w:rFonts w:hint="eastAsia" w:hAnsi="黑体"/>
          <w:bCs/>
          <w:sz w:val="32"/>
          <w:szCs w:val="32"/>
        </w:rPr>
        <w:t>二、收入决算情况说明</w:t>
      </w:r>
    </w:p>
    <w:p w14:paraId="2A1D29FE">
      <w:pPr>
        <w:pStyle w:val="14"/>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2023年度收入合计4908.03万元，其中：财政拨款收入3747.25万元，占76.35%；上级补助收入0万元，占0%；事业收入359.33万元，占7.32%；经营收入0万元，占0%；附属单位上缴收入0万元，占0%；其他收入801.45万元，占16.33%。</w:t>
      </w:r>
    </w:p>
    <w:p w14:paraId="5F851148">
      <w:pPr>
        <w:pStyle w:val="14"/>
        <w:spacing w:line="600" w:lineRule="exact"/>
        <w:ind w:firstLine="640" w:firstLineChars="200"/>
        <w:rPr>
          <w:rFonts w:hint="eastAsia" w:hAnsi="黑体"/>
          <w:bCs/>
          <w:sz w:val="32"/>
          <w:szCs w:val="32"/>
        </w:rPr>
      </w:pPr>
      <w:r>
        <w:rPr>
          <w:rFonts w:hint="eastAsia" w:hAnsi="黑体"/>
          <w:bCs/>
          <w:sz w:val="32"/>
          <w:szCs w:val="32"/>
        </w:rPr>
        <w:t>三、支出决算情况说明</w:t>
      </w:r>
    </w:p>
    <w:p w14:paraId="09C96D62">
      <w:pPr>
        <w:pStyle w:val="14"/>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2023年度支出合计4908.03万元，其中：基本支出3993.23万元，占81.36%；项目支出914.8万元，占18.64%；上缴上级支出0万元，占0%；经营支出0万元，占0%；对附属单位补助支出0万元，占0%。</w:t>
      </w:r>
    </w:p>
    <w:p w14:paraId="19906C9D">
      <w:pPr>
        <w:pStyle w:val="14"/>
        <w:spacing w:line="600" w:lineRule="exact"/>
        <w:ind w:firstLine="640" w:firstLineChars="200"/>
        <w:rPr>
          <w:rFonts w:hint="eastAsia" w:hAnsi="黑体"/>
          <w:bCs/>
          <w:sz w:val="32"/>
          <w:szCs w:val="32"/>
        </w:rPr>
      </w:pPr>
      <w:r>
        <w:rPr>
          <w:rFonts w:hint="eastAsia" w:hAnsi="黑体"/>
          <w:bCs/>
          <w:sz w:val="32"/>
          <w:szCs w:val="32"/>
        </w:rPr>
        <w:t>四、财政拨款收入支出决算总体情况说明</w:t>
      </w:r>
    </w:p>
    <w:p w14:paraId="3B62315B">
      <w:pPr>
        <w:pStyle w:val="14"/>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2023年度财政拨款收、支总计3747.25万元，与上年相比，增加777.91万元,增长26.2%，主要是因为增加教师保障性租赁住房项目及教学楼安全隐患整改项目。</w:t>
      </w:r>
    </w:p>
    <w:p w14:paraId="65AB4EE1">
      <w:pPr>
        <w:pStyle w:val="14"/>
        <w:spacing w:line="600" w:lineRule="exact"/>
        <w:ind w:firstLine="640" w:firstLineChars="200"/>
        <w:rPr>
          <w:rFonts w:hint="eastAsia" w:hAnsi="黑体"/>
          <w:bCs/>
          <w:sz w:val="32"/>
          <w:szCs w:val="32"/>
        </w:rPr>
      </w:pPr>
      <w:r>
        <w:rPr>
          <w:rFonts w:hint="eastAsia" w:hAnsi="黑体"/>
          <w:bCs/>
          <w:sz w:val="32"/>
          <w:szCs w:val="32"/>
        </w:rPr>
        <w:t>五、一般公共预算财政拨款支出决算情况说明</w:t>
      </w:r>
    </w:p>
    <w:p w14:paraId="61C64664">
      <w:pPr>
        <w:pStyle w:val="14"/>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（一）一般公共预算财政拨款支出决算总体情况</w:t>
      </w:r>
    </w:p>
    <w:p w14:paraId="08186140">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2023年度财政拨款支出3747.25万元，占本年支出合计的76.35%，与上年相比，财政拨款支出增加777.91万元，增长26.2%，主要是因为增加教师保障性租赁住房项目及教学楼安全隐患整改项目。</w:t>
      </w:r>
    </w:p>
    <w:p w14:paraId="48AC9A3A">
      <w:pPr>
        <w:pStyle w:val="14"/>
        <w:spacing w:line="6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（二）一般公共预算财政拨款支出决算结构情况</w:t>
      </w:r>
    </w:p>
    <w:p w14:paraId="3C2CD278">
      <w:pPr>
        <w:pStyle w:val="14"/>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2023年度财政拨款支出3747.25万元，主要用于以下方面：教育（类）支出3673.91万元，占98.04%;社会保障和就业（类）支出73.34万，占1.96%。</w:t>
      </w:r>
    </w:p>
    <w:p w14:paraId="6F7F6188">
      <w:pPr>
        <w:pStyle w:val="14"/>
        <w:spacing w:line="6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（三）一般公共预算财政拨款支出决算具体情况</w:t>
      </w:r>
    </w:p>
    <w:p w14:paraId="2FB6010E">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2023年度财政拨款支出年初预算数为2695.44万元，支出决算数为3747.25万元，完成年初预算的139.02%，其中：</w:t>
      </w:r>
    </w:p>
    <w:p w14:paraId="708FB7F8">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1、教育支出（类）教育管理事务（款）行政运行（项）。</w:t>
      </w:r>
    </w:p>
    <w:p w14:paraId="2C3C1742">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年初预算为0万元，支出决算为161.96万元，决算数大于年初预算数的主要原因是：年中追加奖金。</w:t>
      </w:r>
    </w:p>
    <w:p w14:paraId="011A379F">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2、教育支出（类）教育管理事务（款）一般行政管理事务（项）。</w:t>
      </w:r>
    </w:p>
    <w:p w14:paraId="2C6A3D71">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年初预算为0万元，支出决算为13.73万元，决算数大于年初预算数的主要原因是：追加退休人员年终一个月工资奖。</w:t>
      </w:r>
    </w:p>
    <w:p w14:paraId="15574EE9">
      <w:pPr>
        <w:pStyle w:val="14"/>
        <w:numPr>
          <w:ilvl w:val="0"/>
          <w:numId w:val="2"/>
        </w:num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教育支出（类）普通教育（款）高中教育（项）。</w:t>
      </w:r>
    </w:p>
    <w:p w14:paraId="71774ACB">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年初预算为2671.45万元，支出决算为2656.52万元，完成年初预算的99.44%，决算数小于年初预算数的主要原因是：</w:t>
      </w:r>
      <w:r>
        <w:rPr>
          <w:rFonts w:hint="eastAsia" w:ascii="Times New Roman" w:hAnsi="Times New Roman" w:eastAsia="仿宋_GB2312"/>
          <w:sz w:val="32"/>
          <w:szCs w:val="32"/>
        </w:rPr>
        <w:t>2023年部分绩效奖指标下在其他功能科目中。</w:t>
      </w:r>
    </w:p>
    <w:p w14:paraId="389E139A">
      <w:pPr>
        <w:pStyle w:val="14"/>
        <w:numPr>
          <w:ilvl w:val="0"/>
          <w:numId w:val="2"/>
        </w:num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教育支出（类）普通教育（款）其他普通教育支出（项）。</w:t>
      </w:r>
    </w:p>
    <w:p w14:paraId="0842DF00">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年初预算为0万元，支出决算为72.5万元，决算数大于年初预算数的主要原因是：2023年人员经费补差。</w:t>
      </w:r>
    </w:p>
    <w:p w14:paraId="333B198A">
      <w:pPr>
        <w:pStyle w:val="14"/>
        <w:numPr>
          <w:ilvl w:val="0"/>
          <w:numId w:val="2"/>
        </w:num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教育支出（类） 教育费附加安排的支出（款）其他教育费附加安排的支出（项）。</w:t>
      </w:r>
    </w:p>
    <w:p w14:paraId="254F0F50">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年初预算为24万元，支出决算为769.2万元，完成年初预算的3205%，决算数大于年初预算数的主要原因是：增加教师保障房项目、教学楼（至善楼、至诚楼）安全隐患整改项目以及追加生均经费。</w:t>
      </w:r>
    </w:p>
    <w:p w14:paraId="6D10238F">
      <w:pPr>
        <w:pStyle w:val="14"/>
        <w:numPr>
          <w:ilvl w:val="0"/>
          <w:numId w:val="2"/>
        </w:num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 行政事业单位养老支出（款）事业单位离退休（项）。</w:t>
      </w:r>
    </w:p>
    <w:p w14:paraId="78A5EF46">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年初预算为0万元，支出决算为47.09万元，决算数大于年初预算数的主要原因是：年中追加退休人员综合绩效奖和平安建设奖。</w:t>
      </w:r>
    </w:p>
    <w:p w14:paraId="21DE6F75">
      <w:pPr>
        <w:pStyle w:val="14"/>
        <w:numPr>
          <w:ilvl w:val="0"/>
          <w:numId w:val="2"/>
        </w:num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 抚恤（款）其他优抚支出（项）。</w:t>
      </w:r>
    </w:p>
    <w:p w14:paraId="79D49C3D">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年初预算为0万元，支出决算为0.83万元，决算数大于年初预算数的主要原因是：</w:t>
      </w:r>
      <w:r>
        <w:rPr>
          <w:rFonts w:hint="eastAsia" w:ascii="Times New Roman" w:hAnsi="Times New Roman" w:eastAsia="仿宋_GB2312"/>
          <w:sz w:val="32"/>
          <w:szCs w:val="32"/>
        </w:rPr>
        <w:t>年中追加抚恤金。</w:t>
      </w:r>
    </w:p>
    <w:p w14:paraId="44924834">
      <w:pPr>
        <w:pStyle w:val="14"/>
        <w:numPr>
          <w:ilvl w:val="0"/>
          <w:numId w:val="2"/>
        </w:num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 其他社会保障和就业支出（款）其他社会保障和就业支出（项）。</w:t>
      </w:r>
    </w:p>
    <w:p w14:paraId="5D291C1D">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年初预算为0万元，支出决算为25.42万元，决算数大于年初预算数的主要原因是：年终人员经费补差。</w:t>
      </w:r>
    </w:p>
    <w:p w14:paraId="61C3BDA8">
      <w:pPr>
        <w:pStyle w:val="14"/>
        <w:spacing w:line="600" w:lineRule="exact"/>
        <w:ind w:firstLine="640" w:firstLineChars="200"/>
        <w:rPr>
          <w:rFonts w:hint="eastAsia" w:hAnsi="黑体"/>
          <w:bCs/>
          <w:sz w:val="32"/>
          <w:szCs w:val="32"/>
        </w:rPr>
      </w:pPr>
      <w:r>
        <w:rPr>
          <w:rFonts w:hint="eastAsia" w:hAnsi="黑体"/>
          <w:bCs/>
          <w:sz w:val="32"/>
          <w:szCs w:val="32"/>
        </w:rPr>
        <w:t>六、一般公共预算财政拨款基本支出决算情况说明</w:t>
      </w:r>
    </w:p>
    <w:p w14:paraId="79C3A922">
      <w:pPr>
        <w:pStyle w:val="14"/>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2023年度财政拨款基本支出2964.35万元，其中：</w:t>
      </w:r>
    </w:p>
    <w:p w14:paraId="1A2571AF">
      <w:pPr>
        <w:pStyle w:val="14"/>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2852.57万元，占基本支出的96.23%,主要包括</w:t>
      </w:r>
      <w:r>
        <w:rPr>
          <w:rFonts w:hint="eastAsia" w:ascii="Times New Roman" w:hAnsi="Times New Roman" w:eastAsia="仿宋_GB2312"/>
          <w:sz w:val="32"/>
          <w:szCs w:val="32"/>
        </w:rPr>
        <w:t>基本工资、津贴补贴、奖金、伙食补助费、绩效工资、机关事业单位基本养老保险缴费、职业年金缴费、住房公积金、职工基本医疗保险缴费、其他社会保障缴费、其他工资福利支出、退休费、医疗费补助、其他对个人和家庭的补助。</w:t>
      </w:r>
    </w:p>
    <w:p w14:paraId="167B8487">
      <w:pPr>
        <w:pStyle w:val="14"/>
        <w:spacing w:line="600" w:lineRule="exact"/>
        <w:ind w:firstLine="640" w:firstLineChars="200"/>
        <w:rPr>
          <w:rFonts w:hint="eastAsia" w:ascii="楷体" w:hAnsi="楷体" w:eastAsia="楷体" w:cs="楷体"/>
          <w:i/>
          <w:color w:val="FF0000"/>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111.78万元，占基本支出的3.77%，主要包括</w:t>
      </w:r>
      <w:r>
        <w:rPr>
          <w:rFonts w:hint="eastAsia" w:ascii="Times New Roman" w:hAnsi="Times New Roman" w:eastAsia="仿宋_GB2312"/>
          <w:sz w:val="32"/>
          <w:szCs w:val="32"/>
        </w:rPr>
        <w:t>办公费、印刷费、电费、邮电费、物业管理费、培训费、劳务费、工会经费、福利费、其他交通费用、其他商品和服务支出。</w:t>
      </w:r>
    </w:p>
    <w:p w14:paraId="53046742">
      <w:pPr>
        <w:pStyle w:val="14"/>
        <w:spacing w:line="600" w:lineRule="exact"/>
        <w:ind w:firstLine="640" w:firstLineChars="200"/>
        <w:rPr>
          <w:rFonts w:hint="eastAsia" w:hAnsi="黑体"/>
          <w:bCs/>
          <w:sz w:val="32"/>
          <w:szCs w:val="32"/>
        </w:rPr>
      </w:pPr>
      <w:r>
        <w:rPr>
          <w:rFonts w:hint="eastAsia" w:hAnsi="黑体"/>
          <w:bCs/>
          <w:sz w:val="32"/>
          <w:szCs w:val="32"/>
        </w:rPr>
        <w:t>七、政府性基金预算收入支出决算情况</w:t>
      </w:r>
    </w:p>
    <w:p w14:paraId="66EC63C7">
      <w:pPr>
        <w:autoSpaceDE w:val="0"/>
        <w:autoSpaceDN w:val="0"/>
        <w:adjustRightInd w:val="0"/>
        <w:spacing w:line="600" w:lineRule="exact"/>
        <w:rPr>
          <w:rFonts w:hint="eastAsia" w:ascii="黑体" w:hAnsi="黑体" w:eastAsia="黑体" w:cs="黑体"/>
          <w:bCs/>
          <w:color w:val="000000"/>
          <w:kern w:val="0"/>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2023年度政府性基金预算财政拨款收入0万元；年初结转和结余0万元；支出0万元，其中基本支出0万元，项目支出0万元；年末结转和结余0万元。</w:t>
      </w:r>
    </w:p>
    <w:p w14:paraId="2CFCD3E5">
      <w:pPr>
        <w:autoSpaceDE w:val="0"/>
        <w:autoSpaceDN w:val="0"/>
        <w:adjustRightInd w:val="0"/>
        <w:spacing w:line="600" w:lineRule="exact"/>
        <w:ind w:firstLine="640" w:firstLineChars="20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八、国有资本经营预算财政拨款支出决算情况</w:t>
      </w:r>
    </w:p>
    <w:p w14:paraId="5164E677">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2023年度国有资本经营预算财政拨款收入0万元；年初结转和结余0万；支出0万元，其中：基本支出0万元，项目支出0万元；年末结转和结余0万元。</w:t>
      </w:r>
    </w:p>
    <w:p w14:paraId="791A8476">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九、财政拨款三公经费支出决算情况说明</w:t>
      </w:r>
    </w:p>
    <w:p w14:paraId="30C52244">
      <w:pPr>
        <w:pStyle w:val="14"/>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16A00FF9">
      <w:pPr>
        <w:pStyle w:val="14"/>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“三公”经费财政拨款支出预算为0万元，支出决算为0万元，</w:t>
      </w:r>
      <w:r>
        <w:rPr>
          <w:rFonts w:hint="eastAsia" w:ascii="Times New Roman" w:hAnsi="Times New Roman" w:eastAsia="仿宋_GB2312"/>
          <w:sz w:val="32"/>
          <w:szCs w:val="32"/>
        </w:rPr>
        <w:t>决算数等于预算数</w:t>
      </w:r>
      <w:r>
        <w:rPr>
          <w:rFonts w:hint="eastAsia" w:ascii="仿宋_GB2312" w:hAnsi="仿宋_GB2312" w:eastAsia="仿宋_GB2312" w:cs="仿宋_GB2312"/>
          <w:sz w:val="32"/>
          <w:szCs w:val="32"/>
        </w:rPr>
        <w:t>。其中：</w:t>
      </w:r>
    </w:p>
    <w:p w14:paraId="67F32E50">
      <w:pPr>
        <w:pStyle w:val="14"/>
        <w:spacing w:line="600" w:lineRule="exact"/>
        <w:ind w:firstLine="960" w:firstLineChars="300"/>
        <w:rPr>
          <w:rFonts w:ascii="Times New Roman" w:hAnsi="Times New Roman" w:eastAsia="仿宋_GB2312"/>
          <w:sz w:val="32"/>
          <w:szCs w:val="32"/>
        </w:rPr>
      </w:pPr>
      <w:r>
        <w:rPr>
          <w:rFonts w:hint="eastAsia" w:ascii="仿宋_GB2312" w:hAnsi="仿宋_GB2312" w:eastAsia="仿宋_GB2312" w:cs="仿宋_GB2312"/>
          <w:sz w:val="32"/>
          <w:szCs w:val="32"/>
        </w:rPr>
        <w:t>因公出国（境）费支出预算为0万元，支出决算为0万元，</w:t>
      </w:r>
      <w:r>
        <w:rPr>
          <w:rFonts w:hint="eastAsia" w:ascii="Times New Roman" w:hAnsi="Times New Roman" w:eastAsia="仿宋_GB2312"/>
          <w:sz w:val="32"/>
          <w:szCs w:val="32"/>
        </w:rPr>
        <w:t>决算数等于预算数，主要原因是我单位严格按预算执行决算；与上年一致，无增减变动，主要原因是未安排因公出国（境）活动。</w:t>
      </w:r>
    </w:p>
    <w:p w14:paraId="10EEA824">
      <w:pPr>
        <w:pStyle w:val="14"/>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 xml:space="preserve">公务接待费支出预算为0万元，支出决算为0万元，决算数等于预算数，主要原因是严格执行中央八项规定；与上年一致，无增减变动，主要原因是按有关政策厉行节约，严控公务接待支出。  </w:t>
      </w:r>
    </w:p>
    <w:p w14:paraId="5BD9AC73">
      <w:pPr>
        <w:pStyle w:val="14"/>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67FB02FF">
      <w:pPr>
        <w:pStyle w:val="14"/>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 xml:space="preserve">公务用车运行维护费支出预算为0万元，支出决算为0万元，决算数等于预算数，主要原因是我单位严格按预算执行决算；与上年一致，无增减变动，主要原因是两年均无公务用车需要运行维护。 </w:t>
      </w:r>
    </w:p>
    <w:p w14:paraId="61C11759">
      <w:pPr>
        <w:pStyle w:val="14"/>
        <w:spacing w:line="600" w:lineRule="exact"/>
        <w:ind w:firstLine="640"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614A21DF">
      <w:pPr>
        <w:pStyle w:val="14"/>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2023年度“三公”经费财政拨款支出决算中，公务接待费支出决算0万元，因公出国（境）费支出决算0万元，公务用车购置费及运行维护费支出决算0万元。其中：</w:t>
      </w:r>
    </w:p>
    <w:p w14:paraId="6BDBE510">
      <w:pPr>
        <w:pStyle w:val="14"/>
        <w:spacing w:line="600" w:lineRule="exact"/>
        <w:ind w:firstLine="640" w:firstLineChars="200"/>
        <w:rPr>
          <w:rFonts w:ascii="仿宋_GB2312" w:hAnsi="仿宋_GB2312" w:eastAsia="仿宋_GB2312" w:cs="仿宋_GB2312"/>
          <w:b/>
          <w:bCs/>
          <w:i/>
          <w:color w:val="auto"/>
          <w:sz w:val="32"/>
          <w:szCs w:val="32"/>
        </w:rPr>
      </w:pPr>
      <w:r>
        <w:rPr>
          <w:rFonts w:hint="eastAsia" w:ascii="仿宋_GB2312" w:hAnsi="仿宋_GB2312" w:eastAsia="仿宋_GB2312" w:cs="仿宋_GB2312"/>
          <w:bCs/>
          <w:color w:val="auto"/>
          <w:sz w:val="32"/>
          <w:szCs w:val="32"/>
        </w:rPr>
        <w:t>1、因公出国（境）费支出决算为0万元，全年安排因公出国（境）团组0个，累计0人次，我单位2023年度无因公出国（境）费支出。</w:t>
      </w:r>
    </w:p>
    <w:p w14:paraId="34A75843">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2、公务接待费支出决算为0万元，全年共接待来访团组0个、来宾0人次，我单位2023年度无公务接待费支出。 </w:t>
      </w:r>
      <w:r>
        <w:rPr>
          <w:rFonts w:hint="eastAsia" w:ascii="仿宋_GB2312" w:hAnsi="仿宋_GB2312" w:eastAsia="仿宋_GB2312" w:cs="仿宋_GB2312"/>
          <w:bCs/>
          <w:kern w:val="0"/>
          <w:sz w:val="32"/>
          <w:szCs w:val="32"/>
        </w:rPr>
        <w:t xml:space="preserve"> </w:t>
      </w:r>
    </w:p>
    <w:p w14:paraId="4E17D7CE">
      <w:pPr>
        <w:autoSpaceDE w:val="0"/>
        <w:autoSpaceDN w:val="0"/>
        <w:adjustRightInd w:val="0"/>
        <w:spacing w:line="600" w:lineRule="exact"/>
        <w:ind w:left="630"/>
        <w:rPr>
          <w:rFonts w:ascii="仿宋_GB2312" w:hAnsi="仿宋_GB2312" w:eastAsia="仿宋_GB2312" w:cs="仿宋_GB2312"/>
          <w:b/>
          <w:bCs/>
          <w:i/>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kern w:val="0"/>
          <w:sz w:val="32"/>
          <w:szCs w:val="32"/>
        </w:rPr>
        <w:t>公务用车购置费及运行维护费支出决算为0万元，其中：公务用车购置费0万元，当年没有购置公务用车。公务用车运行维护费0万元，截至2023年12月31日，我单位开支财政拨款的公务用车保有量为0辆。</w:t>
      </w:r>
    </w:p>
    <w:p w14:paraId="7F5AC24E">
      <w:pPr>
        <w:pStyle w:val="14"/>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十、关于机关运行经费支出说明</w:t>
      </w:r>
    </w:p>
    <w:p w14:paraId="6EC8F5A4">
      <w:pPr>
        <w:pStyle w:val="14"/>
        <w:ind w:firstLine="640" w:firstLineChars="200"/>
        <w:rPr>
          <w:rFonts w:hint="eastAsia" w:ascii="楷体" w:hAnsi="楷体" w:eastAsia="楷体" w:cs="楷体"/>
          <w:sz w:val="32"/>
          <w:szCs w:val="32"/>
        </w:rPr>
      </w:pPr>
      <w:r>
        <w:rPr>
          <w:rFonts w:hint="eastAsia" w:ascii="Times New Roman" w:hAnsi="Times New Roman" w:eastAsia="仿宋_GB2312"/>
          <w:sz w:val="32"/>
          <w:szCs w:val="32"/>
        </w:rPr>
        <w:t>本级和所属单位均为事业单位，按照机关运行经费的口径，本年度机关运行经费为0。</w:t>
      </w:r>
    </w:p>
    <w:p w14:paraId="56CF2A12">
      <w:pPr>
        <w:pStyle w:val="14"/>
        <w:spacing w:line="600" w:lineRule="exact"/>
        <w:ind w:firstLine="640" w:firstLineChars="200"/>
        <w:rPr>
          <w:rFonts w:hint="eastAsia" w:hAnsi="黑体"/>
          <w:bCs/>
          <w:sz w:val="32"/>
          <w:szCs w:val="32"/>
        </w:rPr>
      </w:pPr>
      <w:r>
        <w:rPr>
          <w:rFonts w:hint="eastAsia" w:hAnsi="黑体"/>
          <w:bCs/>
          <w:sz w:val="32"/>
          <w:szCs w:val="32"/>
        </w:rPr>
        <w:t>十一、一般性支出情况说明</w:t>
      </w:r>
    </w:p>
    <w:p w14:paraId="2C5BF3AD">
      <w:pPr>
        <w:pStyle w:val="1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2023年年度，会议费年初预算0万元，支出决算为0万元。本单位无会议费的预算和支出决算数。</w:t>
      </w:r>
    </w:p>
    <w:p w14:paraId="181DD627">
      <w:pPr>
        <w:autoSpaceDE w:val="0"/>
        <w:autoSpaceDN w:val="0"/>
        <w:adjustRightInd w:val="0"/>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培训费年初预算0万元，支出决算为0.2万元。用于开展入党积极分子培训，人数4人，内容为党史党性、党纪党规教育等。</w:t>
      </w:r>
    </w:p>
    <w:p w14:paraId="2A421DF7">
      <w:pPr>
        <w:autoSpaceDE w:val="0"/>
        <w:autoSpaceDN w:val="0"/>
        <w:adjustRightInd w:val="0"/>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举办节庆、晚会、论坛、赛事活动年初预算0万元，支出决算为0万元。本单位无举办节庆、晚会、论坛、赛事等活动的预算和支出决算数。 </w:t>
      </w:r>
    </w:p>
    <w:p w14:paraId="7CE4EFE4">
      <w:pPr>
        <w:pStyle w:val="14"/>
        <w:spacing w:line="600" w:lineRule="exact"/>
        <w:ind w:firstLine="640" w:firstLineChars="200"/>
        <w:rPr>
          <w:rFonts w:hint="eastAsia" w:hAnsi="黑体"/>
          <w:bCs/>
          <w:sz w:val="32"/>
          <w:szCs w:val="32"/>
        </w:rPr>
      </w:pPr>
      <w:r>
        <w:rPr>
          <w:rFonts w:hint="eastAsia" w:hAnsi="黑体"/>
          <w:bCs/>
          <w:sz w:val="32"/>
          <w:szCs w:val="32"/>
        </w:rPr>
        <w:t>十二、关于政府采购支出说明</w:t>
      </w:r>
    </w:p>
    <w:p w14:paraId="4E8B1906">
      <w:pPr>
        <w:pStyle w:val="14"/>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本部门2023年度政府采购支出总额0万元，其中：政府采购货物支出0 万元、政府采购工程支出0万元、政府采购服务支出0万元。授予中小企业合同金额0万元（由于政府采购支出总额为0，故无法计算占政府采购支出总额的比重），其中：授予小微企业合同金额0万元（由于授予中小企业合同金额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以上各项合同金额为0，故无法计算各项占比。</w:t>
      </w:r>
    </w:p>
    <w:p w14:paraId="5EE07241">
      <w:pPr>
        <w:pStyle w:val="14"/>
        <w:spacing w:line="580" w:lineRule="exact"/>
        <w:ind w:firstLine="640" w:firstLineChars="200"/>
        <w:rPr>
          <w:rFonts w:hint="eastAsia" w:hAnsi="黑体"/>
          <w:bCs/>
          <w:color w:val="auto"/>
          <w:sz w:val="32"/>
          <w:szCs w:val="32"/>
        </w:rPr>
      </w:pPr>
      <w:r>
        <w:rPr>
          <w:rFonts w:hint="eastAsia" w:hAnsi="黑体"/>
          <w:bCs/>
          <w:color w:val="auto"/>
          <w:sz w:val="32"/>
          <w:szCs w:val="32"/>
        </w:rPr>
        <w:t>十三、关于国有资产占用情况说明</w:t>
      </w:r>
    </w:p>
    <w:p w14:paraId="5DFA2D8D">
      <w:pPr>
        <w:pStyle w:val="14"/>
        <w:spacing w:line="580" w:lineRule="exact"/>
        <w:ind w:firstLine="640" w:firstLineChars="200"/>
        <w:rPr>
          <w:rFonts w:ascii="仿宋_GB2312" w:hAnsi="仿宋_GB2312" w:eastAsia="仿宋_GB2312" w:cs="仿宋_GB2312"/>
          <w:iCs/>
          <w:color w:val="FF0000"/>
          <w:sz w:val="32"/>
          <w:szCs w:val="32"/>
        </w:rPr>
      </w:pPr>
      <w:r>
        <w:rPr>
          <w:rFonts w:hint="eastAsia" w:ascii="仿宋_GB2312" w:hAnsi="仿宋_GB2312" w:eastAsia="仿宋_GB2312" w:cs="仿宋_GB2312"/>
          <w:color w:val="auto"/>
          <w:sz w:val="32"/>
          <w:szCs w:val="32"/>
        </w:rPr>
        <w:t>截至2023年12月31日，本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71423C66">
      <w:pPr>
        <w:pStyle w:val="14"/>
        <w:spacing w:line="580" w:lineRule="exact"/>
        <w:ind w:firstLine="640" w:firstLineChars="200"/>
        <w:rPr>
          <w:rFonts w:hint="eastAsia" w:hAnsi="黑体"/>
          <w:bCs/>
          <w:color w:val="auto"/>
          <w:sz w:val="32"/>
          <w:szCs w:val="32"/>
        </w:rPr>
      </w:pPr>
      <w:r>
        <w:rPr>
          <w:rFonts w:hint="eastAsia" w:hAnsi="黑体"/>
          <w:bCs/>
          <w:color w:val="auto"/>
          <w:sz w:val="32"/>
          <w:szCs w:val="32"/>
        </w:rPr>
        <w:t>十四、关于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6174A62A">
      <w:pPr>
        <w:pStyle w:val="14"/>
        <w:spacing w:line="58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（一）绩效管理工作开展情况</w:t>
      </w:r>
    </w:p>
    <w:p w14:paraId="11484BB8">
      <w:pPr>
        <w:autoSpaceDE w:val="0"/>
        <w:autoSpaceDN w:val="0"/>
        <w:adjustRightInd w:val="0"/>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根据预算绩效管理要求，我们组织对2023年度整体支出和项目资金实施了全覆盖性的绩效评价，撰写了绩效自评报告。</w:t>
      </w:r>
    </w:p>
    <w:p w14:paraId="4837BB1F">
      <w:pPr>
        <w:autoSpaceDE w:val="0"/>
        <w:autoSpaceDN w:val="0"/>
        <w:adjustRightInd w:val="0"/>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开展整体支出绩效评价，涉及一般公共预算支出3747.25万元，政府性基金预算支出0万元，国有资本经营预算支出0万元。从评价情况来看，整体支出绩效评价中，2023年整体支出4908.03万元，其中：基本支出3993.23万元，项目支出914.8万元，本单位整体支出绩效自评综合评分95.3分，评价结果等次为良好。</w:t>
      </w:r>
    </w:p>
    <w:p w14:paraId="214F7AE2">
      <w:pPr>
        <w:autoSpaceDE w:val="0"/>
        <w:autoSpaceDN w:val="0"/>
        <w:adjustRightInd w:val="0"/>
        <w:spacing w:line="60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color w:val="000000"/>
          <w:kern w:val="0"/>
          <w:sz w:val="32"/>
          <w:szCs w:val="32"/>
        </w:rPr>
        <w:t>组织对一般公共预算项目支出全面开展绩效自评，项目5个，共涉及资金914.8万元，占一般公共预算项目支出总额的</w:t>
      </w:r>
      <w:r>
        <w:rPr>
          <w:rFonts w:hint="eastAsia" w:ascii="仿宋_GB2312" w:hAnsi="仿宋_GB2312" w:eastAsia="仿宋_GB2312" w:cs="仿宋_GB2312"/>
          <w:color w:val="000000"/>
          <w:kern w:val="0"/>
          <w:sz w:val="32"/>
          <w:szCs w:val="32"/>
          <w:lang w:val="en-US" w:eastAsia="zh-CN"/>
        </w:rPr>
        <w:t>116.85</w:t>
      </w:r>
      <w:r>
        <w:rPr>
          <w:rFonts w:hint="eastAsia" w:ascii="仿宋_GB2312" w:hAnsi="仿宋_GB2312" w:eastAsia="仿宋_GB2312" w:cs="仿宋_GB2312"/>
          <w:color w:val="000000"/>
          <w:kern w:val="0"/>
          <w:sz w:val="32"/>
          <w:szCs w:val="32"/>
        </w:rPr>
        <w:t>%。组织对政府性基金</w:t>
      </w:r>
      <w:bookmarkStart w:id="0" w:name="_GoBack"/>
      <w:bookmarkEnd w:id="0"/>
      <w:r>
        <w:rPr>
          <w:rFonts w:hint="eastAsia" w:ascii="仿宋_GB2312" w:hAnsi="仿宋_GB2312" w:eastAsia="仿宋_GB2312" w:cs="仿宋_GB2312"/>
          <w:color w:val="000000"/>
          <w:kern w:val="0"/>
          <w:sz w:val="32"/>
          <w:szCs w:val="32"/>
        </w:rPr>
        <w:t>预算项目支出开展绩效自评，项目0个，共涉及资金0万元（由于政府性基金预算项目支出总额为0，故无法计算占政府性基金预算项目支出总额的比重）。组织对国有资本经营预算项目支出开展绩效自评，项目0个，共涉及资金0万（由于国有资本经营预算项目支出总额为0，故无法计算占国有资本经营预算项目支出总额的比重）。从评价情况来看，项目绩效自评得分95分，评价结果等次为良好。</w:t>
      </w:r>
    </w:p>
    <w:p w14:paraId="4A09D3BC">
      <w:pPr>
        <w:pStyle w:val="14"/>
        <w:spacing w:line="58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（二）部门（单位）整体支出绩效情况</w:t>
      </w:r>
    </w:p>
    <w:p w14:paraId="23042700">
      <w:pPr>
        <w:autoSpaceDE w:val="0"/>
        <w:autoSpaceDN w:val="0"/>
        <w:adjustRightIn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根据年初设定的绩效目标，绩效自评得分为95分。全年预算数为5148.12万元，执行数为4908.03万元，完成预算的95.34%。</w:t>
      </w:r>
      <w:r>
        <w:rPr>
          <w:rFonts w:hint="eastAsia" w:ascii="仿宋_GB2312" w:hAnsi="仿宋_GB2312" w:eastAsia="仿宋_GB2312" w:cs="仿宋_GB2312"/>
          <w:sz w:val="32"/>
          <w:szCs w:val="32"/>
        </w:rPr>
        <w:t>绩效目标完成情况：一是保证学校正常经费开支；二是有效提升学校整体教育教学和办学条件水平。发现的主要问题及原因：一是绩效目标设置科学性有待提高；二是由于部分绩效指标设置不够全面，绩效指标设置的科学性、准确性有待提升。下一步改进措施：一是多措并举，提高绩效管理水平；二是加强预算编制，加快资金执行效率；三是建立绩效管理制度，加强绩效运行监控。</w:t>
      </w:r>
    </w:p>
    <w:p w14:paraId="0629CBD8">
      <w:pPr>
        <w:pStyle w:val="14"/>
        <w:spacing w:line="58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（三）存在的问题及原因分析</w:t>
      </w:r>
    </w:p>
    <w:p w14:paraId="1EDCB4A8">
      <w:pPr>
        <w:pStyle w:val="9"/>
        <w:widowControl/>
        <w:shd w:val="clear" w:color="auto" w:fill="FFFFFF"/>
        <w:spacing w:before="0" w:beforeAutospacing="0" w:after="0" w:afterAutospacing="0" w:line="640" w:lineRule="atLeast"/>
        <w:ind w:firstLine="420"/>
        <w:jc w:val="both"/>
        <w:textAlignment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1、部分预算绩效管理工作开展不到位，预算绩效管理意识有待提高。一是绩效目标编制不完整。二是绩效指标类别划分不准确、部分绩效指标量化程度不高。</w:t>
      </w:r>
    </w:p>
    <w:p w14:paraId="6478013D">
      <w:pPr>
        <w:autoSpaceDE w:val="0"/>
        <w:autoSpaceDN w:val="0"/>
        <w:adjustRightInd w:val="0"/>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绩效自评工作开展不到位。一是部门绩效管理理念还未深入，预算绩效管理主体意识不强，部门未将预算绩效管理作为加强预算管理，提升资金使用绩效的有效管理模式，绩效管理工作大都为被动应付，存在被财政推着走的情况。二是部门内部协调机制不完善，绩效自评工作各相关业务处室配合有待加强。</w:t>
      </w:r>
      <w:r>
        <w:rPr>
          <w:rFonts w:hint="eastAsia" w:ascii="仿宋_GB2312" w:hAnsi="仿宋_GB2312" w:eastAsia="仿宋_GB2312" w:cs="仿宋_GB2312"/>
          <w:sz w:val="32"/>
          <w:szCs w:val="32"/>
        </w:rPr>
        <w:t>预算绩效管理开展情况、绩效目标和绩效评价报告等，已在市政府部门财政预决算公开平台上向社会公开，详见附件。</w:t>
      </w:r>
    </w:p>
    <w:p w14:paraId="5EE07CC5">
      <w:pPr>
        <w:autoSpaceDE w:val="0"/>
        <w:autoSpaceDN w:val="0"/>
        <w:adjustRightInd w:val="0"/>
        <w:jc w:val="left"/>
        <w:rPr>
          <w:rFonts w:hint="eastAsia" w:ascii="楷体" w:hAnsi="楷体" w:eastAsia="楷体" w:cs="楷体"/>
          <w:b/>
          <w:bCs/>
          <w:color w:val="FF0000"/>
          <w:kern w:val="0"/>
          <w:sz w:val="36"/>
          <w:szCs w:val="36"/>
        </w:rPr>
      </w:pPr>
    </w:p>
    <w:p w14:paraId="7E06A7D7">
      <w:pPr>
        <w:pStyle w:val="14"/>
        <w:jc w:val="both"/>
        <w:rPr>
          <w:sz w:val="72"/>
          <w:szCs w:val="72"/>
        </w:rPr>
      </w:pPr>
    </w:p>
    <w:p w14:paraId="07532648">
      <w:pPr>
        <w:pStyle w:val="14"/>
        <w:jc w:val="center"/>
        <w:rPr>
          <w:sz w:val="72"/>
          <w:szCs w:val="72"/>
        </w:rPr>
      </w:pPr>
    </w:p>
    <w:p w14:paraId="44B514E4">
      <w:pPr>
        <w:pStyle w:val="14"/>
        <w:jc w:val="center"/>
        <w:rPr>
          <w:rFonts w:hint="eastAsia" w:ascii="方正小标宋_GBK" w:hAnsi="方正小标宋_GBK" w:eastAsia="方正小标宋_GBK" w:cs="方正小标宋_GBK"/>
          <w:sz w:val="70"/>
          <w:szCs w:val="70"/>
        </w:rPr>
      </w:pPr>
    </w:p>
    <w:p w14:paraId="5B3801D7">
      <w:pPr>
        <w:pStyle w:val="14"/>
        <w:jc w:val="center"/>
        <w:rPr>
          <w:rFonts w:hint="eastAsia" w:ascii="方正小标宋_GBK" w:hAnsi="方正小标宋_GBK" w:eastAsia="方正小标宋_GBK" w:cs="方正小标宋_GBK"/>
          <w:sz w:val="70"/>
          <w:szCs w:val="70"/>
        </w:rPr>
      </w:pPr>
    </w:p>
    <w:p w14:paraId="098E58BD">
      <w:pPr>
        <w:pStyle w:val="14"/>
        <w:jc w:val="center"/>
        <w:rPr>
          <w:rFonts w:hint="eastAsia" w:ascii="方正小标宋_GBK" w:hAnsi="方正小标宋_GBK" w:eastAsia="方正小标宋_GBK" w:cs="方正小标宋_GBK"/>
          <w:sz w:val="72"/>
          <w:szCs w:val="72"/>
        </w:rPr>
      </w:pPr>
    </w:p>
    <w:p w14:paraId="7D68B454">
      <w:pPr>
        <w:pStyle w:val="14"/>
        <w:jc w:val="both"/>
        <w:rPr>
          <w:rFonts w:hint="eastAsia" w:ascii="方正小标宋_GBK" w:hAnsi="方正小标宋_GBK" w:eastAsia="方正小标宋_GBK" w:cs="方正小标宋_GBK"/>
          <w:sz w:val="72"/>
          <w:szCs w:val="72"/>
        </w:rPr>
      </w:pPr>
    </w:p>
    <w:p w14:paraId="47036F1F">
      <w:pPr>
        <w:pStyle w:val="14"/>
        <w:jc w:val="both"/>
        <w:rPr>
          <w:rFonts w:hint="eastAsia" w:ascii="方正小标宋_GBK" w:hAnsi="方正小标宋_GBK" w:eastAsia="方正小标宋_GBK" w:cs="方正小标宋_GBK"/>
          <w:sz w:val="72"/>
          <w:szCs w:val="72"/>
        </w:rPr>
      </w:pPr>
    </w:p>
    <w:p w14:paraId="6BEE48E6">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84F5F61">
      <w:pPr>
        <w:jc w:val="center"/>
        <w:rPr>
          <w:rFonts w:hint="eastAsia" w:ascii="方正小标宋_GBK" w:hAnsi="方正小标宋_GBK" w:eastAsia="方正小标宋_GBK" w:cs="方正小标宋_GBK"/>
          <w:color w:val="000000"/>
          <w:kern w:val="0"/>
          <w:sz w:val="70"/>
          <w:szCs w:val="70"/>
        </w:rPr>
      </w:pPr>
    </w:p>
    <w:p w14:paraId="3188CFDC">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名词解释</w:t>
      </w:r>
    </w:p>
    <w:p w14:paraId="618AF18B">
      <w:pPr>
        <w:pStyle w:val="8"/>
      </w:pPr>
    </w:p>
    <w:p w14:paraId="35C97C79">
      <w:pPr>
        <w:pStyle w:val="4"/>
        <w:ind w:firstLine="480"/>
        <w:rPr>
          <w:rFonts w:hint="eastAsia"/>
        </w:rPr>
      </w:pPr>
    </w:p>
    <w:p w14:paraId="46AAADA9"/>
    <w:p w14:paraId="052BE812">
      <w:pPr>
        <w:pStyle w:val="8"/>
      </w:pPr>
    </w:p>
    <w:p w14:paraId="039A1A41">
      <w:pPr>
        <w:pStyle w:val="4"/>
        <w:ind w:firstLine="480"/>
        <w:rPr>
          <w:rFonts w:hint="eastAsia"/>
        </w:rPr>
      </w:pPr>
    </w:p>
    <w:p w14:paraId="63D011C4"/>
    <w:p w14:paraId="48729714">
      <w:pPr>
        <w:pStyle w:val="8"/>
      </w:pPr>
    </w:p>
    <w:p w14:paraId="7F4CE472">
      <w:pPr>
        <w:pStyle w:val="4"/>
        <w:ind w:firstLine="480"/>
        <w:rPr>
          <w:rFonts w:hint="eastAsia"/>
        </w:rPr>
      </w:pPr>
    </w:p>
    <w:p w14:paraId="46318278"/>
    <w:p w14:paraId="2EE4626D">
      <w:pPr>
        <w:pStyle w:val="2"/>
      </w:pPr>
    </w:p>
    <w:p w14:paraId="77F77958">
      <w:pPr>
        <w:pStyle w:val="2"/>
      </w:pPr>
    </w:p>
    <w:p w14:paraId="0C45FCA9">
      <w:pPr>
        <w:pStyle w:val="2"/>
      </w:pPr>
    </w:p>
    <w:p w14:paraId="530EF45E">
      <w:pPr>
        <w:pStyle w:val="2"/>
      </w:pPr>
    </w:p>
    <w:p w14:paraId="503CDFEB">
      <w:pPr>
        <w:pStyle w:val="2"/>
      </w:pPr>
    </w:p>
    <w:p w14:paraId="7E1E47FD">
      <w:pPr>
        <w:pStyle w:val="2"/>
      </w:pPr>
    </w:p>
    <w:p w14:paraId="207613BB">
      <w:pPr>
        <w:pStyle w:val="2"/>
      </w:pPr>
    </w:p>
    <w:p w14:paraId="10372911">
      <w:pPr>
        <w:pStyle w:val="2"/>
      </w:pPr>
    </w:p>
    <w:p w14:paraId="6457994C">
      <w:pPr>
        <w:pStyle w:val="2"/>
      </w:pPr>
    </w:p>
    <w:p w14:paraId="2A9D44B0">
      <w:pPr>
        <w:pStyle w:val="2"/>
      </w:pPr>
    </w:p>
    <w:p w14:paraId="2D850D8F">
      <w:pPr>
        <w:pStyle w:val="2"/>
      </w:pPr>
    </w:p>
    <w:p w14:paraId="5C960FAD">
      <w:pPr>
        <w:pStyle w:val="8"/>
      </w:pPr>
    </w:p>
    <w:p w14:paraId="48E0E8FE">
      <w:pPr>
        <w:pStyle w:val="4"/>
        <w:ind w:firstLine="480"/>
        <w:rPr>
          <w:rFonts w:hint="eastAsia"/>
        </w:rPr>
      </w:pPr>
    </w:p>
    <w:p w14:paraId="36887E91"/>
    <w:p w14:paraId="4DFCBF42">
      <w:pPr>
        <w:pStyle w:val="8"/>
      </w:pPr>
    </w:p>
    <w:p w14:paraId="71495EE6">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F7434D7">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FD0CA6F">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三、一般预算财政拨款(补助)收入:指财政部门拨入的各类经费。</w:t>
      </w:r>
    </w:p>
    <w:p w14:paraId="7D77C082">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四、财政拨款收入:指本级财政当年拨付的资金。</w:t>
      </w:r>
    </w:p>
    <w:p w14:paraId="383D389F">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4E2B05C3">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六、医疗卫生与计划生育支出(类):是指用于医疗卫生与计划生育方面的支出，包括保障机构正常运转、完成日常和特定的工作任务或事业发展目标的支出</w:t>
      </w:r>
    </w:p>
    <w:p w14:paraId="0C5654E7">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七、住房保障支出(类):是指用于住房方面的支出，包括保障机构正常运转、完成日常和特定的工作任务或事业发展目标的支出。</w:t>
      </w:r>
    </w:p>
    <w:p w14:paraId="27966FAB">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八、预算绩效:即政府预算资金实施所产生的效益、效率和效果。</w:t>
      </w:r>
    </w:p>
    <w:p w14:paraId="3415776C">
      <w:pPr>
        <w:pStyle w:val="14"/>
        <w:spacing w:line="60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九、基本支出:指保障机构正常运转、完成日常工作任务而发生的人员支出和公用支出。</w:t>
      </w:r>
    </w:p>
    <w:p w14:paraId="7CD67E11">
      <w:pPr>
        <w:pStyle w:val="14"/>
        <w:spacing w:line="600" w:lineRule="exact"/>
        <w:ind w:firstLine="640" w:firstLineChars="200"/>
        <w:rPr>
          <w:rFonts w:hint="eastAsia" w:ascii="楷体" w:hAnsi="楷体" w:eastAsia="楷体" w:cs="楷体"/>
          <w:b/>
          <w:bCs/>
          <w:i/>
          <w:color w:val="FF0000"/>
          <w:sz w:val="32"/>
          <w:szCs w:val="32"/>
        </w:rPr>
      </w:pPr>
      <w:r>
        <w:rPr>
          <w:rFonts w:hint="eastAsia" w:ascii="仿宋_GB2312" w:hAnsi="仿宋_GB2312" w:eastAsia="仿宋_GB2312" w:cs="仿宋_GB2312"/>
          <w:color w:val="auto"/>
          <w:kern w:val="2"/>
          <w:sz w:val="32"/>
          <w:szCs w:val="32"/>
        </w:rPr>
        <w:t>十、项目支出:指在基本支出之外为完成特定行政任务和事业发展目标所发生的支出。</w:t>
      </w:r>
    </w:p>
    <w:p w14:paraId="326126BE">
      <w:pPr>
        <w:pStyle w:val="4"/>
        <w:ind w:firstLine="480"/>
        <w:rPr>
          <w:rFonts w:hint="eastAsia"/>
        </w:rPr>
      </w:pPr>
    </w:p>
    <w:p w14:paraId="3C6F6355"/>
    <w:p w14:paraId="7B53DC4C">
      <w:pPr>
        <w:pStyle w:val="8"/>
      </w:pPr>
    </w:p>
    <w:p w14:paraId="4199A498">
      <w:pPr>
        <w:pStyle w:val="4"/>
        <w:ind w:firstLine="480"/>
        <w:rPr>
          <w:rFonts w:hint="eastAsia"/>
        </w:rPr>
      </w:pPr>
    </w:p>
    <w:p w14:paraId="2EF678E3"/>
    <w:p w14:paraId="006F16CE">
      <w:pPr>
        <w:pStyle w:val="8"/>
      </w:pPr>
    </w:p>
    <w:p w14:paraId="65E444E9">
      <w:pPr>
        <w:pStyle w:val="4"/>
        <w:ind w:firstLine="480"/>
        <w:rPr>
          <w:rFonts w:hint="eastAsia"/>
        </w:rPr>
      </w:pPr>
    </w:p>
    <w:p w14:paraId="5543D6E9"/>
    <w:p w14:paraId="43116E98">
      <w:pPr>
        <w:pStyle w:val="8"/>
      </w:pPr>
    </w:p>
    <w:p w14:paraId="11782E45">
      <w:pPr>
        <w:pStyle w:val="4"/>
        <w:ind w:firstLine="480"/>
        <w:rPr>
          <w:rFonts w:hint="eastAsia"/>
        </w:rPr>
      </w:pPr>
    </w:p>
    <w:p w14:paraId="62CF8A1D"/>
    <w:p w14:paraId="2DBCDB80">
      <w:pPr>
        <w:pStyle w:val="8"/>
      </w:pPr>
    </w:p>
    <w:p w14:paraId="4B7A8F6D">
      <w:pPr>
        <w:pStyle w:val="4"/>
        <w:ind w:firstLine="480"/>
        <w:rPr>
          <w:rFonts w:hint="eastAsia"/>
        </w:rPr>
      </w:pPr>
    </w:p>
    <w:p w14:paraId="04082440"/>
    <w:p w14:paraId="26AD3D02">
      <w:pPr>
        <w:pStyle w:val="8"/>
      </w:pPr>
    </w:p>
    <w:p w14:paraId="054BC9A7">
      <w:pPr>
        <w:pStyle w:val="4"/>
        <w:ind w:firstLine="480"/>
        <w:rPr>
          <w:rFonts w:hint="eastAsia"/>
        </w:rPr>
      </w:pPr>
    </w:p>
    <w:p w14:paraId="104FFCF0"/>
    <w:p w14:paraId="30F13609">
      <w:pPr>
        <w:pStyle w:val="8"/>
      </w:pPr>
    </w:p>
    <w:p w14:paraId="6068529B">
      <w:pPr>
        <w:pStyle w:val="4"/>
        <w:ind w:firstLine="480"/>
        <w:rPr>
          <w:rFonts w:hint="eastAsia"/>
        </w:rPr>
      </w:pPr>
    </w:p>
    <w:p w14:paraId="0BACE073">
      <w:pPr>
        <w:pStyle w:val="4"/>
        <w:ind w:firstLine="480"/>
        <w:rPr>
          <w:rFonts w:hint="eastAsia"/>
        </w:rPr>
      </w:pPr>
    </w:p>
    <w:p w14:paraId="2B55C727"/>
    <w:p w14:paraId="43E801A4">
      <w:pPr>
        <w:pStyle w:val="8"/>
      </w:pPr>
    </w:p>
    <w:p w14:paraId="1ED0E98D">
      <w:pPr>
        <w:autoSpaceDE w:val="0"/>
        <w:autoSpaceDN w:val="0"/>
        <w:adjustRightInd w:val="0"/>
        <w:spacing w:line="600" w:lineRule="exact"/>
        <w:ind w:firstLine="640" w:firstLineChars="200"/>
        <w:rPr>
          <w:rFonts w:ascii="仿宋_GB2312" w:hAnsi="仿宋_GB2312" w:eastAsia="仿宋_GB2312" w:cs="仿宋_GB2312"/>
          <w:b/>
          <w:bCs/>
          <w:i/>
          <w:color w:val="FF0000"/>
          <w:kern w:val="0"/>
          <w:sz w:val="32"/>
          <w:szCs w:val="32"/>
        </w:rPr>
      </w:pPr>
    </w:p>
    <w:p w14:paraId="6EBAC536"/>
    <w:p w14:paraId="2A408EE3">
      <w:pPr>
        <w:pStyle w:val="8"/>
      </w:pPr>
    </w:p>
    <w:p w14:paraId="60EA91A0">
      <w:pPr>
        <w:pStyle w:val="4"/>
        <w:ind w:firstLine="480"/>
        <w:rPr>
          <w:rFonts w:hint="eastAsia"/>
        </w:rPr>
      </w:pPr>
    </w:p>
    <w:p w14:paraId="293236D3"/>
    <w:p w14:paraId="051B5055">
      <w:pPr>
        <w:pStyle w:val="8"/>
      </w:pPr>
    </w:p>
    <w:p w14:paraId="0AD70C8A">
      <w:pPr>
        <w:pStyle w:val="4"/>
        <w:ind w:firstLine="480"/>
        <w:rPr>
          <w:rFonts w:hint="eastAsia"/>
        </w:rPr>
      </w:pPr>
    </w:p>
    <w:p w14:paraId="482F26DD"/>
    <w:p w14:paraId="534F99DF">
      <w:pPr>
        <w:pStyle w:val="8"/>
      </w:pPr>
    </w:p>
    <w:p w14:paraId="2B4619D1">
      <w:pPr>
        <w:pStyle w:val="4"/>
        <w:ind w:firstLine="480"/>
        <w:rPr>
          <w:rFonts w:hint="eastAsia"/>
        </w:rPr>
      </w:pPr>
    </w:p>
    <w:p w14:paraId="77B19276"/>
    <w:p w14:paraId="26593CCC">
      <w:pPr>
        <w:pStyle w:val="8"/>
      </w:pPr>
    </w:p>
    <w:p w14:paraId="453CF627">
      <w:pPr>
        <w:pStyle w:val="4"/>
        <w:ind w:firstLine="480"/>
        <w:rPr>
          <w:rFonts w:hint="eastAsia"/>
        </w:rPr>
      </w:pPr>
    </w:p>
    <w:p w14:paraId="21763E02"/>
    <w:p w14:paraId="0E11D45B"/>
    <w:p w14:paraId="1A900E17"/>
    <w:p w14:paraId="655B29B4"/>
    <w:p w14:paraId="30808CF5"/>
    <w:p w14:paraId="0CB68448"/>
    <w:p w14:paraId="272ED134"/>
    <w:p w14:paraId="584D6FCE"/>
    <w:p w14:paraId="299ADFFE"/>
    <w:p w14:paraId="48E356A8">
      <w:pPr>
        <w:pStyle w:val="4"/>
        <w:ind w:firstLine="480"/>
        <w:rPr>
          <w:rFonts w:hint="eastAsia"/>
        </w:rPr>
      </w:pPr>
    </w:p>
    <w:p w14:paraId="45528C8A"/>
    <w:p w14:paraId="408BEFE6"/>
    <w:p w14:paraId="02585CCE"/>
    <w:p w14:paraId="539AFCBC"/>
    <w:p w14:paraId="599B37B3"/>
    <w:p w14:paraId="2CB0E739"/>
    <w:p w14:paraId="4E5AC1F6"/>
    <w:p w14:paraId="5F1BAE34"/>
    <w:p w14:paraId="684E49DE"/>
    <w:p w14:paraId="0ABEB3C7"/>
    <w:p w14:paraId="4574E101">
      <w:pPr>
        <w:pStyle w:val="8"/>
      </w:pPr>
    </w:p>
    <w:p w14:paraId="1D24D95F">
      <w:pPr>
        <w:pStyle w:val="4"/>
        <w:ind w:firstLine="480"/>
        <w:rPr>
          <w:rFonts w:hint="eastAsia"/>
        </w:rPr>
      </w:pPr>
    </w:p>
    <w:p w14:paraId="72FE9FFF">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第五部分</w:t>
      </w:r>
    </w:p>
    <w:p w14:paraId="7B28B6A5">
      <w:pPr>
        <w:pStyle w:val="14"/>
        <w:jc w:val="both"/>
        <w:rPr>
          <w:rFonts w:hint="eastAsia" w:ascii="方正小标宋_GBK" w:hAnsi="方正小标宋_GBK" w:eastAsia="方正小标宋_GBK" w:cs="方正小标宋_GBK"/>
          <w:sz w:val="70"/>
          <w:szCs w:val="70"/>
        </w:rPr>
      </w:pPr>
    </w:p>
    <w:p w14:paraId="52EF4A70">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附 件</w:t>
      </w:r>
    </w:p>
    <w:p w14:paraId="4E355770">
      <w:pPr>
        <w:ind w:firstLine="640" w:firstLineChars="200"/>
        <w:jc w:val="left"/>
        <w:rPr>
          <w:rFonts w:hint="eastAsia" w:ascii="宋体" w:hAnsi="宋体" w:eastAsia="宋体" w:cs="黑体"/>
          <w:b/>
          <w:color w:val="000000"/>
          <w:kern w:val="0"/>
          <w:sz w:val="32"/>
          <w:szCs w:val="32"/>
        </w:rPr>
      </w:pPr>
    </w:p>
    <w:p w14:paraId="25F6A095">
      <w:pPr>
        <w:ind w:firstLine="640" w:firstLineChars="200"/>
        <w:jc w:val="left"/>
        <w:rPr>
          <w:rFonts w:hint="eastAsia" w:ascii="宋体" w:hAnsi="宋体" w:eastAsia="宋体" w:cs="黑体"/>
          <w:b/>
          <w:color w:val="000000"/>
          <w:kern w:val="0"/>
          <w:sz w:val="32"/>
          <w:szCs w:val="32"/>
        </w:rPr>
      </w:pPr>
      <w:r>
        <w:rPr>
          <w:rFonts w:hint="eastAsia" w:ascii="宋体" w:hAnsi="宋体" w:eastAsia="宋体" w:cs="黑体"/>
          <w:b/>
          <w:color w:val="000000"/>
          <w:kern w:val="0"/>
          <w:sz w:val="32"/>
          <w:szCs w:val="32"/>
        </w:rPr>
        <w:t>1、2023年部门决算公开表格</w:t>
      </w:r>
    </w:p>
    <w:p w14:paraId="2289327F">
      <w:pPr>
        <w:ind w:firstLine="640" w:firstLineChars="200"/>
        <w:jc w:val="left"/>
        <w:rPr>
          <w:rFonts w:hint="eastAsia" w:ascii="宋体" w:hAnsi="宋体" w:eastAsia="宋体" w:cs="黑体"/>
          <w:color w:val="000000"/>
          <w:kern w:val="0"/>
          <w:sz w:val="32"/>
          <w:szCs w:val="32"/>
        </w:rPr>
      </w:pPr>
      <w:r>
        <w:rPr>
          <w:rFonts w:hint="eastAsia" w:ascii="宋体" w:hAnsi="宋体" w:eastAsia="宋体" w:cs="黑体"/>
          <w:b/>
          <w:color w:val="000000"/>
          <w:kern w:val="0"/>
          <w:sz w:val="32"/>
          <w:szCs w:val="32"/>
        </w:rPr>
        <w:t>2、2023年度部门整体支出绩效评价报告</w:t>
      </w:r>
    </w:p>
    <w:p w14:paraId="5799BC0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413D4"/>
    <w:multiLevelType w:val="singleLevel"/>
    <w:tmpl w:val="844413D4"/>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TEwM2ZhMWEyMjI0ODRhNDZhNGI4OTU5YTcwM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66013"/>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3DDF"/>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02D3"/>
    <w:rsid w:val="00F74360"/>
    <w:rsid w:val="00FB462F"/>
    <w:rsid w:val="00FE16FA"/>
    <w:rsid w:val="00FE328A"/>
    <w:rsid w:val="00FE6269"/>
    <w:rsid w:val="00FF5CD6"/>
    <w:rsid w:val="059958AD"/>
    <w:rsid w:val="05FF61FF"/>
    <w:rsid w:val="062C41B1"/>
    <w:rsid w:val="071B5222"/>
    <w:rsid w:val="074A1D85"/>
    <w:rsid w:val="0889068B"/>
    <w:rsid w:val="0BE5207C"/>
    <w:rsid w:val="0C7E7DDA"/>
    <w:rsid w:val="0D9F0B3E"/>
    <w:rsid w:val="1030200B"/>
    <w:rsid w:val="11CB5870"/>
    <w:rsid w:val="12583BA5"/>
    <w:rsid w:val="13917664"/>
    <w:rsid w:val="13A26AA4"/>
    <w:rsid w:val="13BA5B9C"/>
    <w:rsid w:val="142A2225"/>
    <w:rsid w:val="164107F7"/>
    <w:rsid w:val="17E1374A"/>
    <w:rsid w:val="18F97167"/>
    <w:rsid w:val="1B9C027D"/>
    <w:rsid w:val="1D97DEFF"/>
    <w:rsid w:val="1DB45D52"/>
    <w:rsid w:val="1DFF72E5"/>
    <w:rsid w:val="1EFC6F07"/>
    <w:rsid w:val="1F672950"/>
    <w:rsid w:val="22995058"/>
    <w:rsid w:val="22AC03C2"/>
    <w:rsid w:val="23857832"/>
    <w:rsid w:val="25140E84"/>
    <w:rsid w:val="258D7838"/>
    <w:rsid w:val="278F19A6"/>
    <w:rsid w:val="2940049A"/>
    <w:rsid w:val="2A0C2A72"/>
    <w:rsid w:val="2C111B03"/>
    <w:rsid w:val="2CCD64E8"/>
    <w:rsid w:val="2F6D7B0F"/>
    <w:rsid w:val="2FDF85B8"/>
    <w:rsid w:val="2FFFEE04"/>
    <w:rsid w:val="317677CA"/>
    <w:rsid w:val="31C95635"/>
    <w:rsid w:val="332D7150"/>
    <w:rsid w:val="34DF85B0"/>
    <w:rsid w:val="353335A8"/>
    <w:rsid w:val="370A60F3"/>
    <w:rsid w:val="38A74091"/>
    <w:rsid w:val="3B8F36BC"/>
    <w:rsid w:val="3ED76BDF"/>
    <w:rsid w:val="407F3C70"/>
    <w:rsid w:val="418A4550"/>
    <w:rsid w:val="42BA069E"/>
    <w:rsid w:val="43882D11"/>
    <w:rsid w:val="44CD6983"/>
    <w:rsid w:val="456F5F37"/>
    <w:rsid w:val="458D4F08"/>
    <w:rsid w:val="46470C62"/>
    <w:rsid w:val="47255E82"/>
    <w:rsid w:val="483A125D"/>
    <w:rsid w:val="491FF225"/>
    <w:rsid w:val="49EB7B56"/>
    <w:rsid w:val="49F66C27"/>
    <w:rsid w:val="4AD91D01"/>
    <w:rsid w:val="4DFC0584"/>
    <w:rsid w:val="4F22401A"/>
    <w:rsid w:val="4F495A4B"/>
    <w:rsid w:val="4FFD214C"/>
    <w:rsid w:val="513420B8"/>
    <w:rsid w:val="5352765A"/>
    <w:rsid w:val="543A2E30"/>
    <w:rsid w:val="565D002E"/>
    <w:rsid w:val="5777D4F5"/>
    <w:rsid w:val="59DD8326"/>
    <w:rsid w:val="59F44805"/>
    <w:rsid w:val="5AD32D47"/>
    <w:rsid w:val="5BE960B8"/>
    <w:rsid w:val="5CB92967"/>
    <w:rsid w:val="5DEF592A"/>
    <w:rsid w:val="5FC6BB1E"/>
    <w:rsid w:val="5FF720F1"/>
    <w:rsid w:val="60A07594"/>
    <w:rsid w:val="641A2BB4"/>
    <w:rsid w:val="643B19AE"/>
    <w:rsid w:val="645273BE"/>
    <w:rsid w:val="66894EAF"/>
    <w:rsid w:val="677156E7"/>
    <w:rsid w:val="67C972D1"/>
    <w:rsid w:val="67FF5C0B"/>
    <w:rsid w:val="68E819D9"/>
    <w:rsid w:val="69603C65"/>
    <w:rsid w:val="6A681023"/>
    <w:rsid w:val="6AFD0277"/>
    <w:rsid w:val="6B1D594F"/>
    <w:rsid w:val="6BAA4A2F"/>
    <w:rsid w:val="6EB65408"/>
    <w:rsid w:val="6EFC0924"/>
    <w:rsid w:val="6F071227"/>
    <w:rsid w:val="6FB74722"/>
    <w:rsid w:val="6FEF8B7E"/>
    <w:rsid w:val="700751E2"/>
    <w:rsid w:val="706202C3"/>
    <w:rsid w:val="717C08EF"/>
    <w:rsid w:val="71A6591B"/>
    <w:rsid w:val="71EA67C2"/>
    <w:rsid w:val="737D59BA"/>
    <w:rsid w:val="737F32B1"/>
    <w:rsid w:val="73A821AB"/>
    <w:rsid w:val="73B900E8"/>
    <w:rsid w:val="7783749C"/>
    <w:rsid w:val="77C37683"/>
    <w:rsid w:val="77D05759"/>
    <w:rsid w:val="78E51A91"/>
    <w:rsid w:val="79FF515B"/>
    <w:rsid w:val="7C472778"/>
    <w:rsid w:val="7CCF49B2"/>
    <w:rsid w:val="7E4249A4"/>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772</Words>
  <Characters>781</Characters>
  <Lines>45</Lines>
  <Paragraphs>12</Paragraphs>
  <TotalTime>18</TotalTime>
  <ScaleCrop>false</ScaleCrop>
  <LinksUpToDate>false</LinksUpToDate>
  <CharactersWithSpaces>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yin荟</cp:lastModifiedBy>
  <cp:lastPrinted>2024-08-08T10:20:00Z</cp:lastPrinted>
  <dcterms:modified xsi:type="dcterms:W3CDTF">2025-08-27T00:45:45Z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E2FC0C77D56B42EDABFC551C9BFFF19E_13</vt:lpwstr>
  </property>
  <property fmtid="{D5CDD505-2E9C-101B-9397-08002B2CF9AE}" pid="4" name="KSOTemplateDocerSaveRecord">
    <vt:lpwstr>eyJoZGlkIjoiZTZkOTEwM2ZhMWEyMjI0ODRhNDZhNGI4OTU5YTcwMGQiLCJ1c2VySWQiOiIxMjU2NDgxODYxIn0=</vt:lpwstr>
  </property>
</Properties>
</file>