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2EE56C">
      <w:pPr>
        <w:pStyle w:val="16"/>
        <w:jc w:val="center"/>
        <w:rPr>
          <w:sz w:val="56"/>
          <w:szCs w:val="56"/>
        </w:rPr>
      </w:pPr>
    </w:p>
    <w:p w14:paraId="7C8B6DE4">
      <w:pPr>
        <w:pStyle w:val="16"/>
        <w:jc w:val="center"/>
        <w:rPr>
          <w:sz w:val="56"/>
          <w:szCs w:val="56"/>
        </w:rPr>
      </w:pPr>
    </w:p>
    <w:p w14:paraId="69601D7F">
      <w:pPr>
        <w:pStyle w:val="16"/>
        <w:jc w:val="center"/>
        <w:rPr>
          <w:sz w:val="84"/>
          <w:szCs w:val="84"/>
        </w:rPr>
      </w:pPr>
    </w:p>
    <w:p w14:paraId="4DE7512A">
      <w:pPr>
        <w:pStyle w:val="16"/>
        <w:jc w:val="center"/>
        <w:rPr>
          <w:sz w:val="84"/>
          <w:szCs w:val="84"/>
        </w:rPr>
      </w:pPr>
    </w:p>
    <w:p w14:paraId="67D22C1D">
      <w:pPr>
        <w:pStyle w:val="16"/>
        <w:jc w:val="center"/>
        <w:rPr>
          <w:rFonts w:ascii="方正小标宋_GBK" w:hAnsi="方正小标宋_GBK" w:eastAsia="方正小标宋_GBK" w:cs="方正小标宋_GBK"/>
          <w:sz w:val="84"/>
          <w:szCs w:val="84"/>
        </w:rPr>
      </w:pPr>
      <w:r>
        <w:rPr>
          <w:rFonts w:ascii="方正小标宋_GBK" w:hAnsi="方正小标宋_GBK" w:eastAsia="方正小标宋_GBK" w:cs="方正小标宋_GBK"/>
          <w:sz w:val="84"/>
          <w:szCs w:val="84"/>
        </w:rPr>
        <w:t>2023</w:t>
      </w:r>
      <w:r>
        <w:rPr>
          <w:rFonts w:hint="eastAsia" w:ascii="方正小标宋_GBK" w:hAnsi="方正小标宋_GBK" w:eastAsia="方正小标宋_GBK" w:cs="方正小标宋_GBK"/>
          <w:sz w:val="84"/>
          <w:szCs w:val="84"/>
        </w:rPr>
        <w:t>年度</w:t>
      </w:r>
    </w:p>
    <w:p w14:paraId="1095A2DA">
      <w:pPr>
        <w:pStyle w:val="16"/>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岳阳市第十五中学部门决算</w:t>
      </w:r>
    </w:p>
    <w:p w14:paraId="3579515E">
      <w:pPr>
        <w:pStyle w:val="16"/>
        <w:jc w:val="center"/>
        <w:rPr>
          <w:rFonts w:ascii="方正小标宋_GBK" w:hAnsi="方正小标宋_GBK" w:eastAsia="方正小标宋_GBK" w:cs="方正小标宋_GBK"/>
          <w:sz w:val="56"/>
          <w:szCs w:val="56"/>
        </w:rPr>
      </w:pPr>
    </w:p>
    <w:p w14:paraId="5C292C27">
      <w:pPr>
        <w:pStyle w:val="16"/>
        <w:jc w:val="center"/>
        <w:rPr>
          <w:sz w:val="56"/>
          <w:szCs w:val="56"/>
        </w:rPr>
      </w:pPr>
    </w:p>
    <w:p w14:paraId="505D165F">
      <w:pPr>
        <w:pStyle w:val="16"/>
        <w:jc w:val="center"/>
        <w:rPr>
          <w:sz w:val="56"/>
          <w:szCs w:val="56"/>
        </w:rPr>
      </w:pPr>
    </w:p>
    <w:p w14:paraId="680DA718">
      <w:pPr>
        <w:pStyle w:val="16"/>
        <w:jc w:val="center"/>
        <w:rPr>
          <w:sz w:val="56"/>
          <w:szCs w:val="56"/>
        </w:rPr>
      </w:pPr>
    </w:p>
    <w:p w14:paraId="1CC58CD5">
      <w:pPr>
        <w:pStyle w:val="16"/>
        <w:jc w:val="center"/>
        <w:rPr>
          <w:sz w:val="32"/>
          <w:szCs w:val="32"/>
        </w:rPr>
      </w:pPr>
    </w:p>
    <w:p w14:paraId="5C4C5E24">
      <w:pPr>
        <w:pStyle w:val="16"/>
        <w:jc w:val="center"/>
        <w:rPr>
          <w:sz w:val="32"/>
          <w:szCs w:val="32"/>
        </w:rPr>
      </w:pPr>
    </w:p>
    <w:p w14:paraId="4AE04433">
      <w:pPr>
        <w:pStyle w:val="16"/>
        <w:jc w:val="center"/>
        <w:rPr>
          <w:sz w:val="32"/>
          <w:szCs w:val="32"/>
        </w:rPr>
      </w:pPr>
    </w:p>
    <w:p w14:paraId="434CBEB2">
      <w:pPr>
        <w:pStyle w:val="16"/>
        <w:jc w:val="center"/>
        <w:rPr>
          <w:sz w:val="32"/>
          <w:szCs w:val="32"/>
        </w:rPr>
      </w:pPr>
    </w:p>
    <w:p w14:paraId="5267A289">
      <w:pPr>
        <w:pStyle w:val="16"/>
        <w:jc w:val="center"/>
        <w:rPr>
          <w:sz w:val="32"/>
          <w:szCs w:val="32"/>
        </w:rPr>
      </w:pPr>
    </w:p>
    <w:p w14:paraId="42965822">
      <w:pPr>
        <w:pStyle w:val="16"/>
        <w:spacing w:line="540" w:lineRule="exact"/>
        <w:jc w:val="center"/>
        <w:rPr>
          <w:sz w:val="56"/>
          <w:szCs w:val="56"/>
        </w:rPr>
      </w:pPr>
    </w:p>
    <w:p w14:paraId="34BC7888">
      <w:pPr>
        <w:pStyle w:val="16"/>
        <w:spacing w:line="500" w:lineRule="exact"/>
        <w:jc w:val="both"/>
        <w:rPr>
          <w:b/>
          <w:sz w:val="36"/>
          <w:szCs w:val="28"/>
        </w:rPr>
      </w:pPr>
    </w:p>
    <w:p w14:paraId="238AB43F">
      <w:pPr>
        <w:pStyle w:val="16"/>
        <w:spacing w:line="500" w:lineRule="exact"/>
        <w:jc w:val="center"/>
        <w:rPr>
          <w:b/>
          <w:sz w:val="36"/>
          <w:szCs w:val="28"/>
        </w:rPr>
      </w:pPr>
      <w:r>
        <w:rPr>
          <w:rFonts w:hint="eastAsia"/>
          <w:b/>
          <w:sz w:val="36"/>
          <w:szCs w:val="28"/>
        </w:rPr>
        <w:t>目录</w:t>
      </w:r>
    </w:p>
    <w:p w14:paraId="16D1B074">
      <w:pPr>
        <w:pStyle w:val="16"/>
        <w:spacing w:line="500" w:lineRule="exact"/>
        <w:rPr>
          <w:rFonts w:hAnsi="黑体"/>
          <w:bCs/>
          <w:sz w:val="28"/>
          <w:szCs w:val="28"/>
        </w:rPr>
      </w:pPr>
      <w:r>
        <w:rPr>
          <w:rFonts w:hint="eastAsia" w:hAnsi="黑体"/>
          <w:bCs/>
          <w:sz w:val="28"/>
          <w:szCs w:val="28"/>
        </w:rPr>
        <w:t>第一部分</w:t>
      </w:r>
      <w:r>
        <w:rPr>
          <w:rFonts w:hAnsi="黑体"/>
          <w:bCs/>
          <w:sz w:val="28"/>
          <w:szCs w:val="28"/>
        </w:rPr>
        <w:t xml:space="preserve"> </w:t>
      </w:r>
      <w:r>
        <w:rPr>
          <w:rFonts w:hint="eastAsia" w:hAnsi="黑体"/>
          <w:bCs/>
          <w:sz w:val="28"/>
          <w:szCs w:val="28"/>
        </w:rPr>
        <w:t>岳阳市第十五中学概况</w:t>
      </w:r>
    </w:p>
    <w:p w14:paraId="1FAA3290">
      <w:pPr>
        <w:pStyle w:val="16"/>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580D6238">
      <w:pPr>
        <w:pStyle w:val="16"/>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二、机构设置及决算单位构成</w:t>
      </w:r>
    </w:p>
    <w:p w14:paraId="261465D9">
      <w:pPr>
        <w:pStyle w:val="16"/>
        <w:spacing w:line="500" w:lineRule="exact"/>
        <w:rPr>
          <w:rFonts w:hAnsi="黑体"/>
          <w:bCs/>
          <w:sz w:val="28"/>
          <w:szCs w:val="28"/>
        </w:rPr>
      </w:pPr>
      <w:r>
        <w:rPr>
          <w:rFonts w:hint="eastAsia" w:hAnsi="黑体"/>
          <w:bCs/>
          <w:sz w:val="28"/>
          <w:szCs w:val="28"/>
        </w:rPr>
        <w:t>第二部分</w:t>
      </w:r>
      <w:r>
        <w:rPr>
          <w:rFonts w:hAnsi="黑体"/>
          <w:bCs/>
          <w:sz w:val="28"/>
          <w:szCs w:val="28"/>
        </w:rPr>
        <w:t xml:space="preserve"> </w:t>
      </w:r>
      <w:r>
        <w:rPr>
          <w:rFonts w:hint="eastAsia" w:hAnsi="黑体"/>
          <w:bCs/>
          <w:sz w:val="28"/>
          <w:szCs w:val="28"/>
        </w:rPr>
        <w:t>部门决算表</w:t>
      </w:r>
    </w:p>
    <w:p w14:paraId="236A1419">
      <w:pPr>
        <w:pStyle w:val="16"/>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1FDB242D">
      <w:pPr>
        <w:pStyle w:val="16"/>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7F7A106C">
      <w:pPr>
        <w:pStyle w:val="16"/>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49C49CCD">
      <w:pPr>
        <w:pStyle w:val="16"/>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704906B2">
      <w:pPr>
        <w:pStyle w:val="16"/>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7F8A1382">
      <w:pPr>
        <w:pStyle w:val="16"/>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3104C0BF">
      <w:pPr>
        <w:pStyle w:val="16"/>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7D60105A">
      <w:pPr>
        <w:pStyle w:val="16"/>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537CD0F7">
      <w:pPr>
        <w:pStyle w:val="16"/>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15A2DCBF">
      <w:pPr>
        <w:pStyle w:val="16"/>
        <w:spacing w:line="500" w:lineRule="exact"/>
        <w:rPr>
          <w:rFonts w:hAnsi="黑体"/>
          <w:bCs/>
          <w:sz w:val="28"/>
          <w:szCs w:val="28"/>
        </w:rPr>
      </w:pPr>
      <w:r>
        <w:rPr>
          <w:rFonts w:hint="eastAsia" w:hAnsi="黑体"/>
          <w:bCs/>
          <w:sz w:val="28"/>
          <w:szCs w:val="28"/>
        </w:rPr>
        <w:t>第三部分</w:t>
      </w:r>
      <w:r>
        <w:rPr>
          <w:rFonts w:hAnsi="黑体"/>
          <w:bCs/>
          <w:sz w:val="28"/>
          <w:szCs w:val="28"/>
        </w:rPr>
        <w:t xml:space="preserve"> </w:t>
      </w:r>
      <w:r>
        <w:rPr>
          <w:rFonts w:hint="eastAsia" w:hAnsi="黑体"/>
          <w:bCs/>
          <w:sz w:val="28"/>
          <w:szCs w:val="28"/>
        </w:rPr>
        <w:t>部门决算情况说明</w:t>
      </w:r>
    </w:p>
    <w:p w14:paraId="1C5B0803">
      <w:pPr>
        <w:pStyle w:val="16"/>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15A4186A">
      <w:pPr>
        <w:spacing w:line="500" w:lineRule="exact"/>
        <w:ind w:firstLine="700" w:firstLineChars="2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56C7071C">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6E6069CA">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130EDADF">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4B5FC49A">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0C5BE37B">
      <w:pPr>
        <w:autoSpaceDE w:val="0"/>
        <w:autoSpaceDN w:val="0"/>
        <w:adjustRightInd w:val="0"/>
        <w:spacing w:line="48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七、政府性基金预算收入支出决算情况</w:t>
      </w:r>
    </w:p>
    <w:p w14:paraId="1A3AF118">
      <w:pPr>
        <w:autoSpaceDE w:val="0"/>
        <w:autoSpaceDN w:val="0"/>
        <w:adjustRightInd w:val="0"/>
        <w:spacing w:line="48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w:t>
      </w:r>
      <w:r>
        <w:rPr>
          <w:rFonts w:hint="eastAsia" w:ascii="仿宋_GB2312" w:hAnsi="仿宋_GB2312" w:eastAsia="仿宋_GB2312" w:cs="仿宋_GB2312"/>
          <w:sz w:val="28"/>
          <w:szCs w:val="28"/>
        </w:rPr>
        <w:t>国有资本经营预算财政拨款支出决算情况</w:t>
      </w:r>
    </w:p>
    <w:p w14:paraId="3831E2D1">
      <w:pPr>
        <w:autoSpaceDE w:val="0"/>
        <w:autoSpaceDN w:val="0"/>
        <w:adjustRightInd w:val="0"/>
        <w:spacing w:line="48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九、财政拨款三公经费支出决算情况说明</w:t>
      </w:r>
    </w:p>
    <w:p w14:paraId="30F2CBC9">
      <w:pPr>
        <w:autoSpaceDE w:val="0"/>
        <w:autoSpaceDN w:val="0"/>
        <w:adjustRightInd w:val="0"/>
        <w:spacing w:line="48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14:paraId="5E37B530">
      <w:pPr>
        <w:autoSpaceDE w:val="0"/>
        <w:autoSpaceDN w:val="0"/>
        <w:adjustRightInd w:val="0"/>
        <w:spacing w:line="48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十一、一般性支出情况说明</w:t>
      </w:r>
    </w:p>
    <w:p w14:paraId="467FEDBF">
      <w:pPr>
        <w:autoSpaceDE w:val="0"/>
        <w:autoSpaceDN w:val="0"/>
        <w:adjustRightInd w:val="0"/>
        <w:spacing w:line="48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十二、</w:t>
      </w:r>
      <w:r>
        <w:rPr>
          <w:rFonts w:hint="eastAsia" w:ascii="仿宋_GB2312" w:hAnsi="仿宋_GB2312" w:eastAsia="仿宋_GB2312" w:cs="仿宋_GB2312"/>
          <w:color w:val="000000"/>
          <w:kern w:val="0"/>
          <w:sz w:val="28"/>
          <w:szCs w:val="28"/>
        </w:rPr>
        <w:t>关于政府采购支出说明</w:t>
      </w:r>
    </w:p>
    <w:p w14:paraId="47FF7BD6">
      <w:pPr>
        <w:autoSpaceDE w:val="0"/>
        <w:autoSpaceDN w:val="0"/>
        <w:adjustRightInd w:val="0"/>
        <w:spacing w:line="480" w:lineRule="exact"/>
        <w:ind w:firstLine="700" w:firstLineChars="25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十三、关于国有资产占用情况说明</w:t>
      </w:r>
    </w:p>
    <w:p w14:paraId="4BCFBCBF">
      <w:pPr>
        <w:pStyle w:val="16"/>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十四、关于</w:t>
      </w:r>
      <w:r>
        <w:rPr>
          <w:rFonts w:ascii="Times New Roman" w:hAnsi="Times New Roman" w:eastAsia="仿宋_GB2312" w:cs="Times New Roman"/>
          <w:sz w:val="28"/>
          <w:szCs w:val="28"/>
        </w:rPr>
        <w:t>2023</w:t>
      </w:r>
      <w:r>
        <w:rPr>
          <w:rFonts w:hint="eastAsia" w:ascii="仿宋_GB2312" w:hAnsi="仿宋_GB2312" w:eastAsia="仿宋_GB2312" w:cs="仿宋_GB2312"/>
          <w:sz w:val="28"/>
          <w:szCs w:val="28"/>
        </w:rPr>
        <w:t>年度预算绩效情况的说明</w:t>
      </w:r>
    </w:p>
    <w:p w14:paraId="2F8F97D2">
      <w:pPr>
        <w:pStyle w:val="16"/>
        <w:spacing w:line="500" w:lineRule="exact"/>
        <w:rPr>
          <w:rFonts w:hAnsi="黑体"/>
          <w:bCs/>
          <w:sz w:val="28"/>
          <w:szCs w:val="28"/>
        </w:rPr>
      </w:pPr>
      <w:r>
        <w:rPr>
          <w:rFonts w:hint="eastAsia" w:hAnsi="黑体"/>
          <w:bCs/>
          <w:sz w:val="28"/>
          <w:szCs w:val="28"/>
        </w:rPr>
        <w:t>第四部分</w:t>
      </w:r>
      <w:r>
        <w:rPr>
          <w:rFonts w:hAnsi="黑体"/>
          <w:bCs/>
          <w:sz w:val="28"/>
          <w:szCs w:val="28"/>
        </w:rPr>
        <w:t xml:space="preserve"> </w:t>
      </w:r>
      <w:r>
        <w:rPr>
          <w:rFonts w:hint="eastAsia" w:hAnsi="黑体"/>
          <w:bCs/>
          <w:sz w:val="28"/>
          <w:szCs w:val="28"/>
        </w:rPr>
        <w:t>名词解释</w:t>
      </w:r>
    </w:p>
    <w:p w14:paraId="2AE3EAA9">
      <w:pPr>
        <w:pStyle w:val="16"/>
        <w:spacing w:line="500" w:lineRule="exact"/>
        <w:rPr>
          <w:rFonts w:hAnsi="黑体"/>
          <w:bCs/>
          <w:sz w:val="28"/>
          <w:szCs w:val="28"/>
        </w:rPr>
      </w:pPr>
      <w:r>
        <w:rPr>
          <w:rFonts w:hint="eastAsia" w:hAnsi="黑体"/>
          <w:bCs/>
          <w:sz w:val="28"/>
          <w:szCs w:val="28"/>
        </w:rPr>
        <w:t>第五部分</w:t>
      </w:r>
      <w:r>
        <w:rPr>
          <w:rFonts w:hAnsi="黑体"/>
          <w:bCs/>
          <w:sz w:val="28"/>
          <w:szCs w:val="28"/>
        </w:rPr>
        <w:t xml:space="preserve"> </w:t>
      </w:r>
      <w:r>
        <w:rPr>
          <w:rFonts w:hint="eastAsia" w:hAnsi="黑体"/>
          <w:bCs/>
          <w:sz w:val="28"/>
          <w:szCs w:val="28"/>
        </w:rPr>
        <w:t>附件</w:t>
      </w:r>
    </w:p>
    <w:p w14:paraId="147AAE0B">
      <w:pPr>
        <w:pStyle w:val="16"/>
        <w:jc w:val="center"/>
        <w:rPr>
          <w:rFonts w:ascii="方正小标宋_GBK" w:hAnsi="方正小标宋_GBK" w:eastAsia="方正小标宋_GBK" w:cs="方正小标宋_GBK"/>
          <w:sz w:val="84"/>
          <w:szCs w:val="84"/>
        </w:rPr>
      </w:pPr>
    </w:p>
    <w:p w14:paraId="02A3D0F4">
      <w:pPr>
        <w:pStyle w:val="16"/>
        <w:jc w:val="center"/>
        <w:rPr>
          <w:rFonts w:ascii="方正小标宋_GBK" w:hAnsi="方正小标宋_GBK" w:eastAsia="方正小标宋_GBK" w:cs="方正小标宋_GBK"/>
          <w:sz w:val="84"/>
          <w:szCs w:val="84"/>
        </w:rPr>
      </w:pPr>
    </w:p>
    <w:p w14:paraId="631F11AA">
      <w:pPr>
        <w:pStyle w:val="16"/>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第一部分</w:t>
      </w:r>
      <w:r>
        <w:rPr>
          <w:rFonts w:ascii="方正小标宋_GBK" w:hAnsi="方正小标宋_GBK" w:eastAsia="方正小标宋_GBK" w:cs="方正小标宋_GBK"/>
          <w:sz w:val="84"/>
          <w:szCs w:val="84"/>
        </w:rPr>
        <w:t xml:space="preserve"> </w:t>
      </w:r>
    </w:p>
    <w:p w14:paraId="512449AF">
      <w:pPr>
        <w:pStyle w:val="16"/>
        <w:jc w:val="center"/>
        <w:rPr>
          <w:rFonts w:ascii="方正小标宋_GBK" w:hAnsi="方正小标宋_GBK" w:eastAsia="方正小标宋_GBK" w:cs="方正小标宋_GBK"/>
          <w:sz w:val="84"/>
          <w:szCs w:val="84"/>
        </w:rPr>
      </w:pPr>
    </w:p>
    <w:p w14:paraId="467B5876">
      <w:pPr>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岳阳市第十五中学概况</w:t>
      </w:r>
    </w:p>
    <w:p w14:paraId="2AB0A9AE">
      <w:pPr>
        <w:pStyle w:val="2"/>
        <w:rPr>
          <w:rFonts w:ascii="方正小标宋_GBK" w:hAnsi="方正小标宋_GBK" w:eastAsia="方正小标宋_GBK" w:cs="方正小标宋_GBK"/>
          <w:sz w:val="84"/>
          <w:szCs w:val="84"/>
        </w:rPr>
      </w:pPr>
    </w:p>
    <w:p w14:paraId="0D57E036">
      <w:pPr>
        <w:pStyle w:val="3"/>
        <w:ind w:left="31680" w:firstLine="31680"/>
        <w:rPr>
          <w:rFonts w:ascii="方正小标宋_GBK" w:hAnsi="方正小标宋_GBK" w:eastAsia="方正小标宋_GBK" w:cs="方正小标宋_GBK"/>
          <w:sz w:val="84"/>
          <w:szCs w:val="84"/>
        </w:rPr>
      </w:pPr>
    </w:p>
    <w:p w14:paraId="07FFDE67">
      <w:pPr>
        <w:rPr>
          <w:rFonts w:ascii="方正小标宋_GBK" w:hAnsi="方正小标宋_GBK" w:eastAsia="方正小标宋_GBK" w:cs="方正小标宋_GBK"/>
          <w:sz w:val="84"/>
          <w:szCs w:val="84"/>
        </w:rPr>
      </w:pPr>
    </w:p>
    <w:p w14:paraId="044598C6">
      <w:pPr>
        <w:pStyle w:val="2"/>
        <w:rPr>
          <w:rFonts w:ascii="方正小标宋_GBK" w:hAnsi="方正小标宋_GBK" w:eastAsia="方正小标宋_GBK" w:cs="方正小标宋_GBK"/>
          <w:sz w:val="84"/>
          <w:szCs w:val="84"/>
        </w:rPr>
      </w:pPr>
    </w:p>
    <w:p w14:paraId="44A45077">
      <w:pPr>
        <w:pStyle w:val="3"/>
        <w:ind w:left="31680" w:firstLine="31680"/>
        <w:rPr>
          <w:rFonts w:ascii="方正小标宋_GBK" w:hAnsi="方正小标宋_GBK" w:eastAsia="方正小标宋_GBK" w:cs="方正小标宋_GBK"/>
          <w:sz w:val="84"/>
          <w:szCs w:val="84"/>
        </w:rPr>
      </w:pPr>
    </w:p>
    <w:p w14:paraId="3778E752">
      <w:pPr>
        <w:pStyle w:val="17"/>
        <w:numPr>
          <w:ilvl w:val="0"/>
          <w:numId w:val="1"/>
        </w:numPr>
        <w:ind w:firstLineChars="0"/>
        <w:jc w:val="left"/>
        <w:rPr>
          <w:rFonts w:ascii="黑体" w:hAnsi="黑体" w:eastAsia="黑体" w:cs="黑体"/>
          <w:sz w:val="32"/>
          <w:szCs w:val="32"/>
        </w:rPr>
      </w:pPr>
      <w:r>
        <w:rPr>
          <w:rFonts w:hint="eastAsia" w:ascii="黑体" w:hAnsi="黑体" w:eastAsia="黑体" w:cs="黑体"/>
          <w:sz w:val="32"/>
          <w:szCs w:val="32"/>
        </w:rPr>
        <w:t>部门职责</w:t>
      </w:r>
    </w:p>
    <w:p w14:paraId="5DDEF2FA">
      <w:pPr>
        <w:ind w:firstLine="700" w:firstLineChars="250"/>
        <w:jc w:val="left"/>
        <w:rPr>
          <w:rFonts w:ascii="宋体" w:cs="仿宋_GB2312"/>
          <w:sz w:val="28"/>
          <w:szCs w:val="28"/>
        </w:rPr>
      </w:pPr>
      <w:r>
        <w:rPr>
          <w:rFonts w:hint="eastAsia" w:ascii="宋体" w:hAnsi="宋体" w:cs="仿宋_GB2312"/>
          <w:sz w:val="28"/>
          <w:szCs w:val="28"/>
        </w:rPr>
        <w:t>（一）办公室负责行政协调、党务、宣传、人事、计生、工资福利及有关内部事务的管理；</w:t>
      </w:r>
    </w:p>
    <w:p w14:paraId="438A65B1">
      <w:pPr>
        <w:ind w:firstLine="700" w:firstLineChars="250"/>
        <w:jc w:val="left"/>
        <w:rPr>
          <w:rFonts w:ascii="宋体" w:cs="仿宋_GB2312"/>
          <w:sz w:val="28"/>
          <w:szCs w:val="28"/>
        </w:rPr>
      </w:pPr>
      <w:r>
        <w:rPr>
          <w:rFonts w:hint="eastAsia" w:ascii="宋体" w:hAnsi="宋体" w:cs="仿宋_GB2312"/>
          <w:sz w:val="28"/>
          <w:szCs w:val="28"/>
        </w:rPr>
        <w:t>（二）教务处负责学校教育教学常规管理，以及有关教育教学的场、馆、室和设备的管理；</w:t>
      </w:r>
    </w:p>
    <w:p w14:paraId="168B1B22">
      <w:pPr>
        <w:ind w:firstLine="700" w:firstLineChars="250"/>
        <w:jc w:val="left"/>
        <w:rPr>
          <w:rFonts w:ascii="宋体" w:cs="仿宋_GB2312"/>
          <w:sz w:val="28"/>
          <w:szCs w:val="28"/>
        </w:rPr>
      </w:pPr>
      <w:r>
        <w:rPr>
          <w:rFonts w:hint="eastAsia" w:ascii="宋体" w:hAnsi="宋体" w:cs="仿宋_GB2312"/>
          <w:sz w:val="28"/>
          <w:szCs w:val="28"/>
        </w:rPr>
        <w:t>（三）德育处负责学校德育工作、班主任工作管理和学生思想政治教育，抓好校园保卫和环保工作；</w:t>
      </w:r>
    </w:p>
    <w:p w14:paraId="2C79A7CB">
      <w:pPr>
        <w:ind w:firstLine="700" w:firstLineChars="250"/>
        <w:jc w:val="left"/>
        <w:rPr>
          <w:rFonts w:ascii="宋体" w:cs="仿宋_GB2312"/>
          <w:sz w:val="28"/>
          <w:szCs w:val="28"/>
        </w:rPr>
      </w:pPr>
      <w:r>
        <w:rPr>
          <w:rFonts w:hint="eastAsia" w:ascii="宋体" w:hAnsi="宋体" w:cs="仿宋_GB2312"/>
          <w:sz w:val="28"/>
          <w:szCs w:val="28"/>
        </w:rPr>
        <w:t>（四）教研处负责制定学校科研计划，指导教师开展教学科研和课题研究工作；</w:t>
      </w:r>
    </w:p>
    <w:p w14:paraId="45B76D7E">
      <w:pPr>
        <w:ind w:firstLine="700" w:firstLineChars="250"/>
        <w:jc w:val="left"/>
        <w:rPr>
          <w:rFonts w:ascii="宋体" w:cs="仿宋_GB2312"/>
          <w:sz w:val="28"/>
          <w:szCs w:val="28"/>
        </w:rPr>
      </w:pPr>
      <w:r>
        <w:rPr>
          <w:rFonts w:hint="eastAsia" w:ascii="宋体" w:hAnsi="宋体" w:cs="仿宋_GB2312"/>
          <w:sz w:val="28"/>
          <w:szCs w:val="28"/>
        </w:rPr>
        <w:t>（五）后勤处负责学校后勤事务、财务、物业管理，优化校园建设，指导后勤服务中心开展工作，发展校园经济。</w:t>
      </w:r>
    </w:p>
    <w:p w14:paraId="2AB4D21E">
      <w:pPr>
        <w:widowControl/>
        <w:spacing w:line="600" w:lineRule="exact"/>
        <w:rPr>
          <w:rFonts w:ascii="黑体" w:hAnsi="黑体" w:eastAsia="黑体" w:cs="黑体"/>
          <w:bCs/>
          <w:kern w:val="0"/>
          <w:sz w:val="32"/>
          <w:szCs w:val="32"/>
        </w:rPr>
      </w:pPr>
      <w:r>
        <w:rPr>
          <w:rFonts w:hint="eastAsia" w:ascii="黑体" w:hAnsi="黑体" w:eastAsia="黑体" w:cs="黑体"/>
          <w:bCs/>
          <w:kern w:val="0"/>
          <w:sz w:val="32"/>
          <w:szCs w:val="32"/>
        </w:rPr>
        <w:t>二、机构设置及决算单位构成</w:t>
      </w:r>
    </w:p>
    <w:p w14:paraId="4ED58B2F">
      <w:pPr>
        <w:widowControl/>
        <w:spacing w:line="600" w:lineRule="exact"/>
        <w:ind w:firstLine="560" w:firstLineChars="200"/>
        <w:rPr>
          <w:rFonts w:ascii="宋体" w:cs="仿宋_GB2312"/>
          <w:bCs/>
          <w:kern w:val="0"/>
          <w:sz w:val="28"/>
          <w:szCs w:val="28"/>
        </w:rPr>
      </w:pPr>
      <w:r>
        <w:rPr>
          <w:rFonts w:hint="eastAsia" w:ascii="宋体" w:hAnsi="宋体" w:cs="仿宋_GB2312"/>
          <w:bCs/>
          <w:kern w:val="0"/>
          <w:sz w:val="28"/>
          <w:szCs w:val="28"/>
        </w:rPr>
        <w:t>（一）内设机构设置。我校现有组织机构</w:t>
      </w:r>
      <w:r>
        <w:rPr>
          <w:rFonts w:ascii="宋体" w:hAnsi="宋体" w:cs="仿宋_GB2312"/>
          <w:bCs/>
          <w:kern w:val="0"/>
          <w:sz w:val="28"/>
          <w:szCs w:val="28"/>
        </w:rPr>
        <w:t>1</w:t>
      </w:r>
      <w:r>
        <w:rPr>
          <w:rFonts w:hint="eastAsia" w:ascii="宋体" w:hAnsi="宋体" w:cs="仿宋_GB2312"/>
          <w:bCs/>
          <w:kern w:val="0"/>
          <w:sz w:val="28"/>
          <w:szCs w:val="28"/>
        </w:rPr>
        <w:t>个，</w:t>
      </w:r>
      <w:r>
        <w:rPr>
          <w:rFonts w:hint="eastAsia" w:ascii="宋体" w:hAnsi="宋体"/>
          <w:sz w:val="28"/>
          <w:szCs w:val="28"/>
          <w:shd w:val="clear" w:color="auto" w:fill="FFFFFF"/>
        </w:rPr>
        <w:t>党政办、教务处、政教处、教师发展中心、工会、信息中心、心理咨询中心、督导室、团委、财务中心、后勤处。</w:t>
      </w:r>
    </w:p>
    <w:p w14:paraId="084AD488">
      <w:pPr>
        <w:widowControl/>
        <w:spacing w:line="600" w:lineRule="exact"/>
        <w:ind w:firstLine="560" w:firstLineChars="200"/>
        <w:rPr>
          <w:rFonts w:ascii="宋体"/>
          <w:kern w:val="0"/>
          <w:sz w:val="28"/>
          <w:szCs w:val="28"/>
        </w:rPr>
      </w:pPr>
      <w:r>
        <w:rPr>
          <w:rFonts w:hint="eastAsia" w:ascii="宋体" w:hAnsi="宋体"/>
          <w:kern w:val="0"/>
          <w:sz w:val="28"/>
          <w:szCs w:val="28"/>
        </w:rPr>
        <w:t>（二）决算单位构成。本单位无独立核算的下属单位，</w:t>
      </w:r>
      <w:r>
        <w:rPr>
          <w:rFonts w:ascii="宋体" w:hAnsi="宋体"/>
          <w:kern w:val="0"/>
          <w:sz w:val="28"/>
          <w:szCs w:val="28"/>
        </w:rPr>
        <w:t>2022</w:t>
      </w:r>
      <w:r>
        <w:rPr>
          <w:rFonts w:hint="eastAsia" w:ascii="宋体" w:hAnsi="宋体"/>
          <w:kern w:val="0"/>
          <w:sz w:val="28"/>
          <w:szCs w:val="28"/>
        </w:rPr>
        <w:t>年度部门决算汇总公开单位仅包括岳阳市第十五中学单位本级结算。</w:t>
      </w:r>
    </w:p>
    <w:p w14:paraId="67788353"/>
    <w:p w14:paraId="6D01CA26">
      <w:pPr>
        <w:pStyle w:val="2"/>
      </w:pPr>
    </w:p>
    <w:p w14:paraId="709EFA3C"/>
    <w:p w14:paraId="104082AB">
      <w:pPr>
        <w:pStyle w:val="16"/>
        <w:jc w:val="center"/>
        <w:rPr>
          <w:rFonts w:ascii="方正小标宋_GBK" w:hAnsi="方正小标宋_GBK" w:eastAsia="方正小标宋_GBK" w:cs="方正小标宋_GBK"/>
          <w:sz w:val="84"/>
          <w:szCs w:val="84"/>
        </w:rPr>
      </w:pPr>
    </w:p>
    <w:p w14:paraId="61B65329">
      <w:pPr>
        <w:pStyle w:val="16"/>
        <w:jc w:val="center"/>
        <w:rPr>
          <w:rFonts w:ascii="方正小标宋_GBK" w:hAnsi="方正小标宋_GBK" w:eastAsia="方正小标宋_GBK" w:cs="方正小标宋_GBK"/>
          <w:sz w:val="84"/>
          <w:szCs w:val="84"/>
        </w:rPr>
      </w:pPr>
    </w:p>
    <w:p w14:paraId="589CCE52">
      <w:pPr>
        <w:pStyle w:val="16"/>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2D259F35">
      <w:pPr>
        <w:pStyle w:val="16"/>
        <w:jc w:val="center"/>
        <w:rPr>
          <w:rFonts w:ascii="方正小标宋_GBK" w:hAnsi="方正小标宋_GBK" w:eastAsia="方正小标宋_GBK" w:cs="方正小标宋_GBK"/>
          <w:sz w:val="84"/>
          <w:szCs w:val="84"/>
        </w:rPr>
      </w:pPr>
    </w:p>
    <w:p w14:paraId="192754F3">
      <w:pPr>
        <w:pStyle w:val="16"/>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571640F3">
      <w:pPr>
        <w:pStyle w:val="16"/>
        <w:jc w:val="center"/>
        <w:rPr>
          <w:rFonts w:ascii="仿宋_GB2312" w:hAnsi="仿宋_GB2312" w:eastAsia="仿宋_GB2312" w:cs="仿宋_GB2312"/>
          <w:sz w:val="72"/>
          <w:szCs w:val="72"/>
        </w:rPr>
      </w:pPr>
      <w:r>
        <w:rPr>
          <w:rFonts w:hint="eastAsia" w:ascii="仿宋_GB2312" w:hAnsi="仿宋_GB2312" w:eastAsia="仿宋_GB2312" w:cs="仿宋_GB2312"/>
          <w:sz w:val="72"/>
          <w:szCs w:val="72"/>
        </w:rPr>
        <w:t>（见附件）</w:t>
      </w:r>
    </w:p>
    <w:p w14:paraId="3EC83195">
      <w:pPr>
        <w:pStyle w:val="16"/>
        <w:jc w:val="center"/>
        <w:rPr>
          <w:rFonts w:ascii="仿宋_GB2312" w:hAnsi="仿宋_GB2312" w:eastAsia="仿宋_GB2312" w:cs="仿宋_GB2312"/>
          <w:sz w:val="72"/>
          <w:szCs w:val="72"/>
        </w:rPr>
      </w:pPr>
    </w:p>
    <w:p w14:paraId="3CA7383C">
      <w:pPr>
        <w:pStyle w:val="16"/>
        <w:jc w:val="center"/>
        <w:rPr>
          <w:rFonts w:ascii="仿宋_GB2312" w:hAnsi="仿宋_GB2312" w:eastAsia="仿宋_GB2312" w:cs="仿宋_GB2312"/>
          <w:sz w:val="72"/>
          <w:szCs w:val="72"/>
        </w:rPr>
      </w:pPr>
    </w:p>
    <w:p w14:paraId="081F85E3">
      <w:pPr>
        <w:pStyle w:val="16"/>
        <w:jc w:val="center"/>
        <w:rPr>
          <w:rFonts w:ascii="仿宋_GB2312" w:hAnsi="仿宋_GB2312" w:eastAsia="仿宋_GB2312" w:cs="仿宋_GB2312"/>
          <w:sz w:val="72"/>
          <w:szCs w:val="72"/>
        </w:rPr>
      </w:pPr>
    </w:p>
    <w:p w14:paraId="51771679">
      <w:pPr>
        <w:pStyle w:val="16"/>
        <w:jc w:val="center"/>
        <w:rPr>
          <w:rFonts w:ascii="仿宋_GB2312" w:hAnsi="仿宋_GB2312" w:eastAsia="仿宋_GB2312" w:cs="仿宋_GB2312"/>
          <w:sz w:val="72"/>
          <w:szCs w:val="72"/>
        </w:rPr>
      </w:pPr>
    </w:p>
    <w:p w14:paraId="0854C7DD">
      <w:pPr>
        <w:pStyle w:val="16"/>
        <w:jc w:val="center"/>
        <w:rPr>
          <w:rFonts w:ascii="仿宋_GB2312" w:hAnsi="仿宋_GB2312" w:eastAsia="仿宋_GB2312" w:cs="仿宋_GB2312"/>
          <w:sz w:val="72"/>
          <w:szCs w:val="72"/>
        </w:rPr>
      </w:pPr>
    </w:p>
    <w:p w14:paraId="248C5535">
      <w:pPr>
        <w:pStyle w:val="16"/>
        <w:jc w:val="center"/>
        <w:rPr>
          <w:rFonts w:ascii="仿宋_GB2312" w:hAnsi="仿宋_GB2312" w:eastAsia="仿宋_GB2312" w:cs="仿宋_GB2312"/>
          <w:sz w:val="72"/>
          <w:szCs w:val="72"/>
        </w:rPr>
      </w:pPr>
    </w:p>
    <w:p w14:paraId="2EA90677">
      <w:pPr>
        <w:pStyle w:val="16"/>
        <w:jc w:val="center"/>
        <w:rPr>
          <w:rFonts w:ascii="仿宋_GB2312" w:hAnsi="仿宋_GB2312" w:eastAsia="仿宋_GB2312" w:cs="仿宋_GB2312"/>
          <w:sz w:val="72"/>
          <w:szCs w:val="72"/>
        </w:rPr>
      </w:pPr>
    </w:p>
    <w:p w14:paraId="156C07C2">
      <w:pPr>
        <w:pStyle w:val="16"/>
        <w:jc w:val="center"/>
        <w:rPr>
          <w:rFonts w:ascii="方正小标宋_GBK" w:hAnsi="方正小标宋_GBK" w:eastAsia="方正小标宋_GBK" w:cs="方正小标宋_GBK"/>
          <w:sz w:val="72"/>
          <w:szCs w:val="72"/>
        </w:rPr>
      </w:pPr>
    </w:p>
    <w:p w14:paraId="6234D417">
      <w:pPr>
        <w:pStyle w:val="16"/>
        <w:jc w:val="center"/>
        <w:rPr>
          <w:rFonts w:ascii="方正小标宋_GBK" w:hAnsi="方正小标宋_GBK" w:eastAsia="方正小标宋_GBK" w:cs="方正小标宋_GBK"/>
          <w:sz w:val="72"/>
          <w:szCs w:val="72"/>
        </w:rPr>
      </w:pPr>
    </w:p>
    <w:p w14:paraId="36C32700">
      <w:pPr>
        <w:pStyle w:val="16"/>
        <w:jc w:val="both"/>
        <w:rPr>
          <w:rFonts w:ascii="方正小标宋_GBK" w:hAnsi="方正小标宋_GBK" w:eastAsia="方正小标宋_GBK" w:cs="方正小标宋_GBK"/>
          <w:sz w:val="72"/>
          <w:szCs w:val="72"/>
        </w:rPr>
      </w:pPr>
    </w:p>
    <w:p w14:paraId="1E5E22F6">
      <w:pPr>
        <w:pStyle w:val="16"/>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686A6884">
      <w:pPr>
        <w:pStyle w:val="16"/>
        <w:jc w:val="center"/>
        <w:rPr>
          <w:rFonts w:ascii="方正小标宋_GBK" w:hAnsi="方正小标宋_GBK" w:eastAsia="方正小标宋_GBK" w:cs="方正小标宋_GBK"/>
          <w:sz w:val="70"/>
          <w:szCs w:val="70"/>
        </w:rPr>
      </w:pPr>
    </w:p>
    <w:p w14:paraId="36B928BB">
      <w:pPr>
        <w:pStyle w:val="16"/>
        <w:jc w:val="center"/>
        <w:rPr>
          <w:rFonts w:ascii="方正小标宋_GBK" w:hAnsi="方正小标宋_GBK" w:eastAsia="方正小标宋_GBK" w:cs="方正小标宋_GBK"/>
          <w:sz w:val="70"/>
          <w:szCs w:val="70"/>
        </w:rPr>
      </w:pPr>
      <w:r>
        <w:rPr>
          <w:rFonts w:ascii="方正小标宋_GBK" w:hAnsi="方正小标宋_GBK" w:eastAsia="方正小标宋_GBK" w:cs="方正小标宋_GBK"/>
          <w:sz w:val="70"/>
          <w:szCs w:val="70"/>
        </w:rPr>
        <w:t>2023</w:t>
      </w:r>
      <w:r>
        <w:rPr>
          <w:rFonts w:hint="eastAsia" w:ascii="方正小标宋_GBK" w:hAnsi="方正小标宋_GBK" w:eastAsia="方正小标宋_GBK" w:cs="方正小标宋_GBK"/>
          <w:sz w:val="70"/>
          <w:szCs w:val="70"/>
        </w:rPr>
        <w:t>年度部门决算情况说明</w:t>
      </w:r>
    </w:p>
    <w:p w14:paraId="1216B12A">
      <w:pPr>
        <w:pStyle w:val="16"/>
        <w:jc w:val="center"/>
        <w:rPr>
          <w:rFonts w:ascii="方正小标宋_GBK" w:hAnsi="方正小标宋_GBK" w:eastAsia="方正小标宋_GBK" w:cs="方正小标宋_GBK"/>
          <w:sz w:val="70"/>
          <w:szCs w:val="70"/>
        </w:rPr>
      </w:pPr>
    </w:p>
    <w:p w14:paraId="57B089C1">
      <w:pPr>
        <w:pStyle w:val="16"/>
        <w:jc w:val="center"/>
        <w:rPr>
          <w:rFonts w:ascii="方正小标宋_GBK" w:hAnsi="方正小标宋_GBK" w:eastAsia="方正小标宋_GBK" w:cs="方正小标宋_GBK"/>
          <w:sz w:val="70"/>
          <w:szCs w:val="70"/>
        </w:rPr>
      </w:pPr>
    </w:p>
    <w:p w14:paraId="210954CB">
      <w:pPr>
        <w:pStyle w:val="16"/>
        <w:jc w:val="center"/>
        <w:rPr>
          <w:rFonts w:ascii="方正小标宋_GBK" w:hAnsi="方正小标宋_GBK" w:eastAsia="方正小标宋_GBK" w:cs="方正小标宋_GBK"/>
          <w:sz w:val="70"/>
          <w:szCs w:val="70"/>
        </w:rPr>
      </w:pPr>
    </w:p>
    <w:p w14:paraId="477D268A">
      <w:pPr>
        <w:pStyle w:val="16"/>
        <w:jc w:val="center"/>
        <w:rPr>
          <w:rFonts w:ascii="方正小标宋_GBK" w:hAnsi="方正小标宋_GBK" w:eastAsia="方正小标宋_GBK" w:cs="方正小标宋_GBK"/>
          <w:sz w:val="70"/>
          <w:szCs w:val="70"/>
        </w:rPr>
      </w:pPr>
    </w:p>
    <w:p w14:paraId="0D3AD5C4">
      <w:pPr>
        <w:pStyle w:val="16"/>
        <w:jc w:val="center"/>
        <w:rPr>
          <w:rFonts w:ascii="方正小标宋_GBK" w:hAnsi="方正小标宋_GBK" w:eastAsia="方正小标宋_GBK" w:cs="方正小标宋_GBK"/>
          <w:sz w:val="70"/>
          <w:szCs w:val="70"/>
        </w:rPr>
      </w:pPr>
    </w:p>
    <w:p w14:paraId="2D88D0BA">
      <w:pPr>
        <w:pStyle w:val="16"/>
        <w:jc w:val="center"/>
        <w:rPr>
          <w:rFonts w:ascii="方正小标宋_GBK" w:hAnsi="方正小标宋_GBK" w:eastAsia="方正小标宋_GBK" w:cs="方正小标宋_GBK"/>
          <w:sz w:val="70"/>
          <w:szCs w:val="70"/>
        </w:rPr>
      </w:pPr>
    </w:p>
    <w:p w14:paraId="3B49F129">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（说明：</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、由于部门决算编制时数据明细至“金额单位：元”，而本套部门决算文字说明和公开表格数据取数转换为“金额单位：万元”，可能导致以下文字说明中的各项数据取数以及公开表格中的各项数据取数之间存在</w:t>
      </w:r>
      <w:r>
        <w:rPr>
          <w:rFonts w:ascii="仿宋_GB2312" w:hAnsi="仿宋_GB2312" w:eastAsia="仿宋_GB2312" w:cs="仿宋_GB2312"/>
          <w:sz w:val="32"/>
          <w:szCs w:val="32"/>
        </w:rPr>
        <w:t>0.01</w:t>
      </w:r>
      <w:r>
        <w:rPr>
          <w:rFonts w:hint="eastAsia" w:ascii="仿宋_GB2312" w:hAnsi="仿宋_GB2312" w:eastAsia="仿宋_GB2312" w:cs="仿宋_GB2312"/>
          <w:sz w:val="32"/>
          <w:szCs w:val="32"/>
        </w:rPr>
        <w:t>的尾数差异。</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、以下文字说明中，部分科目由于预算数为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，无法计算完成年初预算的百分比，故未描述“完成年初预算的</w:t>
      </w:r>
      <w:r>
        <w:rPr>
          <w:rFonts w:ascii="仿宋_GB2312" w:hAnsi="仿宋_GB2312" w:eastAsia="仿宋_GB2312" w:cs="仿宋_GB2312"/>
          <w:sz w:val="32"/>
          <w:szCs w:val="32"/>
        </w:rPr>
        <w:t>XX%</w:t>
      </w:r>
      <w:r>
        <w:rPr>
          <w:rFonts w:hint="eastAsia" w:ascii="仿宋_GB2312" w:hAnsi="仿宋_GB2312" w:eastAsia="仿宋_GB2312" w:cs="仿宋_GB2312"/>
          <w:sz w:val="32"/>
          <w:szCs w:val="32"/>
        </w:rPr>
        <w:t>”。）</w:t>
      </w:r>
    </w:p>
    <w:p w14:paraId="4FFD3A02">
      <w:pPr>
        <w:pStyle w:val="16"/>
        <w:spacing w:line="600" w:lineRule="exact"/>
        <w:ind w:firstLine="640" w:firstLineChars="200"/>
        <w:rPr>
          <w:rFonts w:hAnsi="黑体"/>
          <w:bCs/>
          <w:sz w:val="32"/>
          <w:szCs w:val="32"/>
        </w:rPr>
      </w:pPr>
      <w:r>
        <w:rPr>
          <w:rFonts w:hint="eastAsia" w:hAnsi="黑体"/>
          <w:bCs/>
          <w:sz w:val="32"/>
          <w:szCs w:val="32"/>
        </w:rPr>
        <w:t>一、收入支出决算总体情况说明</w:t>
      </w:r>
    </w:p>
    <w:p w14:paraId="09DE0833">
      <w:pPr>
        <w:pStyle w:val="16"/>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年度收、支总计</w:t>
      </w:r>
      <w:r>
        <w:rPr>
          <w:rFonts w:ascii="仿宋_GB2312" w:hAnsi="仿宋_GB2312" w:eastAsia="仿宋_GB2312" w:cs="仿宋_GB2312"/>
          <w:sz w:val="32"/>
          <w:szCs w:val="32"/>
        </w:rPr>
        <w:t>5946.74</w:t>
      </w:r>
      <w:r>
        <w:rPr>
          <w:rFonts w:hint="eastAsia" w:ascii="仿宋_GB2312" w:hAnsi="仿宋_GB2312" w:eastAsia="仿宋_GB2312" w:cs="仿宋_GB2312"/>
          <w:sz w:val="32"/>
          <w:szCs w:val="32"/>
        </w:rPr>
        <w:t>万元。与上年相比，减少</w:t>
      </w:r>
      <w:r>
        <w:rPr>
          <w:rFonts w:ascii="仿宋_GB2312" w:hAnsi="仿宋_GB2312" w:eastAsia="仿宋_GB2312" w:cs="仿宋_GB2312"/>
          <w:sz w:val="32"/>
          <w:szCs w:val="32"/>
        </w:rPr>
        <w:t>118.61</w:t>
      </w:r>
      <w:r>
        <w:rPr>
          <w:rFonts w:hint="eastAsia" w:ascii="仿宋_GB2312" w:hAnsi="仿宋_GB2312" w:eastAsia="仿宋_GB2312" w:cs="仿宋_GB2312"/>
          <w:sz w:val="32"/>
          <w:szCs w:val="32"/>
        </w:rPr>
        <w:t>万元，增长减少</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，主要是因为</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年财政追加下拨了</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月至</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月在职和退休教师增量绩效，</w:t>
      </w: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年为正常的下拨在职和退休教师增量绩效。</w:t>
      </w:r>
    </w:p>
    <w:p w14:paraId="6972522F">
      <w:pPr>
        <w:pStyle w:val="16"/>
        <w:spacing w:line="600" w:lineRule="exact"/>
        <w:ind w:firstLine="640" w:firstLineChars="200"/>
        <w:rPr>
          <w:rFonts w:hAnsi="黑体"/>
          <w:bCs/>
          <w:sz w:val="32"/>
          <w:szCs w:val="32"/>
        </w:rPr>
      </w:pPr>
      <w:r>
        <w:rPr>
          <w:rFonts w:hint="eastAsia" w:hAnsi="黑体"/>
          <w:bCs/>
          <w:sz w:val="32"/>
          <w:szCs w:val="32"/>
        </w:rPr>
        <w:t>二、收入决算情况说明</w:t>
      </w:r>
    </w:p>
    <w:p w14:paraId="157C56CA">
      <w:pPr>
        <w:pStyle w:val="16"/>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年度收入合计</w:t>
      </w:r>
      <w:r>
        <w:rPr>
          <w:rFonts w:ascii="仿宋_GB2312" w:hAnsi="仿宋_GB2312" w:eastAsia="仿宋_GB2312" w:cs="仿宋_GB2312"/>
          <w:sz w:val="32"/>
          <w:szCs w:val="32"/>
        </w:rPr>
        <w:t>5946.74</w:t>
      </w:r>
      <w:r>
        <w:rPr>
          <w:rFonts w:hint="eastAsia" w:ascii="仿宋_GB2312" w:hAnsi="仿宋_GB2312" w:eastAsia="仿宋_GB2312" w:cs="仿宋_GB2312"/>
          <w:sz w:val="32"/>
          <w:szCs w:val="32"/>
        </w:rPr>
        <w:t>万元，其中：财政拨款收入</w:t>
      </w:r>
      <w:r>
        <w:rPr>
          <w:rFonts w:ascii="仿宋_GB2312" w:hAnsi="仿宋_GB2312" w:eastAsia="仿宋_GB2312" w:cs="仿宋_GB2312"/>
          <w:sz w:val="32"/>
          <w:szCs w:val="32"/>
        </w:rPr>
        <w:t>4454.31</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74.9%</w:t>
      </w:r>
      <w:r>
        <w:rPr>
          <w:rFonts w:hint="eastAsia" w:ascii="仿宋_GB2312" w:hAnsi="仿宋_GB2312" w:eastAsia="仿宋_GB2312" w:cs="仿宋_GB2312"/>
          <w:sz w:val="32"/>
          <w:szCs w:val="32"/>
        </w:rPr>
        <w:t>；上级补助收入</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；事业收入</w:t>
      </w:r>
      <w:r>
        <w:rPr>
          <w:rFonts w:ascii="仿宋_GB2312" w:hAnsi="仿宋_GB2312" w:eastAsia="仿宋_GB2312" w:cs="仿宋_GB2312"/>
          <w:sz w:val="32"/>
          <w:szCs w:val="32"/>
        </w:rPr>
        <w:t>562.48</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9.46%</w:t>
      </w:r>
      <w:r>
        <w:rPr>
          <w:rFonts w:hint="eastAsia" w:ascii="仿宋_GB2312" w:hAnsi="仿宋_GB2312" w:eastAsia="仿宋_GB2312" w:cs="仿宋_GB2312"/>
          <w:sz w:val="32"/>
          <w:szCs w:val="32"/>
        </w:rPr>
        <w:t>；经营收入</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；附属单位上缴收入</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；其他收入</w:t>
      </w:r>
      <w:r>
        <w:rPr>
          <w:rFonts w:ascii="仿宋_GB2312" w:hAnsi="仿宋_GB2312" w:eastAsia="仿宋_GB2312" w:cs="仿宋_GB2312"/>
          <w:sz w:val="32"/>
          <w:szCs w:val="32"/>
        </w:rPr>
        <w:t>929.95</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15.64%</w:t>
      </w:r>
      <w:r>
        <w:rPr>
          <w:rFonts w:hint="eastAsia" w:ascii="仿宋_GB2312" w:hAnsi="仿宋_GB2312" w:eastAsia="仿宋_GB2312" w:cs="仿宋_GB2312"/>
          <w:sz w:val="32"/>
          <w:szCs w:val="32"/>
        </w:rPr>
        <w:t>。</w:t>
      </w:r>
    </w:p>
    <w:p w14:paraId="4B300A41">
      <w:pPr>
        <w:autoSpaceDE w:val="0"/>
        <w:autoSpaceDN w:val="0"/>
        <w:adjustRightInd w:val="0"/>
        <w:rPr>
          <w:rFonts w:ascii="仿宋_GB2312" w:hAnsi="仿宋_GB2312" w:eastAsia="仿宋_GB2312" w:cs="仿宋_GB2312"/>
          <w:color w:val="000000"/>
          <w:kern w:val="0"/>
          <w:sz w:val="32"/>
          <w:szCs w:val="32"/>
        </w:rPr>
      </w:pPr>
    </w:p>
    <w:p w14:paraId="15E8A791">
      <w:pPr>
        <w:pStyle w:val="16"/>
        <w:spacing w:line="600" w:lineRule="exact"/>
        <w:ind w:firstLine="640" w:firstLineChars="200"/>
        <w:rPr>
          <w:rFonts w:hAnsi="黑体"/>
          <w:bCs/>
          <w:sz w:val="32"/>
          <w:szCs w:val="32"/>
        </w:rPr>
      </w:pPr>
      <w:r>
        <w:rPr>
          <w:rFonts w:hint="eastAsia" w:hAnsi="黑体"/>
          <w:bCs/>
          <w:sz w:val="32"/>
          <w:szCs w:val="32"/>
        </w:rPr>
        <w:t>三、支出决算情况说明</w:t>
      </w:r>
    </w:p>
    <w:p w14:paraId="22418BB3">
      <w:pPr>
        <w:pStyle w:val="16"/>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年度支出合计</w:t>
      </w:r>
      <w:r>
        <w:rPr>
          <w:rFonts w:ascii="仿宋_GB2312" w:hAnsi="仿宋_GB2312" w:eastAsia="仿宋_GB2312" w:cs="仿宋_GB2312"/>
          <w:sz w:val="32"/>
          <w:szCs w:val="32"/>
        </w:rPr>
        <w:t>5946.7</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万元，其中：基本支出</w:t>
      </w:r>
      <w:r>
        <w:rPr>
          <w:rFonts w:ascii="仿宋_GB2312" w:hAnsi="仿宋_GB2312" w:eastAsia="仿宋_GB2312" w:cs="仿宋_GB2312"/>
          <w:sz w:val="32"/>
          <w:szCs w:val="32"/>
        </w:rPr>
        <w:t>4997.56</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84.04%</w:t>
      </w:r>
      <w:r>
        <w:rPr>
          <w:rFonts w:hint="eastAsia" w:ascii="仿宋_GB2312" w:hAnsi="仿宋_GB2312" w:eastAsia="仿宋_GB2312" w:cs="仿宋_GB2312"/>
          <w:sz w:val="32"/>
          <w:szCs w:val="32"/>
        </w:rPr>
        <w:t>；项目支出</w:t>
      </w:r>
      <w:r>
        <w:rPr>
          <w:rFonts w:ascii="仿宋_GB2312" w:hAnsi="仿宋_GB2312" w:eastAsia="仿宋_GB2312" w:cs="仿宋_GB2312"/>
          <w:sz w:val="32"/>
          <w:szCs w:val="32"/>
        </w:rPr>
        <w:t>949.1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15.96%</w:t>
      </w:r>
      <w:r>
        <w:rPr>
          <w:rFonts w:hint="eastAsia" w:ascii="仿宋_GB2312" w:hAnsi="仿宋_GB2312" w:eastAsia="仿宋_GB2312" w:cs="仿宋_GB2312"/>
          <w:sz w:val="32"/>
          <w:szCs w:val="32"/>
        </w:rPr>
        <w:t>；上缴上级支出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；经营支出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；对附属单位补助支出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w:t>
      </w:r>
    </w:p>
    <w:p w14:paraId="1FE5B001">
      <w:pPr>
        <w:autoSpaceDE w:val="0"/>
        <w:autoSpaceDN w:val="0"/>
        <w:adjustRightInd w:val="0"/>
        <w:ind w:firstLine="640" w:firstLineChars="200"/>
        <w:rPr>
          <w:rFonts w:ascii="仿宋_GB2312" w:hAnsi="仿宋_GB2312" w:eastAsia="仿宋_GB2312" w:cs="仿宋_GB2312"/>
          <w:color w:val="000000"/>
          <w:kern w:val="0"/>
          <w:sz w:val="32"/>
          <w:szCs w:val="32"/>
        </w:rPr>
      </w:pPr>
    </w:p>
    <w:p w14:paraId="6BE48C06">
      <w:pPr>
        <w:pStyle w:val="16"/>
        <w:spacing w:line="600" w:lineRule="exact"/>
        <w:ind w:firstLine="640" w:firstLineChars="200"/>
        <w:rPr>
          <w:rFonts w:hAnsi="黑体"/>
          <w:bCs/>
          <w:sz w:val="32"/>
          <w:szCs w:val="32"/>
        </w:rPr>
      </w:pPr>
      <w:r>
        <w:rPr>
          <w:rFonts w:hint="eastAsia" w:hAnsi="黑体"/>
          <w:bCs/>
          <w:sz w:val="32"/>
          <w:szCs w:val="32"/>
        </w:rPr>
        <w:t>四、财政拨款收入支出决算总体情况说明</w:t>
      </w:r>
    </w:p>
    <w:p w14:paraId="63855EF0">
      <w:pPr>
        <w:pStyle w:val="16"/>
        <w:spacing w:line="600" w:lineRule="exact"/>
        <w:rPr>
          <w:rFonts w:ascii="仿宋_GB2312" w:hAnsi="仿宋_GB2312" w:eastAsia="仿宋_GB2312" w:cs="仿宋_GB2312"/>
          <w:sz w:val="32"/>
          <w:szCs w:val="32"/>
        </w:rPr>
      </w:pPr>
      <w:r>
        <w:rPr>
          <w:rFonts w:ascii="Times New Roman" w:hAnsi="Times New Roman" w:eastAsia="仿宋_GB2312"/>
          <w:sz w:val="32"/>
          <w:szCs w:val="32"/>
        </w:rPr>
        <w:t xml:space="preserve">   </w:t>
      </w:r>
      <w:r>
        <w:rPr>
          <w:rFonts w:ascii="仿宋_GB2312" w:hAnsi="仿宋_GB2312" w:eastAsia="仿宋_GB2312" w:cs="仿宋_GB2312"/>
          <w:sz w:val="32"/>
          <w:szCs w:val="32"/>
        </w:rPr>
        <w:t xml:space="preserve"> 2023</w:t>
      </w:r>
      <w:r>
        <w:rPr>
          <w:rFonts w:hint="eastAsia" w:ascii="仿宋_GB2312" w:hAnsi="仿宋_GB2312" w:eastAsia="仿宋_GB2312" w:cs="仿宋_GB2312"/>
          <w:sz w:val="32"/>
          <w:szCs w:val="32"/>
        </w:rPr>
        <w:t>年度财政拨款收、支总计</w:t>
      </w:r>
      <w:r>
        <w:rPr>
          <w:rFonts w:ascii="仿宋_GB2312" w:hAnsi="仿宋_GB2312" w:eastAsia="仿宋_GB2312" w:cs="仿宋_GB2312"/>
          <w:sz w:val="32"/>
          <w:szCs w:val="32"/>
        </w:rPr>
        <w:t>4454.31</w:t>
      </w:r>
      <w:r>
        <w:rPr>
          <w:rFonts w:hint="eastAsia" w:ascii="仿宋_GB2312" w:hAnsi="仿宋_GB2312" w:eastAsia="仿宋_GB2312" w:cs="仿宋_GB2312"/>
          <w:sz w:val="32"/>
          <w:szCs w:val="32"/>
        </w:rPr>
        <w:t>万元，与上年相比，增加</w:t>
      </w:r>
      <w:r>
        <w:rPr>
          <w:rFonts w:ascii="仿宋_GB2312" w:hAnsi="仿宋_GB2312" w:eastAsia="仿宋_GB2312" w:cs="仿宋_GB2312"/>
          <w:sz w:val="32"/>
          <w:szCs w:val="32"/>
        </w:rPr>
        <w:t>266.21</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增长</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，主要是因为我校</w:t>
      </w: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年新增了标准化考点双电源项目和校园西边围墙及体育馆、食堂外墙安全隐患整改项目的资金。</w:t>
      </w:r>
    </w:p>
    <w:p w14:paraId="0E987554">
      <w:pPr>
        <w:pStyle w:val="16"/>
        <w:spacing w:line="600" w:lineRule="exact"/>
        <w:ind w:firstLine="640" w:firstLineChars="200"/>
        <w:rPr>
          <w:rFonts w:hAnsi="黑体"/>
          <w:bCs/>
          <w:sz w:val="32"/>
          <w:szCs w:val="32"/>
        </w:rPr>
      </w:pPr>
      <w:r>
        <w:rPr>
          <w:rFonts w:hint="eastAsia" w:hAnsi="黑体"/>
          <w:bCs/>
          <w:sz w:val="32"/>
          <w:szCs w:val="32"/>
        </w:rPr>
        <w:t>五、一般公共预算财政拨款支出决算情况说明</w:t>
      </w:r>
    </w:p>
    <w:p w14:paraId="34C3D57F">
      <w:pPr>
        <w:pStyle w:val="16"/>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（一）一般公共预算财政拨款支出决算总体情况</w:t>
      </w:r>
    </w:p>
    <w:p w14:paraId="796C4E19">
      <w:pPr>
        <w:pStyle w:val="16"/>
        <w:spacing w:line="600" w:lineRule="exact"/>
        <w:ind w:firstLine="800" w:firstLineChars="250"/>
        <w:rPr>
          <w:rFonts w:ascii="仿宋_GB2312" w:hAnsi="仿宋_GB2312" w:eastAsia="仿宋_GB2312" w:cs="仿宋_GB2312"/>
          <w:sz w:val="32"/>
          <w:szCs w:val="32"/>
        </w:rPr>
      </w:pP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年度财政拨款支出</w:t>
      </w:r>
      <w:r>
        <w:rPr>
          <w:rFonts w:ascii="仿宋_GB2312" w:hAnsi="仿宋_GB2312" w:eastAsia="仿宋_GB2312" w:cs="仿宋_GB2312"/>
          <w:sz w:val="32"/>
          <w:szCs w:val="32"/>
        </w:rPr>
        <w:t>4454.31</w:t>
      </w:r>
      <w:r>
        <w:rPr>
          <w:rFonts w:hint="eastAsia" w:ascii="仿宋_GB2312" w:hAnsi="仿宋_GB2312" w:eastAsia="仿宋_GB2312" w:cs="仿宋_GB2312"/>
          <w:sz w:val="32"/>
          <w:szCs w:val="32"/>
        </w:rPr>
        <w:t>万元，占本年支出合计的</w:t>
      </w:r>
      <w:r>
        <w:rPr>
          <w:rFonts w:ascii="仿宋_GB2312" w:hAnsi="仿宋_GB2312" w:eastAsia="仿宋_GB2312" w:cs="仿宋_GB2312"/>
          <w:sz w:val="32"/>
          <w:szCs w:val="32"/>
        </w:rPr>
        <w:t>74.9%</w:t>
      </w:r>
      <w:r>
        <w:rPr>
          <w:rFonts w:hint="eastAsia" w:ascii="仿宋_GB2312" w:hAnsi="仿宋_GB2312" w:eastAsia="仿宋_GB2312" w:cs="仿宋_GB2312"/>
          <w:sz w:val="32"/>
          <w:szCs w:val="32"/>
        </w:rPr>
        <w:t>，与上年相比，财政拨款支出增加</w:t>
      </w:r>
      <w:r>
        <w:rPr>
          <w:rFonts w:ascii="仿宋_GB2312" w:hAnsi="仿宋_GB2312" w:eastAsia="仿宋_GB2312" w:cs="仿宋_GB2312"/>
          <w:sz w:val="32"/>
          <w:szCs w:val="32"/>
        </w:rPr>
        <w:t>266.21</w:t>
      </w:r>
      <w:r>
        <w:rPr>
          <w:rFonts w:hint="eastAsia" w:ascii="仿宋_GB2312" w:hAnsi="仿宋_GB2312" w:eastAsia="仿宋_GB2312" w:cs="仿宋_GB2312"/>
          <w:sz w:val="32"/>
          <w:szCs w:val="32"/>
        </w:rPr>
        <w:t>万元，增长</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，主要是因为我校</w:t>
      </w: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年新增了标准化考点双电源项目和校园西边围墙及体育馆、食堂外墙安全隐患整改项目的资金。</w:t>
      </w:r>
    </w:p>
    <w:p w14:paraId="2EEE094B">
      <w:pPr>
        <w:pStyle w:val="16"/>
        <w:spacing w:line="600" w:lineRule="exact"/>
        <w:ind w:firstLine="480" w:firstLineChars="150"/>
        <w:rPr>
          <w:rFonts w:ascii="仿宋_GB2312" w:hAnsi="仿宋_GB2312" w:eastAsia="仿宋_GB2312" w:cs="仿宋_GB2312"/>
          <w:i/>
          <w:iCs/>
          <w:color w:val="FF0000"/>
          <w:sz w:val="32"/>
          <w:szCs w:val="32"/>
        </w:rPr>
      </w:pPr>
    </w:p>
    <w:p w14:paraId="75B59C92">
      <w:pPr>
        <w:pStyle w:val="16"/>
        <w:spacing w:line="600" w:lineRule="exact"/>
        <w:ind w:firstLine="800" w:firstLineChars="25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（二）一般公共预算财政拨款支出决算结构情况</w:t>
      </w:r>
    </w:p>
    <w:p w14:paraId="3ACCD45D">
      <w:pPr>
        <w:pStyle w:val="16"/>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年度财政拨款支出</w:t>
      </w:r>
      <w:r>
        <w:rPr>
          <w:rFonts w:ascii="仿宋_GB2312" w:hAnsi="仿宋_GB2312" w:eastAsia="仿宋_GB2312" w:cs="仿宋_GB2312"/>
          <w:sz w:val="32"/>
          <w:szCs w:val="32"/>
        </w:rPr>
        <w:t>4454.31</w:t>
      </w:r>
      <w:r>
        <w:rPr>
          <w:rFonts w:hint="eastAsia" w:ascii="仿宋_GB2312" w:hAnsi="仿宋_GB2312" w:eastAsia="仿宋_GB2312" w:cs="仿宋_GB2312"/>
          <w:sz w:val="32"/>
          <w:szCs w:val="32"/>
        </w:rPr>
        <w:t>万元，主要用于以下方面：</w:t>
      </w:r>
      <w:r>
        <w:rPr>
          <w:rFonts w:hint="eastAsia" w:ascii="Times New Roman" w:hAnsi="Times New Roman" w:eastAsia="仿宋_GB2312"/>
          <w:sz w:val="32"/>
          <w:szCs w:val="32"/>
        </w:rPr>
        <w:t>一般公共服务（类）支出</w:t>
      </w:r>
      <w:r>
        <w:rPr>
          <w:rFonts w:ascii="Times New Roman" w:hAnsi="Times New Roman" w:eastAsia="仿宋_GB2312"/>
          <w:sz w:val="32"/>
          <w:szCs w:val="32"/>
        </w:rPr>
        <w:t>0</w:t>
      </w:r>
      <w:r>
        <w:rPr>
          <w:rFonts w:hint="eastAsia" w:ascii="Times New Roman" w:hAnsi="Times New Roman" w:eastAsia="仿宋_GB2312"/>
          <w:sz w:val="32"/>
          <w:szCs w:val="32"/>
        </w:rPr>
        <w:t>万元，占</w:t>
      </w:r>
      <w:r>
        <w:rPr>
          <w:rFonts w:ascii="Times New Roman" w:hAnsi="Times New Roman" w:eastAsia="仿宋_GB2312"/>
          <w:sz w:val="32"/>
          <w:szCs w:val="32"/>
        </w:rPr>
        <w:t>0%</w:t>
      </w:r>
      <w:r>
        <w:rPr>
          <w:rFonts w:hint="eastAsia" w:ascii="Times New Roman" w:hAnsi="Times New Roman" w:eastAsia="仿宋_GB2312"/>
          <w:sz w:val="32"/>
          <w:szCs w:val="32"/>
        </w:rPr>
        <w:t>；教育（类）支出</w:t>
      </w:r>
      <w:r>
        <w:rPr>
          <w:rFonts w:ascii="Times New Roman" w:hAnsi="Times New Roman" w:eastAsia="仿宋_GB2312"/>
          <w:sz w:val="32"/>
          <w:szCs w:val="32"/>
        </w:rPr>
        <w:t>3554.54</w:t>
      </w:r>
      <w:r>
        <w:rPr>
          <w:rFonts w:hint="eastAsia" w:ascii="Times New Roman" w:hAnsi="Times New Roman" w:eastAsia="仿宋_GB2312"/>
          <w:sz w:val="32"/>
          <w:szCs w:val="32"/>
        </w:rPr>
        <w:t>万元，占</w:t>
      </w:r>
      <w:r>
        <w:rPr>
          <w:rFonts w:ascii="Times New Roman" w:hAnsi="Times New Roman" w:eastAsia="仿宋_GB2312"/>
          <w:sz w:val="32"/>
          <w:szCs w:val="32"/>
        </w:rPr>
        <w:t>79.80%;</w:t>
      </w:r>
      <w:r>
        <w:rPr>
          <w:rFonts w:hint="eastAsia" w:ascii="宋体" w:hAnsi="宋体" w:eastAsia="宋体"/>
          <w:sz w:val="32"/>
          <w:szCs w:val="32"/>
          <w:highlight w:val="white"/>
        </w:rPr>
        <w:t>社会保障和就业（类）支出</w:t>
      </w:r>
      <w:r>
        <w:rPr>
          <w:rFonts w:ascii="宋体" w:hAnsi="宋体" w:eastAsia="宋体"/>
          <w:sz w:val="32"/>
          <w:szCs w:val="32"/>
          <w:highlight w:val="white"/>
        </w:rPr>
        <w:t>403.34</w:t>
      </w:r>
      <w:r>
        <w:rPr>
          <w:rFonts w:hint="eastAsia" w:ascii="宋体" w:hAnsi="宋体" w:eastAsia="宋体"/>
          <w:sz w:val="32"/>
          <w:szCs w:val="32"/>
          <w:highlight w:val="white"/>
        </w:rPr>
        <w:t>万元，占</w:t>
      </w:r>
      <w:r>
        <w:rPr>
          <w:rFonts w:ascii="宋体" w:hAnsi="宋体" w:eastAsia="宋体"/>
          <w:sz w:val="32"/>
          <w:szCs w:val="32"/>
          <w:highlight w:val="white"/>
        </w:rPr>
        <w:t>9.05%</w:t>
      </w:r>
      <w:r>
        <w:rPr>
          <w:rFonts w:hint="eastAsia" w:ascii="宋体" w:hAnsi="宋体" w:eastAsia="宋体"/>
          <w:sz w:val="32"/>
          <w:szCs w:val="32"/>
          <w:highlight w:val="white"/>
        </w:rPr>
        <w:t>；卫生健康（类）支出</w:t>
      </w:r>
      <w:r>
        <w:rPr>
          <w:rFonts w:ascii="宋体" w:hAnsi="宋体" w:eastAsia="宋体"/>
          <w:sz w:val="32"/>
          <w:szCs w:val="32"/>
          <w:highlight w:val="white"/>
        </w:rPr>
        <w:t>239.90</w:t>
      </w:r>
      <w:r>
        <w:rPr>
          <w:rFonts w:hint="eastAsia" w:ascii="宋体" w:hAnsi="宋体" w:eastAsia="宋体"/>
          <w:sz w:val="32"/>
          <w:szCs w:val="32"/>
          <w:highlight w:val="white"/>
        </w:rPr>
        <w:t>万元，占</w:t>
      </w:r>
      <w:r>
        <w:rPr>
          <w:rFonts w:ascii="宋体" w:hAnsi="宋体" w:eastAsia="宋体"/>
          <w:sz w:val="32"/>
          <w:szCs w:val="32"/>
          <w:highlight w:val="white"/>
        </w:rPr>
        <w:t>5.39%</w:t>
      </w:r>
      <w:r>
        <w:rPr>
          <w:rFonts w:hint="eastAsia" w:ascii="宋体" w:hAnsi="宋体" w:eastAsia="宋体"/>
          <w:sz w:val="32"/>
          <w:szCs w:val="32"/>
        </w:rPr>
        <w:t>；住房保障支出</w:t>
      </w:r>
      <w:r>
        <w:rPr>
          <w:rFonts w:ascii="宋体" w:hAnsi="宋体" w:eastAsia="宋体"/>
          <w:sz w:val="32"/>
          <w:szCs w:val="32"/>
        </w:rPr>
        <w:t>256.53</w:t>
      </w:r>
      <w:r>
        <w:rPr>
          <w:rFonts w:hint="eastAsia" w:ascii="宋体" w:hAnsi="宋体" w:eastAsia="宋体"/>
          <w:sz w:val="32"/>
          <w:szCs w:val="32"/>
        </w:rPr>
        <w:t>，占</w:t>
      </w:r>
      <w:r>
        <w:rPr>
          <w:rFonts w:ascii="宋体" w:hAnsi="宋体" w:eastAsia="宋体"/>
          <w:sz w:val="32"/>
          <w:szCs w:val="32"/>
        </w:rPr>
        <w:t>5.76%</w:t>
      </w:r>
      <w:r>
        <w:rPr>
          <w:rFonts w:hint="eastAsia" w:ascii="宋体" w:hAnsi="宋体" w:eastAsia="宋体"/>
          <w:sz w:val="28"/>
        </w:rPr>
        <w:t>。</w:t>
      </w:r>
    </w:p>
    <w:p w14:paraId="46C5C2BD">
      <w:pPr>
        <w:pStyle w:val="16"/>
        <w:spacing w:line="600" w:lineRule="exact"/>
        <w:ind w:firstLine="800" w:firstLineChars="25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（三）一般公共预算财政拨款支出决算具体情况</w:t>
      </w:r>
    </w:p>
    <w:p w14:paraId="28463C22">
      <w:pPr>
        <w:pStyle w:val="16"/>
        <w:spacing w:line="600" w:lineRule="exact"/>
        <w:ind w:firstLine="800" w:firstLineChars="250"/>
        <w:rPr>
          <w:rFonts w:ascii="仿宋_GB2312" w:hAnsi="仿宋_GB2312" w:eastAsia="仿宋_GB2312" w:cs="仿宋_GB2312"/>
          <w:sz w:val="32"/>
          <w:szCs w:val="32"/>
        </w:rPr>
      </w:pP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年度财政拨款支出年初预算数为</w:t>
      </w:r>
      <w:r>
        <w:rPr>
          <w:rFonts w:ascii="仿宋_GB2312" w:hAnsi="仿宋_GB2312" w:eastAsia="仿宋_GB2312" w:cs="仿宋_GB2312"/>
          <w:sz w:val="32"/>
          <w:szCs w:val="32"/>
        </w:rPr>
        <w:t>3557.09</w:t>
      </w:r>
      <w:r>
        <w:rPr>
          <w:rFonts w:hint="eastAsia" w:ascii="仿宋_GB2312" w:hAnsi="仿宋_GB2312" w:eastAsia="仿宋_GB2312" w:cs="仿宋_GB2312"/>
          <w:sz w:val="32"/>
          <w:szCs w:val="32"/>
        </w:rPr>
        <w:t>万元，支出决算数为</w:t>
      </w:r>
      <w:r>
        <w:rPr>
          <w:rFonts w:ascii="仿宋_GB2312" w:hAnsi="仿宋_GB2312" w:eastAsia="仿宋_GB2312" w:cs="仿宋_GB2312"/>
          <w:sz w:val="32"/>
          <w:szCs w:val="32"/>
        </w:rPr>
        <w:t>4454.31</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，其中：</w:t>
      </w:r>
    </w:p>
    <w:p w14:paraId="71D08600">
      <w:pPr>
        <w:pStyle w:val="16"/>
        <w:spacing w:line="600" w:lineRule="exact"/>
        <w:ind w:firstLine="800" w:firstLineChars="25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、一般公共服务（类）行政运行支出（款）行政事业单位支出（项）。</w:t>
      </w:r>
    </w:p>
    <w:p w14:paraId="1812E972">
      <w:pPr>
        <w:pStyle w:val="16"/>
        <w:spacing w:line="600" w:lineRule="exact"/>
        <w:ind w:firstLine="800" w:firstLineChars="250"/>
        <w:rPr>
          <w:rFonts w:ascii="仿宋_GB2312" w:hAnsi="仿宋_GB2312" w:eastAsia="仿宋_GB2312" w:cs="仿宋_GB2312"/>
          <w:sz w:val="32"/>
          <w:szCs w:val="32"/>
        </w:rPr>
      </w:pPr>
      <w:r>
        <w:rPr>
          <w:rFonts w:hint="eastAsia" w:ascii="Times New Roman" w:hAnsi="Times New Roman" w:eastAsia="仿宋_GB2312"/>
          <w:sz w:val="32"/>
          <w:szCs w:val="32"/>
        </w:rPr>
        <w:t>年初预算为</w:t>
      </w:r>
      <w:r>
        <w:rPr>
          <w:rFonts w:ascii="Times New Roman" w:hAnsi="Times New Roman" w:eastAsia="仿宋_GB2312"/>
          <w:sz w:val="32"/>
          <w:szCs w:val="32"/>
        </w:rPr>
        <w:t>0</w:t>
      </w:r>
      <w:r>
        <w:rPr>
          <w:rFonts w:hint="eastAsia" w:ascii="Times New Roman" w:hAnsi="Times New Roman" w:eastAsia="仿宋_GB2312"/>
          <w:sz w:val="32"/>
          <w:szCs w:val="32"/>
        </w:rPr>
        <w:t>万元，支出决算为</w:t>
      </w:r>
      <w:r>
        <w:rPr>
          <w:rFonts w:ascii="Times New Roman" w:hAnsi="Times New Roman" w:eastAsia="仿宋_GB2312"/>
          <w:sz w:val="32"/>
          <w:szCs w:val="32"/>
        </w:rPr>
        <w:t>2</w:t>
      </w:r>
      <w:r>
        <w:rPr>
          <w:rFonts w:hint="eastAsia" w:ascii="Times New Roman" w:hAnsi="Times New Roman" w:eastAsia="仿宋_GB2312"/>
          <w:sz w:val="32"/>
          <w:szCs w:val="32"/>
          <w:lang w:val="en-US" w:eastAsia="zh-CN"/>
        </w:rPr>
        <w:t>39.69</w:t>
      </w:r>
      <w:r>
        <w:rPr>
          <w:rFonts w:hint="eastAsia" w:ascii="Times New Roman" w:hAnsi="Times New Roman" w:eastAsia="仿宋_GB2312"/>
          <w:sz w:val="32"/>
          <w:szCs w:val="32"/>
        </w:rPr>
        <w:t>万元，决算数</w:t>
      </w:r>
      <w:r>
        <w:rPr>
          <w:rFonts w:hint="eastAsia" w:ascii="Times New Roman" w:hAnsi="Times New Roman" w:eastAsia="仿宋_GB2312"/>
          <w:sz w:val="32"/>
          <w:szCs w:val="32"/>
          <w:lang w:eastAsia="zh-CN"/>
        </w:rPr>
        <w:t>大于</w:t>
      </w:r>
      <w:r>
        <w:rPr>
          <w:rFonts w:hint="eastAsia" w:ascii="Times New Roman" w:hAnsi="Times New Roman" w:eastAsia="仿宋_GB2312"/>
          <w:sz w:val="32"/>
          <w:szCs w:val="32"/>
        </w:rPr>
        <w:t>年初预算数的主要原因为财政下拨综合绩效平安建设奖。</w:t>
      </w:r>
    </w:p>
    <w:p w14:paraId="2B54ECA3">
      <w:pPr>
        <w:pStyle w:val="16"/>
        <w:spacing w:line="600" w:lineRule="exact"/>
        <w:ind w:firstLine="800" w:firstLineChars="25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、一般公共服务（类）教育支出普通教育（款）</w:t>
      </w:r>
      <w:r>
        <w:rPr>
          <w:rFonts w:hint="eastAsia" w:ascii="宋体" w:hAnsi="宋体" w:eastAsia="宋体"/>
          <w:sz w:val="32"/>
          <w:szCs w:val="32"/>
        </w:rPr>
        <w:t>高中教育</w:t>
      </w:r>
      <w:r>
        <w:rPr>
          <w:rFonts w:hint="eastAsia" w:ascii="Times New Roman" w:hAnsi="Times New Roman" w:eastAsia="仿宋_GB2312"/>
          <w:sz w:val="32"/>
          <w:szCs w:val="32"/>
        </w:rPr>
        <w:t>（项）。</w:t>
      </w:r>
    </w:p>
    <w:p w14:paraId="668A3294">
      <w:pPr>
        <w:pStyle w:val="16"/>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ascii="Times New Roman" w:hAnsi="Times New Roman" w:eastAsia="仿宋_GB2312"/>
          <w:sz w:val="32"/>
          <w:szCs w:val="32"/>
        </w:rPr>
        <w:t>2685.73</w:t>
      </w:r>
      <w:r>
        <w:rPr>
          <w:rFonts w:hint="eastAsia" w:ascii="Times New Roman" w:hAnsi="Times New Roman" w:eastAsia="仿宋_GB2312"/>
          <w:sz w:val="32"/>
          <w:szCs w:val="32"/>
        </w:rPr>
        <w:t>万元，支出决算为</w:t>
      </w:r>
      <w:r>
        <w:rPr>
          <w:rFonts w:ascii="Times New Roman" w:hAnsi="Times New Roman" w:eastAsia="仿宋_GB2312"/>
          <w:sz w:val="32"/>
          <w:szCs w:val="32"/>
        </w:rPr>
        <w:t>2</w:t>
      </w:r>
      <w:r>
        <w:rPr>
          <w:rFonts w:hint="eastAsia" w:ascii="Times New Roman" w:hAnsi="Times New Roman" w:eastAsia="仿宋_GB2312"/>
          <w:sz w:val="32"/>
          <w:szCs w:val="32"/>
          <w:lang w:val="en-US" w:eastAsia="zh-CN"/>
        </w:rPr>
        <w:t>818.43</w:t>
      </w:r>
      <w:r>
        <w:rPr>
          <w:rFonts w:hint="eastAsia" w:ascii="Times New Roman" w:hAnsi="Times New Roman" w:eastAsia="仿宋_GB2312"/>
          <w:sz w:val="32"/>
          <w:szCs w:val="32"/>
        </w:rPr>
        <w:t>万元，完成年初预算的</w:t>
      </w:r>
      <w:r>
        <w:rPr>
          <w:rFonts w:ascii="Times New Roman" w:hAnsi="Times New Roman" w:eastAsia="仿宋_GB2312"/>
          <w:sz w:val="32"/>
          <w:szCs w:val="32"/>
        </w:rPr>
        <w:t>10</w:t>
      </w:r>
      <w:r>
        <w:rPr>
          <w:rFonts w:hint="eastAsia" w:ascii="Times New Roman" w:hAnsi="Times New Roman" w:eastAsia="仿宋_GB2312"/>
          <w:sz w:val="32"/>
          <w:szCs w:val="32"/>
          <w:lang w:val="en-US" w:eastAsia="zh-CN"/>
        </w:rPr>
        <w:t>4.94</w:t>
      </w:r>
      <w:r>
        <w:rPr>
          <w:rFonts w:ascii="Times New Roman" w:hAnsi="Times New Roman" w:eastAsia="仿宋_GB2312"/>
          <w:sz w:val="32"/>
          <w:szCs w:val="32"/>
        </w:rPr>
        <w:t>%</w:t>
      </w:r>
      <w:r>
        <w:rPr>
          <w:rFonts w:hint="eastAsia" w:ascii="Times New Roman" w:hAnsi="Times New Roman" w:eastAsia="仿宋_GB2312"/>
          <w:sz w:val="32"/>
          <w:szCs w:val="32"/>
        </w:rPr>
        <w:t>，决算数大于年初预算数的主要原因财政下拨了在职和退休教师医疗铺底。</w:t>
      </w:r>
    </w:p>
    <w:p w14:paraId="3BAFA8F0">
      <w:pPr>
        <w:pStyle w:val="16"/>
        <w:spacing w:line="600" w:lineRule="exact"/>
        <w:ind w:firstLine="800" w:firstLineChars="25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、一般公共服务（类）教育支出（款）其他普通教育（项）。</w:t>
      </w:r>
    </w:p>
    <w:p w14:paraId="119163F4">
      <w:pPr>
        <w:pStyle w:val="16"/>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ascii="Times New Roman" w:hAnsi="Times New Roman" w:eastAsia="仿宋_GB2312"/>
          <w:sz w:val="32"/>
          <w:szCs w:val="32"/>
        </w:rPr>
        <w:t>0</w:t>
      </w:r>
      <w:r>
        <w:rPr>
          <w:rFonts w:hint="eastAsia" w:ascii="Times New Roman" w:hAnsi="Times New Roman" w:eastAsia="仿宋_GB2312"/>
          <w:sz w:val="32"/>
          <w:szCs w:val="32"/>
        </w:rPr>
        <w:t>万元，支出决算为</w:t>
      </w:r>
      <w:r>
        <w:rPr>
          <w:rFonts w:ascii="Times New Roman" w:hAnsi="Times New Roman" w:eastAsia="仿宋_GB2312"/>
          <w:sz w:val="32"/>
          <w:szCs w:val="32"/>
        </w:rPr>
        <w:t>104.85</w:t>
      </w:r>
      <w:r>
        <w:rPr>
          <w:rFonts w:hint="eastAsia" w:ascii="Times New Roman" w:hAnsi="Times New Roman" w:eastAsia="仿宋_GB2312"/>
          <w:sz w:val="32"/>
          <w:szCs w:val="32"/>
        </w:rPr>
        <w:t>万元，决算数大于年初预算数的主要原因是因为</w:t>
      </w: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年新增了标准化考点双电源项目和校园西边围墙及体育馆、食堂外墙安全隐患整改项目的资金</w:t>
      </w:r>
      <w:r>
        <w:rPr>
          <w:rFonts w:hint="eastAsia" w:ascii="Times New Roman" w:hAnsi="Times New Roman" w:eastAsia="仿宋_GB2312"/>
          <w:sz w:val="32"/>
          <w:szCs w:val="32"/>
        </w:rPr>
        <w:t>。</w:t>
      </w:r>
    </w:p>
    <w:p w14:paraId="46F4F91E">
      <w:pPr>
        <w:pStyle w:val="16"/>
        <w:spacing w:line="600" w:lineRule="exact"/>
        <w:ind w:firstLine="800" w:firstLineChars="25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、一般公共服务（类）教育费附件安排的支出（款）其他教育费附加安排的支出（项）。</w:t>
      </w:r>
    </w:p>
    <w:p w14:paraId="37A52C6E">
      <w:pPr>
        <w:pStyle w:val="16"/>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ascii="Times New Roman" w:hAnsi="Times New Roman" w:eastAsia="仿宋_GB2312"/>
          <w:sz w:val="32"/>
          <w:szCs w:val="32"/>
        </w:rPr>
        <w:t>30</w:t>
      </w:r>
      <w:r>
        <w:rPr>
          <w:rFonts w:hint="eastAsia" w:ascii="Times New Roman" w:hAnsi="Times New Roman" w:eastAsia="仿宋_GB2312"/>
          <w:sz w:val="32"/>
          <w:szCs w:val="32"/>
        </w:rPr>
        <w:t>万元，支出决算为</w:t>
      </w:r>
      <w:r>
        <w:rPr>
          <w:rFonts w:ascii="Times New Roman" w:hAnsi="Times New Roman" w:eastAsia="仿宋_GB2312"/>
          <w:sz w:val="32"/>
          <w:szCs w:val="32"/>
        </w:rPr>
        <w:t>453.67</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1512.23</w:t>
      </w:r>
      <w:r>
        <w:rPr>
          <w:rFonts w:ascii="Times New Roman" w:hAnsi="Times New Roman" w:eastAsia="仿宋_GB2312"/>
          <w:sz w:val="32"/>
          <w:szCs w:val="32"/>
        </w:rPr>
        <w:t>%</w:t>
      </w:r>
      <w:r>
        <w:rPr>
          <w:rFonts w:hint="eastAsia" w:ascii="Times New Roman" w:hAnsi="Times New Roman" w:eastAsia="仿宋_GB2312"/>
          <w:sz w:val="32"/>
          <w:szCs w:val="32"/>
        </w:rPr>
        <w:t>，决算数大于年初预算数的主要原因是年中增加了基础教育发展专项资金、生均经费等。</w:t>
      </w:r>
    </w:p>
    <w:p w14:paraId="42D42C02">
      <w:pPr>
        <w:pStyle w:val="16"/>
        <w:spacing w:line="600" w:lineRule="exact"/>
        <w:ind w:firstLine="800" w:firstLineChars="250"/>
        <w:rPr>
          <w:rFonts w:ascii="Times New Roman" w:hAnsi="Times New Roman" w:eastAsia="仿宋_GB2312"/>
          <w:sz w:val="32"/>
          <w:szCs w:val="32"/>
        </w:rPr>
      </w:pPr>
      <w:r>
        <w:rPr>
          <w:rFonts w:ascii="Times New Roman" w:hAnsi="Times New Roman" w:eastAsia="仿宋_GB2312"/>
          <w:sz w:val="32"/>
          <w:szCs w:val="32"/>
        </w:rPr>
        <w:t>5</w:t>
      </w:r>
      <w:r>
        <w:rPr>
          <w:rFonts w:hint="eastAsia" w:ascii="Times New Roman" w:hAnsi="Times New Roman" w:eastAsia="仿宋_GB2312"/>
          <w:sz w:val="32"/>
          <w:szCs w:val="32"/>
        </w:rPr>
        <w:t>、一般公共服务（类）社会保障和就业支出（款）行政事业单位养老支出（项）。</w:t>
      </w:r>
    </w:p>
    <w:p w14:paraId="487994A9">
      <w:pPr>
        <w:pStyle w:val="16"/>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ascii="Times New Roman" w:hAnsi="Times New Roman" w:eastAsia="仿宋_GB2312"/>
          <w:sz w:val="32"/>
          <w:szCs w:val="32"/>
        </w:rPr>
        <w:t>278.31</w:t>
      </w:r>
      <w:r>
        <w:rPr>
          <w:rFonts w:hint="eastAsia" w:ascii="Times New Roman" w:hAnsi="Times New Roman" w:eastAsia="仿宋_GB2312"/>
          <w:sz w:val="32"/>
          <w:szCs w:val="32"/>
        </w:rPr>
        <w:t>元，支出决算为</w:t>
      </w:r>
      <w:r>
        <w:rPr>
          <w:rFonts w:hint="eastAsia" w:ascii="Times New Roman" w:hAnsi="Times New Roman" w:eastAsia="仿宋_GB2312"/>
          <w:sz w:val="32"/>
          <w:szCs w:val="32"/>
          <w:lang w:val="en-US" w:eastAsia="zh-CN"/>
        </w:rPr>
        <w:t>396.17</w:t>
      </w:r>
      <w:r>
        <w:rPr>
          <w:rFonts w:hint="eastAsia" w:ascii="Times New Roman" w:hAnsi="Times New Roman" w:eastAsia="仿宋_GB2312"/>
          <w:sz w:val="32"/>
          <w:szCs w:val="32"/>
        </w:rPr>
        <w:t>万元，完成年初预算的</w:t>
      </w:r>
      <w:r>
        <w:rPr>
          <w:rFonts w:ascii="Times New Roman" w:hAnsi="Times New Roman" w:eastAsia="仿宋_GB2312"/>
          <w:sz w:val="32"/>
          <w:szCs w:val="32"/>
        </w:rPr>
        <w:t>1</w:t>
      </w:r>
      <w:r>
        <w:rPr>
          <w:rFonts w:hint="eastAsia" w:ascii="Times New Roman" w:hAnsi="Times New Roman" w:eastAsia="仿宋_GB2312"/>
          <w:sz w:val="32"/>
          <w:szCs w:val="32"/>
          <w:lang w:val="en-US" w:eastAsia="zh-CN"/>
        </w:rPr>
        <w:t>42.35</w:t>
      </w:r>
      <w:r>
        <w:rPr>
          <w:rFonts w:ascii="Times New Roman" w:hAnsi="Times New Roman" w:eastAsia="仿宋_GB2312"/>
          <w:sz w:val="32"/>
          <w:szCs w:val="32"/>
        </w:rPr>
        <w:t>%</w:t>
      </w:r>
      <w:r>
        <w:rPr>
          <w:rFonts w:hint="eastAsia" w:ascii="Times New Roman" w:hAnsi="Times New Roman" w:eastAsia="仿宋_GB2312"/>
          <w:sz w:val="32"/>
          <w:szCs w:val="32"/>
        </w:rPr>
        <w:t>，决算数等于年初预算数，主要原因为新增教师的养老保险支付。。</w:t>
      </w:r>
    </w:p>
    <w:p w14:paraId="07F52A38">
      <w:pPr>
        <w:pStyle w:val="16"/>
        <w:spacing w:line="600" w:lineRule="exact"/>
        <w:ind w:firstLine="800" w:firstLineChars="250"/>
        <w:rPr>
          <w:rFonts w:ascii="Times New Roman" w:hAnsi="Times New Roman" w:eastAsia="仿宋_GB2312"/>
          <w:sz w:val="32"/>
          <w:szCs w:val="32"/>
        </w:rPr>
      </w:pPr>
      <w:r>
        <w:rPr>
          <w:rFonts w:ascii="Times New Roman" w:hAnsi="Times New Roman" w:eastAsia="仿宋_GB2312"/>
          <w:sz w:val="32"/>
          <w:szCs w:val="32"/>
        </w:rPr>
        <w:t>6</w:t>
      </w:r>
      <w:r>
        <w:rPr>
          <w:rFonts w:hint="eastAsia" w:ascii="Times New Roman" w:hAnsi="Times New Roman" w:eastAsia="仿宋_GB2312"/>
          <w:sz w:val="32"/>
          <w:szCs w:val="32"/>
        </w:rPr>
        <w:t>、一般公共服务（类）卫生健康支出（款）行政事业单位医疗（项）。</w:t>
      </w:r>
    </w:p>
    <w:p w14:paraId="32BE0A17">
      <w:pPr>
        <w:pStyle w:val="16"/>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ascii="Times New Roman" w:hAnsi="Times New Roman" w:eastAsia="仿宋_GB2312"/>
          <w:sz w:val="32"/>
          <w:szCs w:val="32"/>
        </w:rPr>
        <w:t>306.52</w:t>
      </w:r>
      <w:r>
        <w:rPr>
          <w:rFonts w:hint="eastAsia" w:ascii="Times New Roman" w:hAnsi="Times New Roman" w:eastAsia="仿宋_GB2312"/>
          <w:sz w:val="32"/>
          <w:szCs w:val="32"/>
        </w:rPr>
        <w:t>元，支出决算为</w:t>
      </w:r>
      <w:r>
        <w:rPr>
          <w:rFonts w:hint="eastAsia" w:ascii="Times New Roman" w:hAnsi="Times New Roman" w:eastAsia="仿宋_GB2312"/>
          <w:sz w:val="32"/>
          <w:szCs w:val="32"/>
          <w:lang w:val="en-US" w:eastAsia="zh-CN"/>
        </w:rPr>
        <w:t>239.9</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78.26</w:t>
      </w:r>
      <w:r>
        <w:rPr>
          <w:rFonts w:ascii="Times New Roman" w:hAnsi="Times New Roman" w:eastAsia="仿宋_GB2312"/>
          <w:sz w:val="32"/>
          <w:szCs w:val="32"/>
        </w:rPr>
        <w:t>%</w:t>
      </w:r>
      <w:r>
        <w:rPr>
          <w:rFonts w:hint="eastAsia" w:ascii="Times New Roman" w:hAnsi="Times New Roman" w:eastAsia="仿宋_GB2312"/>
          <w:sz w:val="32"/>
          <w:szCs w:val="32"/>
        </w:rPr>
        <w:t>，决算数小于年初预算数，主要原因为按年初预算执行。</w:t>
      </w:r>
    </w:p>
    <w:p w14:paraId="635E9008">
      <w:pPr>
        <w:pStyle w:val="16"/>
        <w:spacing w:line="600" w:lineRule="exact"/>
        <w:ind w:firstLine="800" w:firstLineChars="250"/>
        <w:rPr>
          <w:rFonts w:ascii="Times New Roman" w:hAnsi="Times New Roman" w:eastAsia="仿宋_GB2312"/>
          <w:sz w:val="32"/>
          <w:szCs w:val="32"/>
        </w:rPr>
      </w:pPr>
      <w:r>
        <w:rPr>
          <w:rFonts w:ascii="Times New Roman" w:hAnsi="Times New Roman" w:eastAsia="仿宋_GB2312"/>
          <w:sz w:val="32"/>
          <w:szCs w:val="32"/>
        </w:rPr>
        <w:t>7</w:t>
      </w:r>
      <w:r>
        <w:rPr>
          <w:rFonts w:hint="eastAsia" w:ascii="Times New Roman" w:hAnsi="Times New Roman" w:eastAsia="仿宋_GB2312"/>
          <w:sz w:val="32"/>
          <w:szCs w:val="32"/>
        </w:rPr>
        <w:t>、一般公共服务（类）住房支出（款）住房公积金（项）。</w:t>
      </w:r>
    </w:p>
    <w:p w14:paraId="6202BEBA">
      <w:pPr>
        <w:pStyle w:val="16"/>
        <w:spacing w:line="600" w:lineRule="exact"/>
        <w:ind w:firstLine="800" w:firstLineChars="250"/>
        <w:rPr>
          <w:rFonts w:ascii="仿宋_GB2312" w:hAnsi="仿宋_GB2312" w:eastAsia="仿宋_GB2312" w:cs="仿宋_GB2312"/>
          <w:sz w:val="32"/>
          <w:szCs w:val="32"/>
        </w:rPr>
      </w:pPr>
      <w:r>
        <w:rPr>
          <w:rFonts w:hint="eastAsia" w:ascii="Times New Roman" w:hAnsi="Times New Roman" w:eastAsia="仿宋_GB2312"/>
          <w:sz w:val="32"/>
          <w:szCs w:val="32"/>
        </w:rPr>
        <w:t>年初预算为</w:t>
      </w:r>
      <w:r>
        <w:rPr>
          <w:rFonts w:ascii="Times New Roman" w:hAnsi="Times New Roman" w:eastAsia="仿宋_GB2312"/>
          <w:sz w:val="32"/>
          <w:szCs w:val="32"/>
        </w:rPr>
        <w:t>256.53</w:t>
      </w:r>
      <w:r>
        <w:rPr>
          <w:rFonts w:hint="eastAsia" w:ascii="Times New Roman" w:hAnsi="Times New Roman" w:eastAsia="仿宋_GB2312"/>
          <w:sz w:val="32"/>
          <w:szCs w:val="32"/>
        </w:rPr>
        <w:t>元，支出决算为</w:t>
      </w:r>
      <w:r>
        <w:rPr>
          <w:rFonts w:ascii="Times New Roman" w:hAnsi="Times New Roman" w:eastAsia="仿宋_GB2312"/>
          <w:sz w:val="32"/>
          <w:szCs w:val="32"/>
        </w:rPr>
        <w:t>256.53</w:t>
      </w:r>
      <w:r>
        <w:rPr>
          <w:rFonts w:hint="eastAsia" w:ascii="Times New Roman" w:hAnsi="Times New Roman" w:eastAsia="仿宋_GB2312"/>
          <w:sz w:val="32"/>
          <w:szCs w:val="32"/>
        </w:rPr>
        <w:t>万元，完成年初预算的</w:t>
      </w:r>
      <w:r>
        <w:rPr>
          <w:rFonts w:ascii="Times New Roman" w:hAnsi="Times New Roman" w:eastAsia="仿宋_GB2312"/>
          <w:sz w:val="32"/>
          <w:szCs w:val="32"/>
        </w:rPr>
        <w:t>100%</w:t>
      </w:r>
      <w:r>
        <w:rPr>
          <w:rFonts w:hint="eastAsia" w:ascii="Times New Roman" w:hAnsi="Times New Roman" w:eastAsia="仿宋_GB2312"/>
          <w:sz w:val="32"/>
          <w:szCs w:val="32"/>
        </w:rPr>
        <w:t>，决算数等于年初预算数，主要原因为按年初预算执行。</w:t>
      </w:r>
    </w:p>
    <w:p w14:paraId="610E85E9">
      <w:pPr>
        <w:autoSpaceDE w:val="0"/>
        <w:autoSpaceDN w:val="0"/>
        <w:adjustRightInd w:val="0"/>
        <w:rPr>
          <w:rFonts w:ascii="仿宋_GB2312" w:hAnsi="仿宋_GB2312" w:eastAsia="仿宋_GB2312" w:cs="仿宋_GB2312"/>
          <w:sz w:val="32"/>
          <w:szCs w:val="32"/>
        </w:rPr>
      </w:pPr>
    </w:p>
    <w:p w14:paraId="7B1825BB">
      <w:pPr>
        <w:pStyle w:val="16"/>
        <w:spacing w:line="600" w:lineRule="exact"/>
        <w:ind w:firstLine="640" w:firstLineChars="200"/>
        <w:rPr>
          <w:rFonts w:hAnsi="黑体"/>
          <w:bCs/>
          <w:sz w:val="32"/>
          <w:szCs w:val="32"/>
        </w:rPr>
      </w:pPr>
      <w:r>
        <w:rPr>
          <w:rFonts w:hint="eastAsia" w:hAnsi="黑体"/>
          <w:bCs/>
          <w:sz w:val="32"/>
          <w:szCs w:val="32"/>
        </w:rPr>
        <w:t>六、一般公共预算财政拨款基本支出决算情况说明</w:t>
      </w:r>
    </w:p>
    <w:p w14:paraId="7A8A0A11">
      <w:pPr>
        <w:pStyle w:val="16"/>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年度财政拨款基本支出</w:t>
      </w:r>
      <w:r>
        <w:rPr>
          <w:rFonts w:ascii="仿宋_GB2312" w:hAnsi="仿宋_GB2312" w:eastAsia="仿宋_GB2312" w:cs="仿宋_GB2312"/>
          <w:sz w:val="32"/>
          <w:szCs w:val="32"/>
        </w:rPr>
        <w:t>4067.61</w:t>
      </w:r>
      <w:r>
        <w:rPr>
          <w:rFonts w:hint="eastAsia" w:ascii="仿宋_GB2312" w:hAnsi="仿宋_GB2312" w:eastAsia="仿宋_GB2312" w:cs="仿宋_GB2312"/>
          <w:sz w:val="32"/>
          <w:szCs w:val="32"/>
        </w:rPr>
        <w:t>万元，其中：</w:t>
      </w:r>
    </w:p>
    <w:p w14:paraId="31C241BD">
      <w:pPr>
        <w:pStyle w:val="16"/>
        <w:spacing w:line="600" w:lineRule="exact"/>
        <w:ind w:firstLine="640" w:firstLineChars="200"/>
        <w:rPr>
          <w:rFonts w:ascii="Times New Roman" w:hAnsi="Times New Roman" w:eastAsia="仿宋_GB2312"/>
          <w:sz w:val="32"/>
          <w:szCs w:val="32"/>
        </w:rPr>
      </w:pPr>
      <w:r>
        <w:rPr>
          <w:rFonts w:hint="eastAsia" w:ascii="仿宋_GB2312" w:hAnsi="仿宋_GB2312" w:eastAsia="仿宋_GB2312" w:cs="仿宋_GB2312"/>
          <w:b/>
          <w:bCs/>
          <w:sz w:val="32"/>
          <w:szCs w:val="32"/>
        </w:rPr>
        <w:t>人员经费</w:t>
      </w:r>
      <w:r>
        <w:rPr>
          <w:rFonts w:ascii="仿宋_GB2312" w:hAnsi="仿宋_GB2312" w:eastAsia="仿宋_GB2312" w:cs="仿宋_GB2312"/>
          <w:sz w:val="32"/>
          <w:szCs w:val="32"/>
        </w:rPr>
        <w:t>3873.34</w:t>
      </w:r>
      <w:r>
        <w:rPr>
          <w:rFonts w:hint="eastAsia" w:ascii="仿宋_GB2312" w:hAnsi="仿宋_GB2312" w:eastAsia="仿宋_GB2312" w:cs="仿宋_GB2312"/>
          <w:sz w:val="32"/>
          <w:szCs w:val="32"/>
        </w:rPr>
        <w:t>万元，</w:t>
      </w:r>
      <w:r>
        <w:rPr>
          <w:rFonts w:hint="eastAsia" w:ascii="Times New Roman" w:hAnsi="Times New Roman" w:eastAsia="仿宋_GB2312"/>
          <w:sz w:val="32"/>
          <w:szCs w:val="32"/>
        </w:rPr>
        <w:t>占基本支出的</w:t>
      </w:r>
      <w:r>
        <w:rPr>
          <w:rFonts w:ascii="Times New Roman" w:hAnsi="Times New Roman" w:eastAsia="仿宋_GB2312"/>
          <w:sz w:val="32"/>
          <w:szCs w:val="32"/>
        </w:rPr>
        <w:t>95.22%,</w:t>
      </w:r>
      <w:r>
        <w:rPr>
          <w:rFonts w:hint="eastAsia" w:ascii="Times New Roman" w:hAnsi="Times New Roman" w:eastAsia="仿宋_GB2312"/>
          <w:sz w:val="32"/>
          <w:szCs w:val="32"/>
        </w:rPr>
        <w:t>主要包括基本工资、津贴补贴、奖金、伙食补助费、绩效工资、机关事业单位基本养老保险、职工基本医疗保险缴费、</w:t>
      </w:r>
      <w:r>
        <w:rPr>
          <w:rFonts w:hint="eastAsia" w:ascii="宋体" w:hAnsi="宋体" w:eastAsia="宋体"/>
          <w:sz w:val="28"/>
          <w:szCs w:val="32"/>
        </w:rPr>
        <w:t>职业年金缴费、职业基本医疗保险缴费、公务员医疗补助缴费、其他社会保障缴费、住房公积金、医疗费、其他工资福利支出、离休费、退休费、抚恤金、生活补助、医疗费补助、奖励金、其他对个人和家庭的补助</w:t>
      </w:r>
      <w:r>
        <w:rPr>
          <w:rFonts w:hint="eastAsia" w:ascii="Times New Roman" w:hAnsi="Times New Roman" w:eastAsia="仿宋_GB2312"/>
          <w:sz w:val="32"/>
          <w:szCs w:val="32"/>
        </w:rPr>
        <w:t>。</w:t>
      </w:r>
    </w:p>
    <w:p w14:paraId="6071376B">
      <w:pPr>
        <w:pStyle w:val="16"/>
        <w:spacing w:line="600" w:lineRule="exact"/>
        <w:ind w:firstLine="640" w:firstLineChars="200"/>
        <w:rPr>
          <w:rFonts w:ascii="宋体" w:hAnsi="宋体" w:eastAsia="宋体"/>
          <w:sz w:val="28"/>
          <w:szCs w:val="32"/>
        </w:rPr>
      </w:pPr>
      <w:r>
        <w:rPr>
          <w:rFonts w:hint="eastAsia" w:ascii="Times New Roman" w:hAnsi="Times New Roman" w:eastAsia="仿宋_GB2312"/>
          <w:b/>
          <w:bCs/>
          <w:sz w:val="32"/>
          <w:szCs w:val="32"/>
        </w:rPr>
        <w:t>公用经费</w:t>
      </w:r>
      <w:r>
        <w:rPr>
          <w:rFonts w:ascii="Times New Roman" w:hAnsi="Times New Roman" w:eastAsia="仿宋_GB2312"/>
          <w:sz w:val="32"/>
          <w:szCs w:val="32"/>
        </w:rPr>
        <w:t>194.27</w:t>
      </w:r>
      <w:r>
        <w:rPr>
          <w:rFonts w:hint="eastAsia" w:ascii="Times New Roman" w:hAnsi="Times New Roman" w:eastAsia="仿宋_GB2312"/>
          <w:sz w:val="32"/>
          <w:szCs w:val="32"/>
        </w:rPr>
        <w:t>万元，占基本支出的</w:t>
      </w:r>
      <w:r>
        <w:rPr>
          <w:rFonts w:ascii="Times New Roman" w:hAnsi="Times New Roman" w:eastAsia="仿宋_GB2312"/>
          <w:sz w:val="32"/>
          <w:szCs w:val="32"/>
        </w:rPr>
        <w:t>4.78%</w:t>
      </w:r>
      <w:r>
        <w:rPr>
          <w:rFonts w:hint="eastAsia" w:ascii="Times New Roman" w:hAnsi="Times New Roman" w:eastAsia="仿宋_GB2312"/>
          <w:sz w:val="32"/>
          <w:szCs w:val="32"/>
        </w:rPr>
        <w:t>，主要包括办公费、</w:t>
      </w:r>
      <w:r>
        <w:rPr>
          <w:rFonts w:hint="eastAsia" w:ascii="宋体" w:hAnsi="宋体" w:eastAsia="宋体"/>
          <w:sz w:val="28"/>
          <w:szCs w:val="32"/>
        </w:rPr>
        <w:t>咨询费、手续费、水费、电费、邮电费、取暖费、物业管理费、差旅费、因公出国（镜）费用，维修（护）费，租赁费、会议费、培训费、公务接待费、专业材料费、劳务费、委托业务费、工会经费、福利费、公务用车运行维护费、其他交通费用、税金及附加费用、其他商品和服务支出、办公设备购置、专业设备购置、信息网格及软件购置更新、公务用车购置、其他交通工具购置、文物和陈列品购置、无形资产购置、其他资本性支出、赠与。</w:t>
      </w:r>
    </w:p>
    <w:p w14:paraId="535FAC9D">
      <w:pPr>
        <w:pStyle w:val="16"/>
        <w:spacing w:line="600" w:lineRule="exact"/>
        <w:ind w:firstLine="640" w:firstLineChars="200"/>
        <w:rPr>
          <w:rFonts w:hAnsi="黑体"/>
          <w:bCs/>
          <w:sz w:val="32"/>
          <w:szCs w:val="32"/>
        </w:rPr>
      </w:pPr>
      <w:r>
        <w:rPr>
          <w:rFonts w:hint="eastAsia" w:hAnsi="黑体"/>
          <w:bCs/>
          <w:sz w:val="32"/>
          <w:szCs w:val="32"/>
        </w:rPr>
        <w:t>七、政府性基金预算收入支出决算情况</w:t>
      </w:r>
    </w:p>
    <w:p w14:paraId="6634B166">
      <w:pPr>
        <w:pStyle w:val="16"/>
        <w:spacing w:line="600" w:lineRule="exact"/>
        <w:rPr>
          <w:rFonts w:ascii="仿宋_GB2312" w:hAnsi="仿宋_GB2312" w:eastAsia="仿宋_GB2312" w:cs="仿宋_GB2312"/>
          <w:b/>
          <w:bCs/>
          <w:i/>
          <w:color w:val="auto"/>
          <w:sz w:val="32"/>
          <w:szCs w:val="32"/>
        </w:rPr>
      </w:pPr>
      <w:r>
        <w:rPr>
          <w:rFonts w:ascii="Times New Roman" w:hAnsi="Times New Roman" w:eastAsia="仿宋_GB2312"/>
          <w:sz w:val="32"/>
          <w:szCs w:val="32"/>
        </w:rPr>
        <w:t xml:space="preserve">     </w:t>
      </w: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年度政府性基金预算财政拨款收入</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万元；年初结转和结余</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万元，其中基本支出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万元，项目支出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万元；年末结转和结余</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万元。具体情况如下：</w:t>
      </w:r>
    </w:p>
    <w:p w14:paraId="0EAC784D">
      <w:pPr>
        <w:pStyle w:val="16"/>
        <w:spacing w:line="600" w:lineRule="exact"/>
        <w:ind w:firstLine="640" w:firstLineChars="200"/>
        <w:rPr>
          <w:rFonts w:ascii="宋体" w:hAnsi="宋体" w:eastAsia="宋体"/>
          <w:sz w:val="32"/>
          <w:szCs w:val="32"/>
        </w:rPr>
      </w:pPr>
      <w:r>
        <w:rPr>
          <w:rFonts w:ascii="宋体" w:hAnsi="宋体" w:eastAsia="宋体"/>
          <w:sz w:val="32"/>
          <w:szCs w:val="32"/>
        </w:rPr>
        <w:t>1</w:t>
      </w:r>
      <w:r>
        <w:rPr>
          <w:rFonts w:hint="eastAsia" w:ascii="宋体" w:hAnsi="宋体" w:eastAsia="宋体"/>
          <w:sz w:val="32"/>
          <w:szCs w:val="32"/>
        </w:rPr>
        <w:t>、教育支出（类）普通教育（款）高中教育（项）。</w:t>
      </w:r>
    </w:p>
    <w:p w14:paraId="1316F83E">
      <w:pPr>
        <w:pStyle w:val="16"/>
        <w:spacing w:line="600" w:lineRule="exact"/>
        <w:ind w:firstLine="640" w:firstLineChars="200"/>
        <w:rPr>
          <w:rFonts w:ascii="宋体" w:hAnsi="宋体" w:eastAsia="宋体"/>
          <w:sz w:val="32"/>
          <w:szCs w:val="32"/>
        </w:rPr>
      </w:pPr>
      <w:r>
        <w:rPr>
          <w:rFonts w:hint="eastAsia" w:ascii="宋体" w:hAnsi="宋体" w:eastAsia="宋体"/>
          <w:sz w:val="32"/>
          <w:szCs w:val="32"/>
        </w:rPr>
        <w:t>年初预算为</w:t>
      </w:r>
      <w:r>
        <w:rPr>
          <w:rFonts w:ascii="宋体" w:hAnsi="宋体" w:eastAsia="宋体"/>
          <w:sz w:val="32"/>
          <w:szCs w:val="32"/>
        </w:rPr>
        <w:t>0</w:t>
      </w:r>
      <w:r>
        <w:rPr>
          <w:rFonts w:hint="eastAsia" w:ascii="宋体" w:hAnsi="宋体" w:eastAsia="宋体"/>
          <w:sz w:val="32"/>
          <w:szCs w:val="32"/>
        </w:rPr>
        <w:t>万元，支出决算为</w:t>
      </w:r>
      <w:r>
        <w:rPr>
          <w:rFonts w:ascii="宋体" w:hAnsi="宋体" w:eastAsia="宋体"/>
          <w:sz w:val="32"/>
          <w:szCs w:val="32"/>
        </w:rPr>
        <w:t>0</w:t>
      </w:r>
      <w:r>
        <w:rPr>
          <w:rFonts w:hint="eastAsia" w:ascii="宋体" w:hAnsi="宋体" w:eastAsia="宋体"/>
          <w:sz w:val="32"/>
          <w:szCs w:val="32"/>
        </w:rPr>
        <w:t>万元，决算数等于年初预算数的主要原因是：本单位</w:t>
      </w:r>
      <w:r>
        <w:rPr>
          <w:rFonts w:hint="eastAsia" w:ascii="宋体" w:hAnsi="宋体" w:eastAsia="宋体"/>
          <w:sz w:val="32"/>
          <w:szCs w:val="32"/>
          <w:highlight w:val="white"/>
          <w:lang w:val="zh-CN"/>
        </w:rPr>
        <w:t>没有使用政府性基金预算财政拨款安排的收支</w:t>
      </w:r>
      <w:r>
        <w:rPr>
          <w:rFonts w:hint="eastAsia" w:ascii="宋体" w:hAnsi="宋体" w:eastAsia="宋体"/>
          <w:sz w:val="32"/>
          <w:szCs w:val="32"/>
          <w:lang w:val="zh-CN"/>
        </w:rPr>
        <w:t>。</w:t>
      </w:r>
    </w:p>
    <w:p w14:paraId="5A1BB091">
      <w:pPr>
        <w:autoSpaceDE w:val="0"/>
        <w:autoSpaceDN w:val="0"/>
        <w:adjustRightInd w:val="0"/>
        <w:spacing w:line="600" w:lineRule="exact"/>
        <w:ind w:firstLine="640" w:firstLineChars="200"/>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八、国有资本经营预算财政拨款支出决算情况</w:t>
      </w:r>
    </w:p>
    <w:p w14:paraId="071148AF">
      <w:pPr>
        <w:pStyle w:val="16"/>
        <w:ind w:firstLine="640" w:firstLineChars="200"/>
        <w:rPr>
          <w:rFonts w:ascii="宋体" w:hAnsi="宋体" w:eastAsia="宋体"/>
          <w:sz w:val="32"/>
          <w:szCs w:val="32"/>
        </w:rPr>
      </w:pP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年度</w:t>
      </w:r>
      <w:r>
        <w:rPr>
          <w:rFonts w:hint="eastAsia" w:ascii="宋体" w:hAnsi="宋体" w:eastAsia="宋体"/>
          <w:sz w:val="32"/>
          <w:szCs w:val="32"/>
        </w:rPr>
        <w:t>国有资本经营预算财政拨款收入</w:t>
      </w:r>
      <w:r>
        <w:rPr>
          <w:rFonts w:ascii="宋体" w:hAnsi="宋体" w:eastAsia="宋体"/>
          <w:sz w:val="32"/>
          <w:szCs w:val="32"/>
        </w:rPr>
        <w:t>0</w:t>
      </w:r>
      <w:r>
        <w:rPr>
          <w:rFonts w:hint="eastAsia" w:ascii="宋体" w:hAnsi="宋体" w:eastAsia="宋体"/>
          <w:sz w:val="32"/>
          <w:szCs w:val="32"/>
        </w:rPr>
        <w:t>万元；年初结转和结余</w:t>
      </w:r>
      <w:r>
        <w:rPr>
          <w:rFonts w:ascii="宋体" w:hAnsi="宋体" w:eastAsia="宋体"/>
          <w:sz w:val="32"/>
          <w:szCs w:val="32"/>
        </w:rPr>
        <w:t>0</w:t>
      </w:r>
      <w:r>
        <w:rPr>
          <w:rFonts w:hint="eastAsia" w:ascii="宋体" w:hAnsi="宋体" w:eastAsia="宋体"/>
          <w:sz w:val="32"/>
          <w:szCs w:val="32"/>
        </w:rPr>
        <w:t>万；支出</w:t>
      </w:r>
      <w:r>
        <w:rPr>
          <w:rFonts w:ascii="宋体" w:hAnsi="宋体" w:eastAsia="宋体"/>
          <w:sz w:val="32"/>
          <w:szCs w:val="32"/>
        </w:rPr>
        <w:t>0</w:t>
      </w:r>
      <w:r>
        <w:rPr>
          <w:rFonts w:hint="eastAsia" w:ascii="宋体" w:hAnsi="宋体" w:eastAsia="宋体"/>
          <w:sz w:val="32"/>
          <w:szCs w:val="32"/>
        </w:rPr>
        <w:t>万元；年末结转和结余</w:t>
      </w:r>
      <w:r>
        <w:rPr>
          <w:rFonts w:ascii="宋体" w:hAnsi="宋体" w:eastAsia="宋体"/>
          <w:sz w:val="32"/>
          <w:szCs w:val="32"/>
        </w:rPr>
        <w:t>0</w:t>
      </w:r>
      <w:r>
        <w:rPr>
          <w:rFonts w:hint="eastAsia" w:ascii="宋体" w:hAnsi="宋体" w:eastAsia="宋体"/>
          <w:sz w:val="32"/>
          <w:szCs w:val="32"/>
        </w:rPr>
        <w:t>万元。具体情况如下：</w:t>
      </w:r>
    </w:p>
    <w:p w14:paraId="06114343">
      <w:pPr>
        <w:pStyle w:val="16"/>
        <w:ind w:firstLine="640" w:firstLineChars="200"/>
        <w:rPr>
          <w:rFonts w:ascii="宋体" w:hAnsi="宋体" w:eastAsia="宋体"/>
          <w:sz w:val="32"/>
          <w:szCs w:val="32"/>
        </w:rPr>
      </w:pPr>
      <w:r>
        <w:rPr>
          <w:rFonts w:hint="eastAsia" w:ascii="宋体" w:hAnsi="宋体" w:eastAsia="宋体"/>
          <w:sz w:val="32"/>
          <w:szCs w:val="32"/>
        </w:rPr>
        <w:t>教育支出（类）普通教育（款）高中教育（项）。</w:t>
      </w:r>
    </w:p>
    <w:p w14:paraId="7085975D">
      <w:pPr>
        <w:pStyle w:val="16"/>
        <w:ind w:firstLine="640" w:firstLineChars="200"/>
        <w:rPr>
          <w:rFonts w:ascii="宋体" w:hAnsi="宋体" w:eastAsia="宋体"/>
          <w:sz w:val="32"/>
          <w:szCs w:val="32"/>
        </w:rPr>
      </w:pPr>
      <w:r>
        <w:rPr>
          <w:rFonts w:hint="eastAsia" w:ascii="宋体" w:hAnsi="宋体" w:eastAsia="宋体"/>
          <w:sz w:val="32"/>
          <w:szCs w:val="32"/>
        </w:rPr>
        <w:t>年初预算为</w:t>
      </w:r>
      <w:r>
        <w:rPr>
          <w:rFonts w:ascii="宋体" w:hAnsi="宋体" w:eastAsia="宋体"/>
          <w:sz w:val="32"/>
          <w:szCs w:val="32"/>
        </w:rPr>
        <w:t>0</w:t>
      </w:r>
      <w:r>
        <w:rPr>
          <w:rFonts w:hint="eastAsia" w:ascii="宋体" w:hAnsi="宋体" w:eastAsia="宋体"/>
          <w:sz w:val="32"/>
          <w:szCs w:val="32"/>
        </w:rPr>
        <w:t>万元，支出决算为</w:t>
      </w:r>
      <w:r>
        <w:rPr>
          <w:rFonts w:ascii="宋体" w:hAnsi="宋体" w:eastAsia="宋体"/>
          <w:sz w:val="32"/>
          <w:szCs w:val="32"/>
        </w:rPr>
        <w:t>0</w:t>
      </w:r>
      <w:r>
        <w:rPr>
          <w:rFonts w:hint="eastAsia" w:ascii="宋体" w:hAnsi="宋体" w:eastAsia="宋体"/>
          <w:sz w:val="32"/>
          <w:szCs w:val="32"/>
        </w:rPr>
        <w:t>万元，决算数等于年初预算数的主要原因是：</w:t>
      </w:r>
      <w:r>
        <w:rPr>
          <w:rFonts w:ascii="宋体" w:hAnsi="宋体" w:eastAsia="宋体"/>
          <w:sz w:val="32"/>
          <w:szCs w:val="32"/>
          <w:highlight w:val="white"/>
          <w:lang w:val="zh-CN"/>
        </w:rPr>
        <w:t>2023</w:t>
      </w:r>
      <w:r>
        <w:rPr>
          <w:rFonts w:hint="eastAsia" w:ascii="宋体" w:hAnsi="宋体" w:eastAsia="宋体"/>
          <w:sz w:val="32"/>
          <w:szCs w:val="32"/>
          <w:highlight w:val="white"/>
          <w:lang w:val="zh-CN"/>
        </w:rPr>
        <w:t>年本单位没有使用国有资本经营预算安排的支出</w:t>
      </w:r>
      <w:r>
        <w:rPr>
          <w:rFonts w:hint="eastAsia" w:ascii="宋体" w:hAnsi="宋体" w:eastAsia="宋体"/>
          <w:sz w:val="32"/>
          <w:szCs w:val="32"/>
          <w:lang w:val="zh-CN"/>
        </w:rPr>
        <w:t>。</w:t>
      </w:r>
    </w:p>
    <w:p w14:paraId="36FE4A59">
      <w:pPr>
        <w:autoSpaceDE w:val="0"/>
        <w:autoSpaceDN w:val="0"/>
        <w:adjustRightInd w:val="0"/>
        <w:ind w:firstLine="640" w:firstLineChars="200"/>
        <w:rPr>
          <w:rFonts w:ascii="仿宋_GB2312" w:hAnsi="仿宋_GB2312" w:eastAsia="仿宋_GB2312" w:cs="仿宋_GB2312"/>
          <w:color w:val="000000"/>
          <w:kern w:val="0"/>
          <w:sz w:val="32"/>
          <w:szCs w:val="32"/>
        </w:rPr>
      </w:pPr>
    </w:p>
    <w:p w14:paraId="7BEEC524">
      <w:pPr>
        <w:pStyle w:val="16"/>
        <w:spacing w:line="600" w:lineRule="exact"/>
        <w:ind w:firstLine="640" w:firstLineChars="200"/>
        <w:rPr>
          <w:rFonts w:ascii="Times New Roman" w:hAnsi="Times New Roman" w:eastAsia="仿宋_GB2312"/>
          <w:b/>
          <w:sz w:val="32"/>
          <w:szCs w:val="32"/>
        </w:rPr>
      </w:pPr>
      <w:r>
        <w:rPr>
          <w:rFonts w:hint="eastAsia" w:hAnsi="黑体"/>
          <w:bCs/>
          <w:sz w:val="32"/>
          <w:szCs w:val="32"/>
        </w:rPr>
        <w:t>九、财政拨款三公经费支出决算情况说明</w:t>
      </w:r>
    </w:p>
    <w:p w14:paraId="3457B4A0">
      <w:pPr>
        <w:pStyle w:val="16"/>
        <w:spacing w:line="600" w:lineRule="exact"/>
        <w:ind w:firstLine="640" w:firstLineChars="200"/>
        <w:rPr>
          <w:rFonts w:ascii="楷体" w:hAnsi="楷体" w:eastAsia="楷体" w:cs="楷体"/>
          <w:b/>
          <w:sz w:val="32"/>
          <w:szCs w:val="32"/>
        </w:rPr>
      </w:pPr>
      <w:r>
        <w:rPr>
          <w:rFonts w:hint="eastAsia" w:ascii="楷体" w:hAnsi="楷体" w:eastAsia="楷体" w:cs="楷体"/>
          <w:b/>
          <w:sz w:val="32"/>
          <w:szCs w:val="32"/>
        </w:rPr>
        <w:t>（一）“三公”经费财政拨款支出决算总体情况说明</w:t>
      </w:r>
    </w:p>
    <w:p w14:paraId="465B8A9C">
      <w:pPr>
        <w:pStyle w:val="16"/>
        <w:spacing w:line="600" w:lineRule="exact"/>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“三公”经费财政拨款支出预算为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万元，决算数等于预算数的主要原因是</w:t>
      </w:r>
      <w:r>
        <w:rPr>
          <w:rFonts w:hint="eastAsia" w:ascii="仿宋_GB2312" w:hAnsi="宋体" w:eastAsia="仿宋_GB2312"/>
          <w:sz w:val="32"/>
          <w:szCs w:val="32"/>
        </w:rPr>
        <w:t>无三公经费支出</w:t>
      </w:r>
      <w:r>
        <w:rPr>
          <w:rFonts w:hint="eastAsia" w:ascii="Times New Roman" w:hAnsi="Times New Roman" w:eastAsia="仿宋_GB2312"/>
          <w:sz w:val="32"/>
          <w:szCs w:val="32"/>
        </w:rPr>
        <w:t>。</w:t>
      </w:r>
    </w:p>
    <w:p w14:paraId="159F9E09">
      <w:pPr>
        <w:pStyle w:val="16"/>
        <w:spacing w:line="600" w:lineRule="exact"/>
        <w:ind w:firstLine="800" w:firstLineChars="250"/>
        <w:rPr>
          <w:rFonts w:ascii="Times New Roman" w:hAnsi="Times New Roman" w:eastAsia="仿宋_GB2312"/>
          <w:sz w:val="32"/>
          <w:szCs w:val="32"/>
        </w:rPr>
      </w:pPr>
      <w:r>
        <w:rPr>
          <w:rFonts w:hint="eastAsia" w:ascii="仿宋_GB2312" w:hAnsi="仿宋_GB2312" w:eastAsia="仿宋_GB2312" w:cs="仿宋_GB2312"/>
          <w:sz w:val="32"/>
          <w:szCs w:val="32"/>
        </w:rPr>
        <w:t>因公出国（境）费支出预算为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w:t>
      </w:r>
      <w:r>
        <w:rPr>
          <w:rFonts w:hint="eastAsia" w:ascii="Times New Roman" w:hAnsi="Times New Roman" w:eastAsia="仿宋_GB2312"/>
          <w:sz w:val="32"/>
          <w:szCs w:val="32"/>
        </w:rPr>
        <w:t>决算数等于预算数的主要原因是无因公出国</w:t>
      </w:r>
      <w:r>
        <w:rPr>
          <w:rFonts w:ascii="Times New Roman" w:hAnsi="Times New Roman" w:eastAsia="仿宋_GB2312"/>
          <w:sz w:val="32"/>
          <w:szCs w:val="32"/>
        </w:rPr>
        <w:t>(</w:t>
      </w:r>
      <w:r>
        <w:rPr>
          <w:rFonts w:hint="eastAsia" w:ascii="Times New Roman" w:hAnsi="Times New Roman" w:eastAsia="仿宋_GB2312"/>
          <w:sz w:val="32"/>
          <w:szCs w:val="32"/>
        </w:rPr>
        <w:t>境</w:t>
      </w:r>
      <w:r>
        <w:rPr>
          <w:rFonts w:ascii="Times New Roman" w:hAnsi="Times New Roman" w:eastAsia="仿宋_GB2312"/>
          <w:sz w:val="32"/>
          <w:szCs w:val="32"/>
        </w:rPr>
        <w:t>)</w:t>
      </w:r>
      <w:r>
        <w:rPr>
          <w:rFonts w:hint="eastAsia" w:ascii="Times New Roman" w:hAnsi="Times New Roman" w:eastAsia="仿宋_GB2312"/>
          <w:sz w:val="32"/>
          <w:szCs w:val="32"/>
        </w:rPr>
        <w:t>费支出。</w:t>
      </w:r>
    </w:p>
    <w:p w14:paraId="28FAB6DA">
      <w:pPr>
        <w:pStyle w:val="16"/>
        <w:spacing w:line="600" w:lineRule="exact"/>
        <w:ind w:firstLine="800" w:firstLineChars="250"/>
        <w:rPr>
          <w:rFonts w:ascii="Times New Roman" w:hAnsi="Times New Roman" w:eastAsia="仿宋_GB2312"/>
          <w:sz w:val="32"/>
          <w:szCs w:val="32"/>
        </w:rPr>
      </w:pPr>
      <w:r>
        <w:rPr>
          <w:rFonts w:hint="eastAsia" w:ascii="仿宋_GB2312" w:hAnsi="仿宋_GB2312" w:eastAsia="仿宋_GB2312" w:cs="仿宋_GB2312"/>
          <w:sz w:val="32"/>
          <w:szCs w:val="32"/>
        </w:rPr>
        <w:t>公务接待费支出预算为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w:t>
      </w:r>
      <w:r>
        <w:rPr>
          <w:rFonts w:hint="eastAsia" w:ascii="Times New Roman" w:hAnsi="Times New Roman" w:eastAsia="仿宋_GB2312"/>
          <w:sz w:val="32"/>
          <w:szCs w:val="32"/>
        </w:rPr>
        <w:t>决算数等于预算数的主要原因是无公务接待支出。</w:t>
      </w:r>
    </w:p>
    <w:p w14:paraId="121F5636">
      <w:pPr>
        <w:pStyle w:val="16"/>
        <w:spacing w:line="600" w:lineRule="exact"/>
        <w:ind w:firstLine="800" w:firstLineChars="250"/>
        <w:rPr>
          <w:rFonts w:ascii="Times New Roman" w:hAnsi="Times New Roman" w:eastAsia="仿宋_GB2312"/>
          <w:sz w:val="32"/>
          <w:szCs w:val="32"/>
        </w:rPr>
      </w:pPr>
      <w:r>
        <w:rPr>
          <w:rFonts w:hint="eastAsia" w:ascii="仿宋_GB2312" w:hAnsi="仿宋_GB2312" w:eastAsia="仿宋_GB2312" w:cs="仿宋_GB2312"/>
          <w:sz w:val="32"/>
          <w:szCs w:val="32"/>
        </w:rPr>
        <w:t>公务用车购置费支出预算为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元，支出决算为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元，</w:t>
      </w:r>
      <w:r>
        <w:rPr>
          <w:rFonts w:hint="eastAsia" w:ascii="Times New Roman" w:hAnsi="Times New Roman" w:eastAsia="仿宋_GB2312"/>
          <w:sz w:val="32"/>
          <w:szCs w:val="32"/>
        </w:rPr>
        <w:t>决算数等于预算数的主要原因是无公务用车购置费支出。</w:t>
      </w:r>
    </w:p>
    <w:p w14:paraId="0CDD24FD">
      <w:pPr>
        <w:pStyle w:val="16"/>
        <w:spacing w:line="600" w:lineRule="exact"/>
        <w:ind w:firstLine="800" w:firstLineChars="250"/>
        <w:rPr>
          <w:rFonts w:ascii="Times New Roman" w:hAnsi="Times New Roman" w:eastAsia="仿宋_GB2312"/>
          <w:sz w:val="32"/>
          <w:szCs w:val="32"/>
        </w:rPr>
      </w:pPr>
      <w:r>
        <w:rPr>
          <w:rFonts w:hint="eastAsia" w:ascii="仿宋_GB2312" w:hAnsi="仿宋_GB2312" w:eastAsia="仿宋_GB2312" w:cs="仿宋_GB2312"/>
          <w:sz w:val="32"/>
          <w:szCs w:val="32"/>
        </w:rPr>
        <w:t>公务用车运行维护费支出预算为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元，支出决算为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元，</w:t>
      </w:r>
      <w:r>
        <w:rPr>
          <w:rFonts w:hint="eastAsia" w:ascii="Times New Roman" w:hAnsi="Times New Roman" w:eastAsia="仿宋_GB2312"/>
          <w:sz w:val="32"/>
          <w:szCs w:val="32"/>
        </w:rPr>
        <w:t>决算数等于预算数的主要原因是无公务用车运行维护费支出。</w:t>
      </w:r>
    </w:p>
    <w:p w14:paraId="49C98862">
      <w:pPr>
        <w:pStyle w:val="16"/>
        <w:spacing w:line="600" w:lineRule="exact"/>
        <w:ind w:firstLine="640" w:firstLineChars="200"/>
        <w:rPr>
          <w:rFonts w:ascii="仿宋_GB2312" w:hAnsi="仿宋_GB2312" w:eastAsia="仿宋_GB2312" w:cs="仿宋_GB2312"/>
          <w:sz w:val="32"/>
          <w:szCs w:val="32"/>
        </w:rPr>
      </w:pPr>
    </w:p>
    <w:p w14:paraId="302192D3">
      <w:pPr>
        <w:pStyle w:val="16"/>
        <w:spacing w:line="600" w:lineRule="exact"/>
        <w:ind w:firstLine="640" w:firstLineChars="200"/>
        <w:rPr>
          <w:rFonts w:ascii="楷体" w:hAnsi="楷体" w:eastAsia="楷体" w:cs="楷体"/>
          <w:b/>
          <w:sz w:val="32"/>
          <w:szCs w:val="32"/>
        </w:rPr>
      </w:pPr>
      <w:r>
        <w:rPr>
          <w:rFonts w:hint="eastAsia" w:ascii="楷体" w:hAnsi="楷体" w:eastAsia="楷体" w:cs="楷体"/>
          <w:b/>
          <w:sz w:val="32"/>
          <w:szCs w:val="32"/>
        </w:rPr>
        <w:t>（二）“三公”经费财政拨款支出决算具体情况说明</w:t>
      </w:r>
    </w:p>
    <w:p w14:paraId="7E095870">
      <w:pPr>
        <w:pStyle w:val="16"/>
        <w:spacing w:line="600" w:lineRule="exact"/>
        <w:ind w:firstLine="640" w:firstLineChars="200"/>
        <w:rPr>
          <w:rFonts w:ascii="仿宋_GB2312" w:hAnsi="仿宋_GB2312" w:eastAsia="仿宋_GB2312" w:cs="仿宋_GB2312"/>
          <w:sz w:val="32"/>
          <w:szCs w:val="32"/>
        </w:rPr>
      </w:pPr>
      <w:r>
        <w:rPr>
          <w:rFonts w:ascii="Times New Roman" w:hAnsi="Times New Roman" w:eastAsia="仿宋_GB2312"/>
          <w:sz w:val="32"/>
          <w:szCs w:val="32"/>
        </w:rPr>
        <w:t>2</w:t>
      </w:r>
      <w:r>
        <w:rPr>
          <w:rFonts w:ascii="仿宋_GB2312" w:hAnsi="仿宋_GB2312" w:eastAsia="仿宋_GB2312" w:cs="仿宋_GB2312"/>
          <w:sz w:val="32"/>
          <w:szCs w:val="32"/>
        </w:rPr>
        <w:t>023</w:t>
      </w:r>
      <w:r>
        <w:rPr>
          <w:rFonts w:hint="eastAsia" w:ascii="仿宋_GB2312" w:hAnsi="仿宋_GB2312" w:eastAsia="仿宋_GB2312" w:cs="仿宋_GB2312"/>
          <w:sz w:val="32"/>
          <w:szCs w:val="32"/>
        </w:rPr>
        <w:t>年度“三公”经费财政拨款支出决算中，公务接待费支出决算</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万元，因公出国（境）费支出决算</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万元，公务用车购置费及运行维护费支出决算</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万元。其中：</w:t>
      </w:r>
    </w:p>
    <w:p w14:paraId="19C80EB0">
      <w:pPr>
        <w:pStyle w:val="16"/>
        <w:spacing w:line="600" w:lineRule="exact"/>
        <w:ind w:firstLine="640" w:firstLineChars="200"/>
        <w:rPr>
          <w:rFonts w:ascii="仿宋_GB2312" w:hAnsi="仿宋_GB2312" w:eastAsia="仿宋_GB2312" w:cs="仿宋_GB2312"/>
          <w:b/>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、因公出国（境）费支出决算为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万元，全年安排因公出国（境）团组</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个，累计</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人次，</w:t>
      </w:r>
      <w:r>
        <w:rPr>
          <w:rFonts w:hint="eastAsia" w:ascii="仿宋_GB2312" w:hAnsi="仿宋_GB2312" w:eastAsia="仿宋_GB2312" w:cs="仿宋_GB2312"/>
          <w:bCs/>
          <w:color w:val="auto"/>
          <w:sz w:val="32"/>
          <w:szCs w:val="32"/>
        </w:rPr>
        <w:t>我单位</w:t>
      </w:r>
      <w:r>
        <w:rPr>
          <w:rFonts w:ascii="仿宋_GB2312" w:hAnsi="仿宋_GB2312" w:eastAsia="仿宋_GB2312" w:cs="仿宋_GB2312"/>
          <w:bCs/>
          <w:color w:val="auto"/>
          <w:sz w:val="32"/>
          <w:szCs w:val="32"/>
        </w:rPr>
        <w:t>2023</w:t>
      </w:r>
      <w:r>
        <w:rPr>
          <w:rFonts w:hint="eastAsia" w:ascii="仿宋_GB2312" w:hAnsi="仿宋_GB2312" w:eastAsia="仿宋_GB2312" w:cs="仿宋_GB2312"/>
          <w:bCs/>
          <w:color w:val="auto"/>
          <w:sz w:val="32"/>
          <w:szCs w:val="32"/>
        </w:rPr>
        <w:t>年度无因公出国（境）费支出。</w:t>
      </w:r>
    </w:p>
    <w:p w14:paraId="4F530BA9">
      <w:pPr>
        <w:pStyle w:val="16"/>
        <w:spacing w:line="600" w:lineRule="exact"/>
        <w:ind w:firstLine="800" w:firstLineChars="25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、公务接待费支出决算为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万元，全年共接待来访团组</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个、来宾</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人次，</w:t>
      </w:r>
      <w:r>
        <w:rPr>
          <w:rFonts w:hint="eastAsia" w:ascii="仿宋_GB2312" w:hAnsi="仿宋_GB2312" w:eastAsia="仿宋_GB2312" w:cs="仿宋_GB2312"/>
          <w:bCs/>
          <w:color w:val="auto"/>
          <w:sz w:val="32"/>
          <w:szCs w:val="32"/>
        </w:rPr>
        <w:t>我单位</w:t>
      </w:r>
      <w:r>
        <w:rPr>
          <w:rFonts w:ascii="仿宋_GB2312" w:hAnsi="仿宋_GB2312" w:eastAsia="仿宋_GB2312" w:cs="仿宋_GB2312"/>
          <w:bCs/>
          <w:color w:val="auto"/>
          <w:sz w:val="32"/>
          <w:szCs w:val="32"/>
        </w:rPr>
        <w:t>2023</w:t>
      </w:r>
      <w:r>
        <w:rPr>
          <w:rFonts w:hint="eastAsia" w:ascii="仿宋_GB2312" w:hAnsi="仿宋_GB2312" w:eastAsia="仿宋_GB2312" w:cs="仿宋_GB2312"/>
          <w:bCs/>
          <w:color w:val="auto"/>
          <w:sz w:val="32"/>
          <w:szCs w:val="32"/>
        </w:rPr>
        <w:t>年度无公务接待费支出。</w:t>
      </w:r>
    </w:p>
    <w:p w14:paraId="54960EBC">
      <w:pPr>
        <w:spacing w:line="600" w:lineRule="exact"/>
        <w:ind w:firstLine="800" w:firstLineChars="250"/>
        <w:rPr>
          <w:rFonts w:ascii="仿宋_GB2312" w:hAnsi="仿宋_GB2312" w:eastAsia="仿宋_GB2312" w:cs="仿宋_GB2312"/>
          <w:b/>
          <w:bCs/>
          <w:i/>
          <w:kern w:val="0"/>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、公务用车购置费及运行维护费支出决算为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万元，其中：公务用车购置费</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w:t>
      </w:r>
      <w:r>
        <w:rPr>
          <w:rFonts w:hint="eastAsia" w:ascii="仿宋_GB2312" w:hAnsi="仿宋_GB2312" w:eastAsia="仿宋_GB2312" w:cs="仿宋_GB2312"/>
          <w:bCs/>
          <w:sz w:val="32"/>
          <w:szCs w:val="32"/>
        </w:rPr>
        <w:t>当年没有购置公务用车。公务用车运行维护费</w:t>
      </w:r>
      <w:r>
        <w:rPr>
          <w:rFonts w:ascii="仿宋_GB2312" w:hAnsi="仿宋_GB2312" w:eastAsia="仿宋_GB2312" w:cs="仿宋_GB2312"/>
          <w:bCs/>
          <w:sz w:val="32"/>
          <w:szCs w:val="32"/>
        </w:rPr>
        <w:t>0</w:t>
      </w:r>
      <w:r>
        <w:rPr>
          <w:rFonts w:hint="eastAsia" w:ascii="仿宋_GB2312" w:hAnsi="仿宋_GB2312" w:eastAsia="仿宋_GB2312" w:cs="仿宋_GB2312"/>
          <w:bCs/>
          <w:sz w:val="32"/>
          <w:szCs w:val="32"/>
        </w:rPr>
        <w:t>万元，</w:t>
      </w:r>
      <w:r>
        <w:rPr>
          <w:rFonts w:hint="eastAsia" w:ascii="仿宋_GB2312" w:hAnsi="仿宋_GB2312" w:eastAsia="仿宋_GB2312" w:cs="仿宋_GB2312"/>
          <w:sz w:val="32"/>
          <w:szCs w:val="32"/>
        </w:rPr>
        <w:t>截止</w:t>
      </w: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31</w:t>
      </w:r>
      <w:r>
        <w:rPr>
          <w:rFonts w:hint="eastAsia" w:ascii="仿宋_GB2312" w:hAnsi="仿宋_GB2312" w:eastAsia="仿宋_GB2312" w:cs="仿宋_GB2312"/>
          <w:sz w:val="32"/>
          <w:szCs w:val="32"/>
        </w:rPr>
        <w:t>日，我单位开支财政拨款的公务用车保有量为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w:t>
      </w:r>
    </w:p>
    <w:p w14:paraId="6BAB6CC3">
      <w:pPr>
        <w:pStyle w:val="16"/>
        <w:spacing w:line="600" w:lineRule="exact"/>
        <w:ind w:firstLine="640" w:firstLineChars="200"/>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十、关于机关运行经费支出说明</w:t>
      </w:r>
    </w:p>
    <w:p w14:paraId="2BC35135">
      <w:pPr>
        <w:pStyle w:val="16"/>
        <w:ind w:firstLine="640" w:firstLineChars="200"/>
        <w:rPr>
          <w:rFonts w:ascii="Times New Roman" w:hAnsi="Times New Roman" w:eastAsia="仿宋_GB2312"/>
          <w:sz w:val="32"/>
          <w:szCs w:val="32"/>
        </w:rPr>
      </w:pPr>
      <w:r>
        <w:rPr>
          <w:rFonts w:hint="eastAsia" w:ascii="仿宋_GB2312" w:hAnsi="仿宋_GB2312" w:eastAsia="仿宋_GB2312" w:cs="仿宋_GB2312"/>
          <w:sz w:val="32"/>
          <w:szCs w:val="32"/>
        </w:rPr>
        <w:t>本部门</w:t>
      </w: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年度机关运行经费支出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w:t>
      </w:r>
      <w:r>
        <w:rPr>
          <w:rFonts w:hint="eastAsia" w:ascii="Times New Roman" w:hAnsi="Times New Roman" w:eastAsia="仿宋_GB2312"/>
          <w:sz w:val="32"/>
          <w:szCs w:val="32"/>
        </w:rPr>
        <w:t>比年初预算数（或者上年决算数）增加</w:t>
      </w:r>
      <w:r>
        <w:rPr>
          <w:rFonts w:ascii="Times New Roman" w:hAnsi="Times New Roman" w:eastAsia="仿宋_GB2312"/>
          <w:sz w:val="32"/>
          <w:szCs w:val="32"/>
        </w:rPr>
        <w:t>0</w:t>
      </w:r>
      <w:r>
        <w:rPr>
          <w:rFonts w:hint="eastAsia" w:ascii="Times New Roman" w:hAnsi="Times New Roman" w:eastAsia="仿宋_GB2312"/>
          <w:sz w:val="32"/>
          <w:szCs w:val="32"/>
        </w:rPr>
        <w:t>万元，增长</w:t>
      </w:r>
      <w:r>
        <w:rPr>
          <w:rFonts w:ascii="Times New Roman" w:hAnsi="Times New Roman" w:eastAsia="仿宋_GB2312"/>
          <w:sz w:val="32"/>
          <w:szCs w:val="32"/>
        </w:rPr>
        <w:t>0%</w:t>
      </w:r>
      <w:r>
        <w:rPr>
          <w:rFonts w:hint="eastAsia" w:ascii="Times New Roman" w:hAnsi="Times New Roman" w:eastAsia="仿宋_GB2312"/>
          <w:sz w:val="32"/>
          <w:szCs w:val="32"/>
        </w:rPr>
        <w:t>。</w:t>
      </w:r>
      <w:r>
        <w:rPr>
          <w:rFonts w:hint="eastAsia" w:ascii="仿宋_GB2312" w:hAnsi="Times New Roman" w:eastAsia="仿宋_GB2312"/>
          <w:sz w:val="32"/>
          <w:szCs w:val="32"/>
        </w:rPr>
        <w:t>主要原因是：</w:t>
      </w:r>
      <w:r>
        <w:rPr>
          <w:rFonts w:hint="eastAsia" w:ascii="仿宋_GB2312" w:hAnsi="宋体" w:eastAsia="仿宋_GB2312"/>
          <w:sz w:val="32"/>
          <w:szCs w:val="32"/>
        </w:rPr>
        <w:t>本级和所属单位均为事业单位，按照机关运行经费的口径，本年度机关运行经费为</w:t>
      </w:r>
      <w:r>
        <w:rPr>
          <w:rFonts w:ascii="仿宋_GB2312" w:hAnsi="宋体" w:eastAsia="仿宋_GB2312"/>
          <w:sz w:val="32"/>
          <w:szCs w:val="32"/>
        </w:rPr>
        <w:t>0</w:t>
      </w:r>
      <w:r>
        <w:rPr>
          <w:rFonts w:hint="eastAsia" w:ascii="仿宋_GB2312" w:hAnsi="宋体" w:eastAsia="仿宋_GB2312"/>
          <w:sz w:val="32"/>
          <w:szCs w:val="32"/>
        </w:rPr>
        <w:t>。</w:t>
      </w:r>
    </w:p>
    <w:p w14:paraId="336A2289">
      <w:pPr>
        <w:pStyle w:val="16"/>
        <w:spacing w:line="600" w:lineRule="exact"/>
        <w:ind w:firstLine="640" w:firstLineChars="200"/>
        <w:rPr>
          <w:rFonts w:hAnsi="黑体"/>
          <w:bCs/>
          <w:sz w:val="32"/>
          <w:szCs w:val="32"/>
        </w:rPr>
      </w:pPr>
      <w:r>
        <w:rPr>
          <w:rFonts w:hint="eastAsia" w:hAnsi="黑体"/>
          <w:bCs/>
          <w:sz w:val="32"/>
          <w:szCs w:val="32"/>
        </w:rPr>
        <w:t>十一、一般性支出情况说明</w:t>
      </w:r>
    </w:p>
    <w:p w14:paraId="1475EB70">
      <w:pPr>
        <w:pStyle w:val="16"/>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年年度，会议费年初预算</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万元，全年无会议费支出。</w:t>
      </w:r>
    </w:p>
    <w:p w14:paraId="535D8B08">
      <w:pPr>
        <w:autoSpaceDE w:val="0"/>
        <w:autoSpaceDN w:val="0"/>
        <w:adjustRightInd w:val="0"/>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培训费年初预算</w:t>
      </w:r>
      <w:r>
        <w:rPr>
          <w:rFonts w:ascii="仿宋_GB2312" w:hAnsi="仿宋_GB2312" w:eastAsia="仿宋_GB2312" w:cs="仿宋_GB2312"/>
          <w:color w:val="000000"/>
          <w:kern w:val="0"/>
          <w:sz w:val="32"/>
          <w:szCs w:val="32"/>
        </w:rPr>
        <w:t>15.5</w:t>
      </w:r>
      <w:r>
        <w:rPr>
          <w:rFonts w:hint="eastAsia" w:ascii="仿宋_GB2312" w:hAnsi="仿宋_GB2312" w:eastAsia="仿宋_GB2312" w:cs="仿宋_GB2312"/>
          <w:color w:val="000000"/>
          <w:kern w:val="0"/>
          <w:sz w:val="32"/>
          <w:szCs w:val="32"/>
        </w:rPr>
        <w:t>万元，支出决算为</w:t>
      </w:r>
      <w:r>
        <w:rPr>
          <w:rFonts w:ascii="仿宋_GB2312" w:hAnsi="仿宋_GB2312" w:eastAsia="仿宋_GB2312" w:cs="仿宋_GB2312"/>
          <w:color w:val="000000"/>
          <w:kern w:val="0"/>
          <w:sz w:val="32"/>
          <w:szCs w:val="32"/>
        </w:rPr>
        <w:t>15.5</w:t>
      </w:r>
      <w:r>
        <w:rPr>
          <w:rFonts w:hint="eastAsia" w:ascii="仿宋_GB2312" w:hAnsi="仿宋_GB2312" w:eastAsia="仿宋_GB2312" w:cs="仿宋_GB2312"/>
          <w:color w:val="000000"/>
          <w:kern w:val="0"/>
          <w:sz w:val="32"/>
          <w:szCs w:val="32"/>
        </w:rPr>
        <w:t>万元，完成年初预算的</w:t>
      </w:r>
      <w:r>
        <w:rPr>
          <w:rFonts w:ascii="仿宋_GB2312" w:hAnsi="仿宋_GB2312" w:eastAsia="仿宋_GB2312" w:cs="仿宋_GB2312"/>
          <w:color w:val="000000"/>
          <w:kern w:val="0"/>
          <w:sz w:val="32"/>
          <w:szCs w:val="32"/>
        </w:rPr>
        <w:t>100%</w:t>
      </w:r>
      <w:r>
        <w:rPr>
          <w:rFonts w:hint="eastAsia" w:ascii="仿宋_GB2312" w:hAnsi="仿宋_GB2312" w:eastAsia="仿宋_GB2312" w:cs="仿宋_GB2312"/>
          <w:color w:val="000000"/>
          <w:kern w:val="0"/>
          <w:sz w:val="32"/>
          <w:szCs w:val="32"/>
        </w:rPr>
        <w:t>。用于开展</w:t>
      </w:r>
      <w:r>
        <w:rPr>
          <w:rFonts w:hint="eastAsia" w:ascii="Times New Roman" w:hAnsi="Times New Roman" w:eastAsia="仿宋_GB2312"/>
          <w:sz w:val="32"/>
          <w:szCs w:val="32"/>
        </w:rPr>
        <w:t>学校教师各类外出培训，人数</w:t>
      </w:r>
      <w:r>
        <w:rPr>
          <w:rFonts w:ascii="Times New Roman" w:hAnsi="Times New Roman" w:eastAsia="仿宋_GB2312"/>
          <w:sz w:val="32"/>
          <w:szCs w:val="32"/>
        </w:rPr>
        <w:t>500</w:t>
      </w:r>
      <w:r>
        <w:rPr>
          <w:rFonts w:hint="eastAsia" w:ascii="Times New Roman" w:hAnsi="Times New Roman" w:eastAsia="仿宋_GB2312"/>
          <w:sz w:val="32"/>
          <w:szCs w:val="32"/>
        </w:rPr>
        <w:t>百人次，内容为班主任培训、教师网络培训、教师业务培训等。</w:t>
      </w:r>
      <w:r>
        <w:rPr>
          <w:rFonts w:hint="eastAsia" w:ascii="仿宋_GB2312" w:hAnsi="仿宋_GB2312" w:eastAsia="仿宋_GB2312" w:cs="仿宋_GB2312"/>
          <w:color w:val="000000"/>
          <w:kern w:val="0"/>
          <w:sz w:val="32"/>
          <w:szCs w:val="32"/>
        </w:rPr>
        <w:t>。</w:t>
      </w:r>
    </w:p>
    <w:p w14:paraId="7EE5D154">
      <w:pPr>
        <w:pStyle w:val="16"/>
        <w:ind w:firstLine="640" w:firstLineChars="200"/>
        <w:rPr>
          <w:rFonts w:ascii="楷体" w:hAnsi="楷体" w:eastAsia="楷体" w:cs="楷体"/>
          <w:b/>
          <w:bCs/>
          <w:i/>
          <w:color w:val="FF0000"/>
          <w:sz w:val="32"/>
          <w:szCs w:val="32"/>
        </w:rPr>
      </w:pPr>
      <w:r>
        <w:rPr>
          <w:rFonts w:hint="eastAsia" w:ascii="仿宋_GB2312" w:hAnsi="仿宋_GB2312" w:eastAsia="仿宋_GB2312" w:cs="仿宋_GB2312"/>
          <w:sz w:val="32"/>
          <w:szCs w:val="32"/>
        </w:rPr>
        <w:t>举办节庆、晚会、论坛、赛事活动年初预算</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万元，主要是</w:t>
      </w:r>
      <w:r>
        <w:rPr>
          <w:rFonts w:hint="eastAsia" w:ascii="Times New Roman" w:hAnsi="Times New Roman" w:eastAsia="仿宋_GB2312"/>
          <w:sz w:val="32"/>
          <w:szCs w:val="32"/>
        </w:rPr>
        <w:t>本单位无举办节庆、晚会、论坛、赛事的等活动的预算和支出决算数。</w:t>
      </w:r>
    </w:p>
    <w:p w14:paraId="722948B7">
      <w:pPr>
        <w:autoSpaceDE w:val="0"/>
        <w:autoSpaceDN w:val="0"/>
        <w:adjustRightInd w:val="0"/>
        <w:ind w:firstLine="640" w:firstLineChars="200"/>
        <w:rPr>
          <w:rFonts w:ascii="仿宋_GB2312" w:hAnsi="仿宋_GB2312" w:eastAsia="仿宋_GB2312" w:cs="仿宋_GB2312"/>
          <w:b/>
          <w:bCs/>
          <w:i/>
          <w:color w:val="FF0000"/>
          <w:kern w:val="0"/>
          <w:sz w:val="32"/>
          <w:szCs w:val="32"/>
        </w:rPr>
      </w:pPr>
      <w:bookmarkStart w:id="0" w:name="_GoBack"/>
      <w:bookmarkEnd w:id="0"/>
    </w:p>
    <w:p w14:paraId="78EDA5EB">
      <w:pPr>
        <w:pStyle w:val="16"/>
        <w:spacing w:line="600" w:lineRule="exact"/>
        <w:ind w:firstLine="640" w:firstLineChars="200"/>
        <w:rPr>
          <w:rFonts w:hAnsi="黑体"/>
          <w:bCs/>
          <w:sz w:val="32"/>
          <w:szCs w:val="32"/>
        </w:rPr>
      </w:pPr>
      <w:r>
        <w:rPr>
          <w:rFonts w:hint="eastAsia" w:hAnsi="黑体"/>
          <w:bCs/>
          <w:sz w:val="32"/>
          <w:szCs w:val="32"/>
        </w:rPr>
        <w:t>十二、关于政府采购支出说明</w:t>
      </w:r>
    </w:p>
    <w:p w14:paraId="498D52F6">
      <w:pPr>
        <w:pStyle w:val="16"/>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sz w:val="32"/>
          <w:szCs w:val="32"/>
        </w:rPr>
        <w:t>本部门</w:t>
      </w: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年度</w:t>
      </w:r>
      <w:r>
        <w:rPr>
          <w:rFonts w:hint="eastAsia" w:ascii="Times New Roman" w:hAnsi="Times New Roman" w:eastAsia="仿宋_GB2312"/>
          <w:sz w:val="32"/>
          <w:szCs w:val="32"/>
        </w:rPr>
        <w:t>政府采购支出总额</w:t>
      </w:r>
      <w:r>
        <w:rPr>
          <w:rFonts w:ascii="Times New Roman" w:hAnsi="Times New Roman" w:eastAsia="仿宋_GB2312"/>
          <w:sz w:val="32"/>
          <w:szCs w:val="32"/>
        </w:rPr>
        <w:t>0</w:t>
      </w:r>
      <w:r>
        <w:rPr>
          <w:rFonts w:hint="eastAsia" w:ascii="Times New Roman" w:hAnsi="Times New Roman" w:eastAsia="仿宋_GB2312"/>
          <w:sz w:val="32"/>
          <w:szCs w:val="32"/>
        </w:rPr>
        <w:t>万元，其中：政府采购货物支出</w:t>
      </w:r>
      <w:r>
        <w:rPr>
          <w:rFonts w:ascii="Times New Roman" w:hAnsi="Times New Roman" w:eastAsia="仿宋_GB2312"/>
          <w:sz w:val="32"/>
          <w:szCs w:val="32"/>
        </w:rPr>
        <w:t xml:space="preserve">0 </w:t>
      </w:r>
      <w:r>
        <w:rPr>
          <w:rFonts w:hint="eastAsia" w:ascii="Times New Roman" w:hAnsi="Times New Roman" w:eastAsia="仿宋_GB2312"/>
          <w:sz w:val="32"/>
          <w:szCs w:val="32"/>
        </w:rPr>
        <w:t>万元、政府采购工程支出</w:t>
      </w:r>
      <w:r>
        <w:rPr>
          <w:rFonts w:ascii="Times New Roman" w:hAnsi="Times New Roman" w:eastAsia="仿宋_GB2312"/>
          <w:sz w:val="32"/>
          <w:szCs w:val="32"/>
        </w:rPr>
        <w:t>0</w:t>
      </w:r>
      <w:r>
        <w:rPr>
          <w:rFonts w:hint="eastAsia" w:ascii="Times New Roman" w:hAnsi="Times New Roman" w:eastAsia="仿宋_GB2312"/>
          <w:sz w:val="32"/>
          <w:szCs w:val="32"/>
        </w:rPr>
        <w:t>万元、政府采购服务支出</w:t>
      </w:r>
      <w:r>
        <w:rPr>
          <w:rFonts w:ascii="Times New Roman" w:hAnsi="Times New Roman" w:eastAsia="仿宋_GB2312"/>
          <w:sz w:val="32"/>
          <w:szCs w:val="32"/>
        </w:rPr>
        <w:t>0</w:t>
      </w:r>
      <w:r>
        <w:rPr>
          <w:rFonts w:hint="eastAsia" w:ascii="Times New Roman" w:hAnsi="Times New Roman" w:eastAsia="仿宋_GB2312"/>
          <w:sz w:val="32"/>
          <w:szCs w:val="32"/>
        </w:rPr>
        <w:t>万元。授予中小企业合同金额</w:t>
      </w:r>
      <w:r>
        <w:rPr>
          <w:rFonts w:ascii="Times New Roman" w:hAnsi="Times New Roman" w:eastAsia="仿宋_GB2312"/>
          <w:sz w:val="32"/>
          <w:szCs w:val="32"/>
        </w:rPr>
        <w:t>0</w:t>
      </w:r>
      <w:r>
        <w:rPr>
          <w:rFonts w:hint="eastAsia" w:ascii="Times New Roman" w:hAnsi="Times New Roman" w:eastAsia="仿宋_GB2312"/>
          <w:sz w:val="32"/>
          <w:szCs w:val="32"/>
        </w:rPr>
        <w:t>万元（由于政府采购支出总额为</w:t>
      </w:r>
      <w:r>
        <w:rPr>
          <w:rFonts w:ascii="Times New Roman" w:hAnsi="Times New Roman" w:eastAsia="仿宋_GB2312"/>
          <w:sz w:val="32"/>
          <w:szCs w:val="32"/>
        </w:rPr>
        <w:t>0</w:t>
      </w:r>
      <w:r>
        <w:rPr>
          <w:rFonts w:hint="eastAsia" w:ascii="Times New Roman" w:hAnsi="Times New Roman" w:eastAsia="仿宋_GB2312"/>
          <w:sz w:val="32"/>
          <w:szCs w:val="32"/>
        </w:rPr>
        <w:t>，故无法计算占政府采购支出总额的比重），其中：授予小微企业合同金额</w:t>
      </w:r>
      <w:r>
        <w:rPr>
          <w:rFonts w:ascii="Times New Roman" w:hAnsi="Times New Roman" w:eastAsia="仿宋_GB2312"/>
          <w:sz w:val="32"/>
          <w:szCs w:val="32"/>
        </w:rPr>
        <w:t>0</w:t>
      </w:r>
      <w:r>
        <w:rPr>
          <w:rFonts w:hint="eastAsia" w:ascii="Times New Roman" w:hAnsi="Times New Roman" w:eastAsia="仿宋_GB2312"/>
          <w:sz w:val="32"/>
          <w:szCs w:val="32"/>
        </w:rPr>
        <w:t>万元（由于授予小微企业合同金额</w:t>
      </w:r>
      <w:r>
        <w:rPr>
          <w:rFonts w:ascii="Times New Roman" w:hAnsi="Times New Roman" w:eastAsia="仿宋_GB2312"/>
          <w:sz w:val="32"/>
          <w:szCs w:val="32"/>
        </w:rPr>
        <w:t>0</w:t>
      </w:r>
      <w:r>
        <w:rPr>
          <w:rFonts w:hint="eastAsia" w:ascii="Times New Roman" w:hAnsi="Times New Roman" w:eastAsia="仿宋_GB2312"/>
          <w:sz w:val="32"/>
          <w:szCs w:val="32"/>
        </w:rPr>
        <w:t>，故无法计算占授予中小企业合同金额的比重）。货物采购授予中小企业合同金额占货物支出金额的比重，工程采购授予中小企业合同金额占工程支出金额的比重，服务采购授予中小企业合同金额占服务支出金额的比重，由于以上各项合同金额为</w:t>
      </w:r>
      <w:r>
        <w:rPr>
          <w:rFonts w:ascii="Times New Roman" w:hAnsi="Times New Roman" w:eastAsia="仿宋_GB2312"/>
          <w:sz w:val="32"/>
          <w:szCs w:val="32"/>
        </w:rPr>
        <w:t>0</w:t>
      </w:r>
      <w:r>
        <w:rPr>
          <w:rFonts w:hint="eastAsia" w:ascii="Times New Roman" w:hAnsi="Times New Roman" w:eastAsia="仿宋_GB2312"/>
          <w:sz w:val="32"/>
          <w:szCs w:val="32"/>
        </w:rPr>
        <w:t>，故无法计算各项占比。</w:t>
      </w:r>
    </w:p>
    <w:p w14:paraId="62B6BA8A">
      <w:pPr>
        <w:pStyle w:val="16"/>
        <w:spacing w:line="580" w:lineRule="exact"/>
        <w:ind w:firstLine="640" w:firstLineChars="200"/>
        <w:rPr>
          <w:rFonts w:hAnsi="黑体"/>
          <w:bCs/>
          <w:color w:val="auto"/>
          <w:sz w:val="32"/>
          <w:szCs w:val="32"/>
        </w:rPr>
      </w:pPr>
      <w:r>
        <w:rPr>
          <w:rFonts w:hint="eastAsia" w:hAnsi="黑体"/>
          <w:bCs/>
          <w:color w:val="auto"/>
          <w:sz w:val="32"/>
          <w:szCs w:val="32"/>
        </w:rPr>
        <w:t>十三、关于国有资产占用情况说明</w:t>
      </w:r>
    </w:p>
    <w:p w14:paraId="5C318271">
      <w:pPr>
        <w:pStyle w:val="16"/>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截至</w:t>
      </w:r>
      <w:r>
        <w:rPr>
          <w:rFonts w:ascii="仿宋_GB2312" w:hAnsi="仿宋_GB2312" w:eastAsia="仿宋_GB2312" w:cs="仿宋_GB2312"/>
          <w:color w:val="auto"/>
          <w:sz w:val="32"/>
          <w:szCs w:val="32"/>
        </w:rPr>
        <w:t>2023</w:t>
      </w:r>
      <w:r>
        <w:rPr>
          <w:rFonts w:hint="eastAsia" w:ascii="仿宋_GB2312" w:hAnsi="仿宋_GB2312" w:eastAsia="仿宋_GB2312" w:cs="仿宋_GB2312"/>
          <w:color w:val="auto"/>
          <w:sz w:val="32"/>
          <w:szCs w:val="32"/>
        </w:rPr>
        <w:t>年</w:t>
      </w:r>
      <w:r>
        <w:rPr>
          <w:rFonts w:ascii="仿宋_GB2312" w:hAnsi="仿宋_GB2312" w:eastAsia="仿宋_GB2312" w:cs="仿宋_GB2312"/>
          <w:color w:val="auto"/>
          <w:sz w:val="32"/>
          <w:szCs w:val="32"/>
        </w:rPr>
        <w:t>12</w:t>
      </w:r>
      <w:r>
        <w:rPr>
          <w:rFonts w:hint="eastAsia" w:ascii="仿宋_GB2312" w:hAnsi="仿宋_GB2312" w:eastAsia="仿宋_GB2312" w:cs="仿宋_GB2312"/>
          <w:color w:val="auto"/>
          <w:sz w:val="32"/>
          <w:szCs w:val="32"/>
        </w:rPr>
        <w:t>月</w:t>
      </w:r>
      <w:r>
        <w:rPr>
          <w:rFonts w:ascii="仿宋_GB2312" w:hAnsi="仿宋_GB2312" w:eastAsia="仿宋_GB2312" w:cs="仿宋_GB2312"/>
          <w:color w:val="auto"/>
          <w:sz w:val="32"/>
          <w:szCs w:val="32"/>
        </w:rPr>
        <w:t>31</w:t>
      </w:r>
      <w:r>
        <w:rPr>
          <w:rFonts w:hint="eastAsia" w:ascii="仿宋_GB2312" w:hAnsi="仿宋_GB2312" w:eastAsia="仿宋_GB2312" w:cs="仿宋_GB2312"/>
          <w:color w:val="auto"/>
          <w:sz w:val="32"/>
          <w:szCs w:val="32"/>
        </w:rPr>
        <w:t>日，</w:t>
      </w:r>
      <w:r>
        <w:rPr>
          <w:rFonts w:hint="eastAsia" w:ascii="Times New Roman" w:hAnsi="Times New Roman" w:eastAsia="仿宋_GB2312"/>
          <w:sz w:val="32"/>
          <w:szCs w:val="32"/>
        </w:rPr>
        <w:t>本单位共有车辆</w:t>
      </w:r>
      <w:r>
        <w:rPr>
          <w:rFonts w:ascii="Times New Roman" w:hAnsi="Times New Roman" w:eastAsia="仿宋_GB2312"/>
          <w:sz w:val="32"/>
          <w:szCs w:val="32"/>
        </w:rPr>
        <w:t>0</w:t>
      </w:r>
      <w:r>
        <w:rPr>
          <w:rFonts w:hint="eastAsia" w:ascii="Times New Roman" w:hAnsi="Times New Roman" w:eastAsia="仿宋_GB2312"/>
          <w:sz w:val="32"/>
          <w:szCs w:val="32"/>
        </w:rPr>
        <w:t>辆，其中，主要领导干部用车</w:t>
      </w:r>
      <w:r>
        <w:rPr>
          <w:rFonts w:ascii="Times New Roman" w:hAnsi="Times New Roman" w:eastAsia="仿宋_GB2312"/>
          <w:sz w:val="32"/>
          <w:szCs w:val="32"/>
        </w:rPr>
        <w:t>0</w:t>
      </w:r>
      <w:r>
        <w:rPr>
          <w:rFonts w:hint="eastAsia" w:ascii="Times New Roman" w:hAnsi="Times New Roman" w:eastAsia="仿宋_GB2312"/>
          <w:sz w:val="32"/>
          <w:szCs w:val="32"/>
        </w:rPr>
        <w:t>辆，机要通信用车</w:t>
      </w:r>
      <w:r>
        <w:rPr>
          <w:rFonts w:ascii="Times New Roman" w:hAnsi="Times New Roman" w:eastAsia="仿宋_GB2312"/>
          <w:sz w:val="32"/>
          <w:szCs w:val="32"/>
        </w:rPr>
        <w:t>0</w:t>
      </w:r>
      <w:r>
        <w:rPr>
          <w:rFonts w:hint="eastAsia" w:ascii="Times New Roman" w:hAnsi="Times New Roman" w:eastAsia="仿宋_GB2312"/>
          <w:sz w:val="32"/>
          <w:szCs w:val="32"/>
        </w:rPr>
        <w:t>辆、应急保障用车</w:t>
      </w:r>
      <w:r>
        <w:rPr>
          <w:rFonts w:ascii="Times New Roman" w:hAnsi="Times New Roman" w:eastAsia="仿宋_GB2312"/>
          <w:sz w:val="32"/>
          <w:szCs w:val="32"/>
        </w:rPr>
        <w:t>0</w:t>
      </w:r>
      <w:r>
        <w:rPr>
          <w:rFonts w:hint="eastAsia" w:ascii="Times New Roman" w:hAnsi="Times New Roman" w:eastAsia="仿宋_GB2312"/>
          <w:sz w:val="32"/>
          <w:szCs w:val="32"/>
        </w:rPr>
        <w:t>辆、执法执勤用车</w:t>
      </w:r>
      <w:r>
        <w:rPr>
          <w:rFonts w:ascii="Times New Roman" w:hAnsi="Times New Roman" w:eastAsia="仿宋_GB2312"/>
          <w:sz w:val="32"/>
          <w:szCs w:val="32"/>
        </w:rPr>
        <w:t>0</w:t>
      </w:r>
      <w:r>
        <w:rPr>
          <w:rFonts w:hint="eastAsia" w:ascii="Times New Roman" w:hAnsi="Times New Roman" w:eastAsia="仿宋_GB2312"/>
          <w:sz w:val="32"/>
          <w:szCs w:val="32"/>
        </w:rPr>
        <w:t>辆、特种专业技术用车</w:t>
      </w:r>
      <w:r>
        <w:rPr>
          <w:rFonts w:ascii="Times New Roman" w:hAnsi="Times New Roman" w:eastAsia="仿宋_GB2312"/>
          <w:sz w:val="32"/>
          <w:szCs w:val="32"/>
        </w:rPr>
        <w:t>0</w:t>
      </w:r>
      <w:r>
        <w:rPr>
          <w:rFonts w:hint="eastAsia" w:ascii="Times New Roman" w:hAnsi="Times New Roman" w:eastAsia="仿宋_GB2312"/>
          <w:sz w:val="32"/>
          <w:szCs w:val="32"/>
        </w:rPr>
        <w:t>辆、其他用车</w:t>
      </w:r>
      <w:r>
        <w:rPr>
          <w:rFonts w:ascii="Times New Roman" w:hAnsi="Times New Roman" w:eastAsia="仿宋_GB2312"/>
          <w:sz w:val="32"/>
          <w:szCs w:val="32"/>
        </w:rPr>
        <w:t>0</w:t>
      </w:r>
      <w:r>
        <w:rPr>
          <w:rFonts w:hint="eastAsia" w:ascii="Times New Roman" w:hAnsi="Times New Roman" w:eastAsia="仿宋_GB2312"/>
          <w:sz w:val="32"/>
          <w:szCs w:val="32"/>
        </w:rPr>
        <w:t>辆，其他用车主要是无；单位价值</w:t>
      </w:r>
      <w:r>
        <w:rPr>
          <w:rFonts w:ascii="Times New Roman" w:hAnsi="Times New Roman" w:eastAsia="仿宋_GB2312"/>
          <w:sz w:val="32"/>
          <w:szCs w:val="32"/>
        </w:rPr>
        <w:t>50</w:t>
      </w:r>
      <w:r>
        <w:rPr>
          <w:rFonts w:hint="eastAsia" w:ascii="Times New Roman" w:hAnsi="Times New Roman" w:eastAsia="仿宋_GB2312"/>
          <w:sz w:val="32"/>
          <w:szCs w:val="32"/>
        </w:rPr>
        <w:t>万元以上通用设备</w:t>
      </w:r>
      <w:r>
        <w:rPr>
          <w:rFonts w:ascii="Times New Roman" w:hAnsi="Times New Roman" w:eastAsia="仿宋_GB2312"/>
          <w:sz w:val="32"/>
          <w:szCs w:val="32"/>
        </w:rPr>
        <w:t>0</w:t>
      </w:r>
      <w:r>
        <w:rPr>
          <w:rFonts w:hint="eastAsia" w:ascii="Times New Roman" w:hAnsi="Times New Roman" w:eastAsia="仿宋_GB2312"/>
          <w:sz w:val="32"/>
          <w:szCs w:val="32"/>
        </w:rPr>
        <w:t>台（套）；单位价值</w:t>
      </w:r>
      <w:r>
        <w:rPr>
          <w:rFonts w:ascii="Times New Roman" w:hAnsi="Times New Roman" w:eastAsia="仿宋_GB2312"/>
          <w:sz w:val="32"/>
          <w:szCs w:val="32"/>
        </w:rPr>
        <w:t>100</w:t>
      </w:r>
      <w:r>
        <w:rPr>
          <w:rFonts w:hint="eastAsia" w:ascii="Times New Roman" w:hAnsi="Times New Roman" w:eastAsia="仿宋_GB2312"/>
          <w:sz w:val="32"/>
          <w:szCs w:val="32"/>
        </w:rPr>
        <w:t>万元以上专用设备</w:t>
      </w:r>
      <w:r>
        <w:rPr>
          <w:rFonts w:ascii="Times New Roman" w:hAnsi="Times New Roman" w:eastAsia="仿宋_GB2312"/>
          <w:sz w:val="32"/>
          <w:szCs w:val="32"/>
        </w:rPr>
        <w:t>0</w:t>
      </w:r>
      <w:r>
        <w:rPr>
          <w:rFonts w:hint="eastAsia" w:ascii="Times New Roman" w:hAnsi="Times New Roman" w:eastAsia="仿宋_GB2312"/>
          <w:sz w:val="32"/>
          <w:szCs w:val="32"/>
        </w:rPr>
        <w:t>台（套）。</w:t>
      </w:r>
    </w:p>
    <w:p w14:paraId="16587F22">
      <w:pPr>
        <w:pStyle w:val="16"/>
        <w:spacing w:line="580" w:lineRule="exact"/>
        <w:ind w:firstLine="640" w:firstLineChars="200"/>
        <w:rPr>
          <w:rFonts w:hAnsi="黑体"/>
          <w:bCs/>
          <w:color w:val="auto"/>
          <w:sz w:val="32"/>
          <w:szCs w:val="32"/>
        </w:rPr>
      </w:pPr>
      <w:r>
        <w:rPr>
          <w:rFonts w:hint="eastAsia" w:hAnsi="黑体"/>
          <w:bCs/>
          <w:color w:val="auto"/>
          <w:sz w:val="32"/>
          <w:szCs w:val="32"/>
        </w:rPr>
        <w:t>十四、关于</w:t>
      </w:r>
      <w:r>
        <w:rPr>
          <w:rFonts w:ascii="Times New Roman" w:hAnsi="Times New Roman" w:eastAsia="仿宋_GB2312"/>
          <w:color w:val="auto"/>
          <w:sz w:val="32"/>
          <w:szCs w:val="32"/>
        </w:rPr>
        <w:t>2023</w:t>
      </w:r>
      <w:r>
        <w:rPr>
          <w:rFonts w:hint="eastAsia" w:hAnsi="黑体"/>
          <w:bCs/>
          <w:color w:val="auto"/>
          <w:sz w:val="32"/>
          <w:szCs w:val="32"/>
        </w:rPr>
        <w:t>年度预算绩效情况的说明</w:t>
      </w:r>
    </w:p>
    <w:p w14:paraId="57DAE110">
      <w:pPr>
        <w:pStyle w:val="16"/>
        <w:spacing w:line="580" w:lineRule="exact"/>
        <w:ind w:firstLine="640" w:firstLineChars="200"/>
        <w:rPr>
          <w:rFonts w:ascii="楷体" w:hAnsi="楷体" w:eastAsia="楷体" w:cs="楷体"/>
          <w:b/>
          <w:bCs/>
          <w:sz w:val="32"/>
          <w:szCs w:val="32"/>
        </w:rPr>
      </w:pPr>
      <w:r>
        <w:rPr>
          <w:rFonts w:hint="eastAsia" w:ascii="楷体" w:hAnsi="楷体" w:eastAsia="楷体" w:cs="楷体"/>
          <w:b/>
          <w:bCs/>
          <w:sz w:val="32"/>
          <w:szCs w:val="32"/>
        </w:rPr>
        <w:t>（一）绩效管理工作开展情况</w:t>
      </w:r>
    </w:p>
    <w:p w14:paraId="597C9051">
      <w:pPr>
        <w:autoSpaceDE w:val="0"/>
        <w:autoSpaceDN w:val="0"/>
        <w:adjustRightInd w:val="0"/>
        <w:spacing w:line="60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根据预算绩效管理要求，我们组织对</w:t>
      </w:r>
      <w:r>
        <w:rPr>
          <w:rFonts w:ascii="仿宋_GB2312" w:hAnsi="仿宋_GB2312" w:eastAsia="仿宋_GB2312" w:cs="仿宋_GB2312"/>
          <w:color w:val="000000"/>
          <w:kern w:val="0"/>
          <w:sz w:val="32"/>
          <w:szCs w:val="32"/>
        </w:rPr>
        <w:t>2023</w:t>
      </w:r>
      <w:r>
        <w:rPr>
          <w:rFonts w:hint="eastAsia" w:ascii="仿宋_GB2312" w:hAnsi="仿宋_GB2312" w:eastAsia="仿宋_GB2312" w:cs="仿宋_GB2312"/>
          <w:color w:val="000000"/>
          <w:kern w:val="0"/>
          <w:sz w:val="32"/>
          <w:szCs w:val="32"/>
        </w:rPr>
        <w:t>年度整体支出和项目资金实施了全覆盖性的绩效评价，撰写了绩效自评报告。</w:t>
      </w:r>
    </w:p>
    <w:p w14:paraId="082170B0">
      <w:pPr>
        <w:autoSpaceDE w:val="0"/>
        <w:autoSpaceDN w:val="0"/>
        <w:adjustRightInd w:val="0"/>
        <w:spacing w:line="60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组织开展整体支出绩效评价，涉及一般公共预算支出</w:t>
      </w:r>
      <w:r>
        <w:rPr>
          <w:rFonts w:ascii="仿宋_GB2312" w:hAnsi="仿宋_GB2312" w:eastAsia="仿宋_GB2312" w:cs="仿宋_GB2312"/>
          <w:color w:val="000000"/>
          <w:kern w:val="0"/>
          <w:sz w:val="32"/>
          <w:szCs w:val="32"/>
        </w:rPr>
        <w:t>4454.31</w:t>
      </w:r>
      <w:r>
        <w:rPr>
          <w:rFonts w:hint="eastAsia" w:ascii="仿宋_GB2312" w:hAnsi="仿宋_GB2312" w:eastAsia="仿宋_GB2312" w:cs="仿宋_GB2312"/>
          <w:color w:val="000000"/>
          <w:kern w:val="0"/>
          <w:sz w:val="32"/>
          <w:szCs w:val="32"/>
        </w:rPr>
        <w:t>万元，政府性基金预算支出</w:t>
      </w:r>
      <w:r>
        <w:rPr>
          <w:rFonts w:ascii="仿宋_GB2312" w:hAnsi="仿宋_GB2312" w:eastAsia="仿宋_GB2312" w:cs="仿宋_GB2312"/>
          <w:color w:val="000000"/>
          <w:kern w:val="0"/>
          <w:sz w:val="32"/>
          <w:szCs w:val="32"/>
        </w:rPr>
        <w:t>0</w:t>
      </w:r>
      <w:r>
        <w:rPr>
          <w:rFonts w:hint="eastAsia" w:ascii="仿宋_GB2312" w:hAnsi="仿宋_GB2312" w:eastAsia="仿宋_GB2312" w:cs="仿宋_GB2312"/>
          <w:color w:val="000000"/>
          <w:kern w:val="0"/>
          <w:sz w:val="32"/>
          <w:szCs w:val="32"/>
        </w:rPr>
        <w:t>万元，国有资本经营预算支出</w:t>
      </w:r>
      <w:r>
        <w:rPr>
          <w:rFonts w:ascii="仿宋_GB2312" w:hAnsi="仿宋_GB2312" w:eastAsia="仿宋_GB2312" w:cs="仿宋_GB2312"/>
          <w:color w:val="000000"/>
          <w:kern w:val="0"/>
          <w:sz w:val="32"/>
          <w:szCs w:val="32"/>
        </w:rPr>
        <w:t>0</w:t>
      </w:r>
      <w:r>
        <w:rPr>
          <w:rFonts w:hint="eastAsia" w:ascii="仿宋_GB2312" w:hAnsi="仿宋_GB2312" w:eastAsia="仿宋_GB2312" w:cs="仿宋_GB2312"/>
          <w:color w:val="000000"/>
          <w:kern w:val="0"/>
          <w:sz w:val="32"/>
          <w:szCs w:val="32"/>
        </w:rPr>
        <w:t>万元。从评价情况来看，整体支出绩效评价中，</w:t>
      </w:r>
      <w:r>
        <w:rPr>
          <w:rFonts w:ascii="仿宋_GB2312" w:hAnsi="仿宋_GB2312" w:eastAsia="仿宋_GB2312" w:cs="仿宋_GB2312"/>
          <w:color w:val="000000"/>
          <w:kern w:val="0"/>
          <w:sz w:val="32"/>
          <w:szCs w:val="32"/>
        </w:rPr>
        <w:t>2023</w:t>
      </w:r>
      <w:r>
        <w:rPr>
          <w:rFonts w:hint="eastAsia" w:ascii="仿宋_GB2312" w:hAnsi="仿宋_GB2312" w:eastAsia="仿宋_GB2312" w:cs="仿宋_GB2312"/>
          <w:color w:val="000000"/>
          <w:kern w:val="0"/>
          <w:sz w:val="32"/>
          <w:szCs w:val="32"/>
        </w:rPr>
        <w:t>年整体支出</w:t>
      </w:r>
      <w:r>
        <w:rPr>
          <w:rFonts w:ascii="仿宋_GB2312" w:hAnsi="仿宋_GB2312" w:eastAsia="仿宋_GB2312" w:cs="仿宋_GB2312"/>
          <w:color w:val="000000"/>
          <w:kern w:val="0"/>
          <w:sz w:val="32"/>
          <w:szCs w:val="32"/>
        </w:rPr>
        <w:t>5946.73</w:t>
      </w:r>
      <w:r>
        <w:rPr>
          <w:rFonts w:hint="eastAsia" w:ascii="仿宋_GB2312" w:hAnsi="仿宋_GB2312" w:eastAsia="仿宋_GB2312" w:cs="仿宋_GB2312"/>
          <w:color w:val="000000"/>
          <w:kern w:val="0"/>
          <w:sz w:val="32"/>
          <w:szCs w:val="32"/>
        </w:rPr>
        <w:t>万元，其中：基本支出</w:t>
      </w:r>
      <w:r>
        <w:rPr>
          <w:rFonts w:ascii="仿宋_GB2312" w:hAnsi="仿宋_GB2312" w:eastAsia="仿宋_GB2312" w:cs="仿宋_GB2312"/>
          <w:color w:val="000000"/>
          <w:kern w:val="0"/>
          <w:sz w:val="32"/>
          <w:szCs w:val="32"/>
        </w:rPr>
        <w:t>4997.56</w:t>
      </w:r>
      <w:r>
        <w:rPr>
          <w:rFonts w:hint="eastAsia" w:ascii="仿宋_GB2312" w:hAnsi="仿宋_GB2312" w:eastAsia="仿宋_GB2312" w:cs="仿宋_GB2312"/>
          <w:color w:val="000000"/>
          <w:kern w:val="0"/>
          <w:sz w:val="32"/>
          <w:szCs w:val="32"/>
        </w:rPr>
        <w:t>万元，项目支出</w:t>
      </w:r>
      <w:r>
        <w:rPr>
          <w:rFonts w:ascii="仿宋_GB2312" w:hAnsi="仿宋_GB2312" w:eastAsia="仿宋_GB2312" w:cs="仿宋_GB2312"/>
          <w:color w:val="000000"/>
          <w:kern w:val="0"/>
          <w:sz w:val="32"/>
          <w:szCs w:val="32"/>
        </w:rPr>
        <w:t>949.17</w:t>
      </w:r>
      <w:r>
        <w:rPr>
          <w:rFonts w:hint="eastAsia" w:ascii="仿宋_GB2312" w:hAnsi="仿宋_GB2312" w:eastAsia="仿宋_GB2312" w:cs="仿宋_GB2312"/>
          <w:color w:val="000000"/>
          <w:kern w:val="0"/>
          <w:sz w:val="32"/>
          <w:szCs w:val="32"/>
        </w:rPr>
        <w:t>万元，本单位整体支出绩效自评综合评分</w:t>
      </w:r>
      <w:r>
        <w:rPr>
          <w:rFonts w:ascii="仿宋_GB2312" w:hAnsi="仿宋_GB2312" w:eastAsia="仿宋_GB2312" w:cs="仿宋_GB2312"/>
          <w:color w:val="000000"/>
          <w:kern w:val="0"/>
          <w:sz w:val="32"/>
          <w:szCs w:val="32"/>
        </w:rPr>
        <w:t>95</w:t>
      </w:r>
      <w:r>
        <w:rPr>
          <w:rFonts w:hint="eastAsia" w:ascii="仿宋_GB2312" w:hAnsi="仿宋_GB2312" w:eastAsia="仿宋_GB2312" w:cs="仿宋_GB2312"/>
          <w:color w:val="000000"/>
          <w:kern w:val="0"/>
          <w:sz w:val="32"/>
          <w:szCs w:val="32"/>
        </w:rPr>
        <w:t>分，评价结果等次为优秀。</w:t>
      </w:r>
    </w:p>
    <w:p w14:paraId="21DB6E56">
      <w:pPr>
        <w:pStyle w:val="2"/>
        <w:rPr>
          <w:b/>
        </w:rPr>
      </w:pPr>
    </w:p>
    <w:p w14:paraId="5829DF6A">
      <w:pPr>
        <w:pStyle w:val="16"/>
        <w:spacing w:line="580" w:lineRule="exact"/>
        <w:ind w:firstLine="640" w:firstLineChars="200"/>
        <w:rPr>
          <w:rFonts w:ascii="仿宋_GB2312" w:hAnsi="仿宋_GB2312" w:eastAsia="仿宋_GB2312" w:cs="仿宋_GB2312"/>
          <w:sz w:val="32"/>
          <w:szCs w:val="32"/>
        </w:rPr>
      </w:pPr>
      <w:r>
        <w:rPr>
          <w:rFonts w:hint="eastAsia" w:ascii="仿宋_GB2312" w:hAnsi="楷体" w:eastAsia="仿宋_GB2312" w:cs="楷体"/>
          <w:bCs/>
          <w:sz w:val="32"/>
          <w:szCs w:val="32"/>
        </w:rPr>
        <w:t>组织对一般公共预算项目支出全面开展绩效自评，项目</w:t>
      </w:r>
      <w:r>
        <w:rPr>
          <w:rFonts w:ascii="仿宋_GB2312" w:hAnsi="楷体" w:eastAsia="仿宋_GB2312" w:cs="楷体"/>
          <w:bCs/>
          <w:sz w:val="32"/>
          <w:szCs w:val="32"/>
        </w:rPr>
        <w:t>0</w:t>
      </w:r>
      <w:r>
        <w:rPr>
          <w:rFonts w:hint="eastAsia" w:ascii="仿宋_GB2312" w:hAnsi="楷体" w:eastAsia="仿宋_GB2312" w:cs="楷体"/>
          <w:bCs/>
          <w:sz w:val="32"/>
          <w:szCs w:val="32"/>
        </w:rPr>
        <w:t>个，共涉及资金</w:t>
      </w:r>
      <w:r>
        <w:rPr>
          <w:rFonts w:ascii="仿宋_GB2312" w:hAnsi="楷体" w:eastAsia="仿宋_GB2312" w:cs="楷体"/>
          <w:bCs/>
          <w:sz w:val="32"/>
          <w:szCs w:val="32"/>
        </w:rPr>
        <w:t>0</w:t>
      </w:r>
      <w:r>
        <w:rPr>
          <w:rFonts w:hint="eastAsia" w:ascii="仿宋_GB2312" w:hAnsi="楷体" w:eastAsia="仿宋_GB2312" w:cs="楷体"/>
          <w:bCs/>
          <w:sz w:val="32"/>
          <w:szCs w:val="32"/>
        </w:rPr>
        <w:t>万元（由于一般公共预算项目支出总额为</w:t>
      </w:r>
      <w:r>
        <w:rPr>
          <w:rFonts w:ascii="仿宋_GB2312" w:hAnsi="楷体" w:eastAsia="仿宋_GB2312" w:cs="楷体"/>
          <w:bCs/>
          <w:sz w:val="32"/>
          <w:szCs w:val="32"/>
        </w:rPr>
        <w:t>0</w:t>
      </w:r>
      <w:r>
        <w:rPr>
          <w:rFonts w:hint="eastAsia" w:ascii="仿宋_GB2312" w:hAnsi="楷体" w:eastAsia="仿宋_GB2312" w:cs="楷体"/>
          <w:bCs/>
          <w:sz w:val="32"/>
          <w:szCs w:val="32"/>
        </w:rPr>
        <w:t>，故无法计算占一般公共预算项目支出总额的比重）。组织对政府性基金预算项目支出开展绩效自评，项目</w:t>
      </w:r>
      <w:r>
        <w:rPr>
          <w:rFonts w:ascii="仿宋_GB2312" w:hAnsi="楷体" w:eastAsia="仿宋_GB2312" w:cs="楷体"/>
          <w:bCs/>
          <w:sz w:val="32"/>
          <w:szCs w:val="32"/>
        </w:rPr>
        <w:t>0</w:t>
      </w:r>
      <w:r>
        <w:rPr>
          <w:rFonts w:hint="eastAsia" w:ascii="仿宋_GB2312" w:hAnsi="楷体" w:eastAsia="仿宋_GB2312" w:cs="楷体"/>
          <w:bCs/>
          <w:sz w:val="32"/>
          <w:szCs w:val="32"/>
        </w:rPr>
        <w:t>个，共涉及资金</w:t>
      </w:r>
      <w:r>
        <w:rPr>
          <w:rFonts w:ascii="仿宋_GB2312" w:hAnsi="楷体" w:eastAsia="仿宋_GB2312" w:cs="楷体"/>
          <w:bCs/>
          <w:sz w:val="32"/>
          <w:szCs w:val="32"/>
        </w:rPr>
        <w:t>0</w:t>
      </w:r>
      <w:r>
        <w:rPr>
          <w:rFonts w:hint="eastAsia" w:ascii="仿宋_GB2312" w:hAnsi="楷体" w:eastAsia="仿宋_GB2312" w:cs="楷体"/>
          <w:bCs/>
          <w:sz w:val="32"/>
          <w:szCs w:val="32"/>
        </w:rPr>
        <w:t>万元（由于政府性基金预算项目支出总额为</w:t>
      </w:r>
      <w:r>
        <w:rPr>
          <w:rFonts w:ascii="仿宋_GB2312" w:hAnsi="楷体" w:eastAsia="仿宋_GB2312" w:cs="楷体"/>
          <w:bCs/>
          <w:sz w:val="32"/>
          <w:szCs w:val="32"/>
        </w:rPr>
        <w:t>0</w:t>
      </w:r>
      <w:r>
        <w:rPr>
          <w:rFonts w:hint="eastAsia" w:ascii="仿宋_GB2312" w:hAnsi="楷体" w:eastAsia="仿宋_GB2312" w:cs="楷体"/>
          <w:bCs/>
          <w:sz w:val="32"/>
          <w:szCs w:val="32"/>
        </w:rPr>
        <w:t>，故无法计算占政府性基金预算项目支出总额的比重。）组织对国有资本经营预算项目支出开展绩效自评，项目</w:t>
      </w:r>
      <w:r>
        <w:rPr>
          <w:rFonts w:ascii="仿宋_GB2312" w:hAnsi="楷体" w:eastAsia="仿宋_GB2312" w:cs="楷体"/>
          <w:bCs/>
          <w:sz w:val="32"/>
          <w:szCs w:val="32"/>
        </w:rPr>
        <w:t>0</w:t>
      </w:r>
      <w:r>
        <w:rPr>
          <w:rFonts w:hint="eastAsia" w:ascii="仿宋_GB2312" w:hAnsi="楷体" w:eastAsia="仿宋_GB2312" w:cs="楷体"/>
          <w:bCs/>
          <w:sz w:val="32"/>
          <w:szCs w:val="32"/>
        </w:rPr>
        <w:t>个，共涉及资金</w:t>
      </w:r>
      <w:r>
        <w:rPr>
          <w:rFonts w:ascii="仿宋_GB2312" w:hAnsi="楷体" w:eastAsia="仿宋_GB2312" w:cs="楷体"/>
          <w:bCs/>
          <w:sz w:val="32"/>
          <w:szCs w:val="32"/>
        </w:rPr>
        <w:t>0</w:t>
      </w:r>
      <w:r>
        <w:rPr>
          <w:rFonts w:hint="eastAsia" w:ascii="仿宋_GB2312" w:hAnsi="楷体" w:eastAsia="仿宋_GB2312" w:cs="楷体"/>
          <w:bCs/>
          <w:sz w:val="32"/>
          <w:szCs w:val="32"/>
        </w:rPr>
        <w:t>万元（由于国有资本经营预算项目支出总额为</w:t>
      </w:r>
      <w:r>
        <w:rPr>
          <w:rFonts w:ascii="仿宋_GB2312" w:hAnsi="楷体" w:eastAsia="仿宋_GB2312" w:cs="楷体"/>
          <w:bCs/>
          <w:sz w:val="32"/>
          <w:szCs w:val="32"/>
        </w:rPr>
        <w:t>0</w:t>
      </w:r>
      <w:r>
        <w:rPr>
          <w:rFonts w:hint="eastAsia" w:ascii="仿宋_GB2312" w:hAnsi="楷体" w:eastAsia="仿宋_GB2312" w:cs="楷体"/>
          <w:bCs/>
          <w:sz w:val="32"/>
          <w:szCs w:val="32"/>
        </w:rPr>
        <w:t>，故无法计算占国有资本经营预算项目支出总额的比重）。</w:t>
      </w:r>
      <w:r>
        <w:rPr>
          <w:rFonts w:hint="eastAsia" w:ascii="仿宋_GB2312" w:hAnsi="仿宋_GB2312" w:eastAsia="仿宋_GB2312" w:cs="仿宋_GB2312"/>
          <w:sz w:val="32"/>
          <w:szCs w:val="32"/>
        </w:rPr>
        <w:t>从评价情况来看，项目绩效自评得分</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分，评价结果等次为优秀。</w:t>
      </w:r>
    </w:p>
    <w:p w14:paraId="71DC19EF">
      <w:pPr>
        <w:pStyle w:val="16"/>
        <w:spacing w:line="580" w:lineRule="exact"/>
        <w:ind w:firstLine="640" w:firstLineChars="200"/>
        <w:rPr>
          <w:rFonts w:ascii="楷体" w:hAnsi="楷体" w:eastAsia="楷体" w:cs="楷体"/>
          <w:b/>
          <w:bCs/>
          <w:sz w:val="32"/>
          <w:szCs w:val="32"/>
        </w:rPr>
      </w:pPr>
      <w:r>
        <w:rPr>
          <w:rFonts w:hint="eastAsia" w:ascii="楷体" w:hAnsi="楷体" w:eastAsia="楷体" w:cs="楷体"/>
          <w:b/>
          <w:bCs/>
          <w:sz w:val="32"/>
          <w:szCs w:val="32"/>
        </w:rPr>
        <w:t>（二）部门（单位）整体支出绩效情况</w:t>
      </w:r>
    </w:p>
    <w:p w14:paraId="370F20B8">
      <w:pPr>
        <w:autoSpaceDE w:val="0"/>
        <w:autoSpaceDN w:val="0"/>
        <w:adjustRightInd w:val="0"/>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根据年初设定的绩效目标，绩效自评得分为</w:t>
      </w:r>
      <w:r>
        <w:rPr>
          <w:rFonts w:ascii="仿宋_GB2312" w:hAnsi="仿宋_GB2312" w:eastAsia="仿宋_GB2312" w:cs="仿宋_GB2312"/>
          <w:color w:val="000000"/>
          <w:kern w:val="0"/>
          <w:sz w:val="32"/>
          <w:szCs w:val="32"/>
        </w:rPr>
        <w:t>95</w:t>
      </w:r>
      <w:r>
        <w:rPr>
          <w:rFonts w:hint="eastAsia" w:ascii="仿宋_GB2312" w:hAnsi="仿宋_GB2312" w:eastAsia="仿宋_GB2312" w:cs="仿宋_GB2312"/>
          <w:color w:val="000000"/>
          <w:kern w:val="0"/>
          <w:sz w:val="32"/>
          <w:szCs w:val="32"/>
        </w:rPr>
        <w:t>分。全年预算数为</w:t>
      </w:r>
      <w:r>
        <w:rPr>
          <w:rFonts w:ascii="仿宋_GB2312" w:hAnsi="仿宋_GB2312" w:eastAsia="仿宋_GB2312" w:cs="仿宋_GB2312"/>
          <w:color w:val="000000"/>
          <w:kern w:val="0"/>
          <w:sz w:val="32"/>
          <w:szCs w:val="32"/>
        </w:rPr>
        <w:t xml:space="preserve">3557.09 </w:t>
      </w:r>
      <w:r>
        <w:rPr>
          <w:rFonts w:hint="eastAsia" w:ascii="仿宋_GB2312" w:hAnsi="仿宋_GB2312" w:eastAsia="仿宋_GB2312" w:cs="仿宋_GB2312"/>
          <w:color w:val="000000"/>
          <w:kern w:val="0"/>
          <w:sz w:val="32"/>
          <w:szCs w:val="32"/>
        </w:rPr>
        <w:t>万元，执行数为</w:t>
      </w:r>
      <w:r>
        <w:rPr>
          <w:rFonts w:ascii="仿宋_GB2312" w:hAnsi="仿宋_GB2312" w:eastAsia="仿宋_GB2312" w:cs="仿宋_GB2312"/>
          <w:color w:val="000000"/>
          <w:kern w:val="0"/>
          <w:sz w:val="32"/>
          <w:szCs w:val="32"/>
        </w:rPr>
        <w:t>4454.31</w:t>
      </w:r>
      <w:r>
        <w:rPr>
          <w:rFonts w:hint="eastAsia" w:ascii="仿宋_GB2312" w:hAnsi="仿宋_GB2312" w:eastAsia="仿宋_GB2312" w:cs="仿宋_GB2312"/>
          <w:color w:val="000000"/>
          <w:kern w:val="0"/>
          <w:sz w:val="32"/>
          <w:szCs w:val="32"/>
        </w:rPr>
        <w:t>万元，完成预算的</w:t>
      </w:r>
      <w:r>
        <w:rPr>
          <w:rFonts w:ascii="仿宋_GB2312" w:hAnsi="仿宋_GB2312" w:eastAsia="仿宋_GB2312" w:cs="仿宋_GB2312"/>
          <w:color w:val="000000"/>
          <w:kern w:val="0"/>
          <w:sz w:val="32"/>
          <w:szCs w:val="32"/>
        </w:rPr>
        <w:t>125.22%</w:t>
      </w:r>
      <w:r>
        <w:rPr>
          <w:rFonts w:hint="eastAsia" w:ascii="仿宋_GB2312" w:hAnsi="仿宋_GB2312" w:eastAsia="仿宋_GB2312" w:cs="仿宋_GB2312"/>
          <w:color w:val="000000"/>
          <w:kern w:val="0"/>
          <w:sz w:val="32"/>
          <w:szCs w:val="32"/>
        </w:rPr>
        <w:t>。绩效目标完成情况：</w:t>
      </w:r>
      <w:r>
        <w:rPr>
          <w:rFonts w:hint="eastAsia" w:ascii="仿宋_GB2312" w:hAnsi="仿宋_GB2312" w:eastAsia="仿宋_GB2312" w:cs="仿宋_GB2312"/>
          <w:sz w:val="32"/>
          <w:szCs w:val="32"/>
        </w:rPr>
        <w:t>一是全年收支平衡，无负债；二是按照绩效目标保质保量完成年初的预算。存在的主要问题及原因：一是学校办学条件需要不断改善；二是学校的固定资产管理还有待加强。</w:t>
      </w:r>
    </w:p>
    <w:p w14:paraId="03E55275">
      <w:pPr>
        <w:pStyle w:val="16"/>
        <w:spacing w:line="580" w:lineRule="exact"/>
        <w:ind w:firstLine="640" w:firstLineChars="200"/>
        <w:rPr>
          <w:rFonts w:ascii="楷体" w:hAnsi="楷体" w:eastAsia="楷体" w:cs="楷体"/>
          <w:b/>
          <w:bCs/>
          <w:sz w:val="32"/>
          <w:szCs w:val="32"/>
        </w:rPr>
      </w:pPr>
      <w:r>
        <w:rPr>
          <w:rFonts w:hint="eastAsia" w:ascii="楷体" w:hAnsi="楷体" w:eastAsia="楷体" w:cs="楷体"/>
          <w:b/>
          <w:bCs/>
          <w:sz w:val="32"/>
          <w:szCs w:val="32"/>
        </w:rPr>
        <w:t>（三）存在的问题及原因分析</w:t>
      </w:r>
    </w:p>
    <w:p w14:paraId="0B6EC5D6">
      <w:pPr>
        <w:autoSpaceDE w:val="0"/>
        <w:autoSpaceDN w:val="0"/>
        <w:adjustRightInd w:val="0"/>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下一步改进措施：一是加强学校办学条件的投入；二是严格管理好学校的固定资产等。</w:t>
      </w:r>
    </w:p>
    <w:p w14:paraId="03D0900C">
      <w:pPr>
        <w:autoSpaceDE w:val="0"/>
        <w:autoSpaceDN w:val="0"/>
        <w:adjustRightInd w:val="0"/>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预算绩效管理开展情况、绩效目标和绩效评价报告等，已在市政府部门财政预决算公开平台上向社会公开，详见附件。</w:t>
      </w:r>
    </w:p>
    <w:p w14:paraId="74D6CD77">
      <w:pPr>
        <w:autoSpaceDE w:val="0"/>
        <w:autoSpaceDN w:val="0"/>
        <w:adjustRightInd w:val="0"/>
        <w:jc w:val="left"/>
        <w:rPr>
          <w:rFonts w:ascii="楷体" w:hAnsi="楷体" w:eastAsia="楷体" w:cs="楷体"/>
          <w:b/>
          <w:bCs/>
          <w:color w:val="FF0000"/>
          <w:kern w:val="0"/>
          <w:sz w:val="36"/>
          <w:szCs w:val="36"/>
        </w:rPr>
      </w:pPr>
    </w:p>
    <w:p w14:paraId="09E0A147">
      <w:pPr>
        <w:pStyle w:val="16"/>
        <w:jc w:val="center"/>
        <w:rPr>
          <w:sz w:val="72"/>
          <w:szCs w:val="72"/>
        </w:rPr>
      </w:pPr>
    </w:p>
    <w:p w14:paraId="091E1BD2">
      <w:pPr>
        <w:pStyle w:val="16"/>
        <w:jc w:val="center"/>
        <w:rPr>
          <w:rFonts w:ascii="方正小标宋_GBK" w:hAnsi="方正小标宋_GBK" w:eastAsia="方正小标宋_GBK" w:cs="方正小标宋_GBK"/>
          <w:sz w:val="70"/>
          <w:szCs w:val="70"/>
        </w:rPr>
      </w:pPr>
    </w:p>
    <w:p w14:paraId="5612F816">
      <w:pPr>
        <w:pStyle w:val="16"/>
        <w:jc w:val="center"/>
        <w:rPr>
          <w:rFonts w:ascii="方正小标宋_GBK" w:hAnsi="方正小标宋_GBK" w:eastAsia="方正小标宋_GBK" w:cs="方正小标宋_GBK"/>
          <w:sz w:val="70"/>
          <w:szCs w:val="70"/>
        </w:rPr>
      </w:pPr>
    </w:p>
    <w:p w14:paraId="23BA1160">
      <w:pPr>
        <w:pStyle w:val="16"/>
        <w:jc w:val="center"/>
        <w:rPr>
          <w:rFonts w:ascii="方正小标宋_GBK" w:hAnsi="方正小标宋_GBK" w:eastAsia="方正小标宋_GBK" w:cs="方正小标宋_GBK"/>
          <w:sz w:val="72"/>
          <w:szCs w:val="72"/>
        </w:rPr>
      </w:pPr>
    </w:p>
    <w:p w14:paraId="4B052B41">
      <w:pPr>
        <w:pStyle w:val="16"/>
        <w:jc w:val="center"/>
        <w:rPr>
          <w:rFonts w:ascii="方正小标宋_GBK" w:hAnsi="方正小标宋_GBK" w:eastAsia="方正小标宋_GBK" w:cs="方正小标宋_GBK"/>
          <w:sz w:val="72"/>
          <w:szCs w:val="72"/>
        </w:rPr>
      </w:pPr>
    </w:p>
    <w:p w14:paraId="5BECD2EB">
      <w:pPr>
        <w:pStyle w:val="16"/>
        <w:jc w:val="center"/>
        <w:rPr>
          <w:rFonts w:ascii="方正小标宋_GBK" w:hAnsi="方正小标宋_GBK" w:eastAsia="方正小标宋_GBK" w:cs="方正小标宋_GBK"/>
          <w:sz w:val="72"/>
          <w:szCs w:val="72"/>
        </w:rPr>
      </w:pPr>
    </w:p>
    <w:p w14:paraId="7B69EE6C">
      <w:pPr>
        <w:pStyle w:val="16"/>
        <w:jc w:val="center"/>
        <w:rPr>
          <w:rFonts w:ascii="方正小标宋_GBK" w:hAnsi="方正小标宋_GBK" w:eastAsia="方正小标宋_GBK" w:cs="方正小标宋_GBK"/>
          <w:sz w:val="72"/>
          <w:szCs w:val="72"/>
        </w:rPr>
      </w:pPr>
    </w:p>
    <w:p w14:paraId="35C25C64">
      <w:pPr>
        <w:pStyle w:val="16"/>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0F17E534">
      <w:pPr>
        <w:jc w:val="center"/>
        <w:rPr>
          <w:rFonts w:ascii="方正小标宋_GBK" w:hAnsi="方正小标宋_GBK" w:eastAsia="方正小标宋_GBK" w:cs="方正小标宋_GBK"/>
          <w:color w:val="000000"/>
          <w:kern w:val="0"/>
          <w:sz w:val="70"/>
          <w:szCs w:val="70"/>
        </w:rPr>
      </w:pPr>
    </w:p>
    <w:p w14:paraId="30F24BD9">
      <w:pPr>
        <w:pStyle w:val="16"/>
        <w:jc w:val="center"/>
        <w:rPr>
          <w:rFonts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名词解释</w:t>
      </w:r>
    </w:p>
    <w:p w14:paraId="25477E91">
      <w:pPr>
        <w:pStyle w:val="2"/>
      </w:pPr>
    </w:p>
    <w:p w14:paraId="43DA5476">
      <w:pPr>
        <w:pStyle w:val="3"/>
        <w:ind w:left="31680" w:firstLine="31680"/>
      </w:pPr>
    </w:p>
    <w:p w14:paraId="054A64F9"/>
    <w:p w14:paraId="1113B016">
      <w:pPr>
        <w:pStyle w:val="2"/>
      </w:pPr>
    </w:p>
    <w:p w14:paraId="3F1937AB">
      <w:pPr>
        <w:pStyle w:val="3"/>
        <w:ind w:left="31680" w:firstLine="31680"/>
      </w:pPr>
    </w:p>
    <w:p w14:paraId="0ACFB05E"/>
    <w:p w14:paraId="2D661091">
      <w:pPr>
        <w:pStyle w:val="2"/>
      </w:pPr>
    </w:p>
    <w:p w14:paraId="7E604E8F">
      <w:pPr>
        <w:pStyle w:val="3"/>
        <w:ind w:left="31680" w:firstLine="31680"/>
      </w:pPr>
    </w:p>
    <w:p w14:paraId="7C1019BA"/>
    <w:p w14:paraId="0E9EF03A">
      <w:pPr>
        <w:pStyle w:val="2"/>
      </w:pPr>
    </w:p>
    <w:p w14:paraId="080775E8">
      <w:pPr>
        <w:pStyle w:val="3"/>
        <w:ind w:left="31680" w:firstLine="31680"/>
      </w:pPr>
    </w:p>
    <w:p w14:paraId="1BBB94D7"/>
    <w:p w14:paraId="0061B096">
      <w:pPr>
        <w:pStyle w:val="2"/>
      </w:pPr>
    </w:p>
    <w:p w14:paraId="64E1013F">
      <w:pPr>
        <w:pStyle w:val="3"/>
        <w:ind w:left="31680" w:firstLine="31680"/>
      </w:pPr>
    </w:p>
    <w:p w14:paraId="7B2EB4D6"/>
    <w:p w14:paraId="2F21FD0F">
      <w:pPr>
        <w:pStyle w:val="2"/>
      </w:pPr>
    </w:p>
    <w:p w14:paraId="0D301AC5">
      <w:pPr>
        <w:pStyle w:val="3"/>
        <w:ind w:left="31680" w:firstLine="31680"/>
      </w:pPr>
    </w:p>
    <w:p w14:paraId="59D806BC"/>
    <w:p w14:paraId="68119DDE">
      <w:pPr>
        <w:pStyle w:val="2"/>
      </w:pPr>
    </w:p>
    <w:p w14:paraId="302FE78F">
      <w:pPr>
        <w:pStyle w:val="3"/>
        <w:ind w:left="31680" w:firstLine="31680"/>
      </w:pPr>
    </w:p>
    <w:p w14:paraId="1A08CB3B"/>
    <w:p w14:paraId="2E7D9C57">
      <w:pPr>
        <w:pStyle w:val="2"/>
      </w:pPr>
    </w:p>
    <w:p w14:paraId="4FCCB83A">
      <w:pPr>
        <w:pStyle w:val="3"/>
        <w:ind w:left="31680" w:firstLine="31680"/>
      </w:pPr>
    </w:p>
    <w:p w14:paraId="3F294AEC"/>
    <w:p w14:paraId="1CB350E3">
      <w:pPr>
        <w:pStyle w:val="2"/>
      </w:pPr>
    </w:p>
    <w:p w14:paraId="3CDC7C2B">
      <w:pPr>
        <w:pStyle w:val="3"/>
        <w:ind w:left="31680" w:firstLine="31680"/>
      </w:pPr>
    </w:p>
    <w:p w14:paraId="3DC31B7C"/>
    <w:p w14:paraId="52E9C22B">
      <w:pPr>
        <w:pStyle w:val="2"/>
      </w:pPr>
    </w:p>
    <w:p w14:paraId="6ED06168">
      <w:pPr>
        <w:pStyle w:val="3"/>
        <w:ind w:left="31680" w:firstLine="31680"/>
      </w:pPr>
    </w:p>
    <w:p w14:paraId="7FE00C76"/>
    <w:p w14:paraId="1D96B9FE">
      <w:pPr>
        <w:pStyle w:val="2"/>
      </w:pPr>
    </w:p>
    <w:p w14:paraId="2D51781E">
      <w:pPr>
        <w:pStyle w:val="3"/>
        <w:ind w:left="31680" w:firstLine="31680"/>
      </w:pPr>
    </w:p>
    <w:p w14:paraId="45A0DF1F">
      <w:pPr>
        <w:pStyle w:val="3"/>
        <w:ind w:left="31680" w:firstLine="31680"/>
      </w:pPr>
    </w:p>
    <w:p w14:paraId="10773830"/>
    <w:p w14:paraId="26FBA952">
      <w:pPr>
        <w:pStyle w:val="2"/>
      </w:pPr>
    </w:p>
    <w:p w14:paraId="0521BC03">
      <w:pPr>
        <w:ind w:firstLine="640" w:firstLineChars="200"/>
        <w:jc w:val="left"/>
        <w:rPr>
          <w:rFonts w:ascii="宋体" w:cs="黑体"/>
          <w:color w:val="000000"/>
          <w:kern w:val="0"/>
          <w:sz w:val="32"/>
          <w:szCs w:val="32"/>
        </w:rPr>
      </w:pPr>
      <w:r>
        <w:rPr>
          <w:rFonts w:hint="eastAsia" w:ascii="宋体" w:hAnsi="宋体" w:cs="黑体"/>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278B89D3">
      <w:pPr>
        <w:ind w:firstLine="640" w:firstLineChars="200"/>
        <w:jc w:val="left"/>
        <w:rPr>
          <w:rFonts w:ascii="宋体" w:cs="黑体"/>
          <w:color w:val="000000"/>
          <w:kern w:val="0"/>
          <w:sz w:val="32"/>
          <w:szCs w:val="32"/>
        </w:rPr>
      </w:pPr>
      <w:r>
        <w:rPr>
          <w:rFonts w:hint="eastAsia" w:ascii="宋体" w:hAnsi="宋体" w:cs="黑体"/>
          <w:color w:val="000000"/>
          <w:kern w:val="0"/>
          <w:sz w:val="32"/>
          <w:szCs w:val="32"/>
        </w:rPr>
        <w:t>二、机关运行经费，指为保障行政单位（包括参照公务员法管理的事业单位）运行用于购买货物和服务的各项资金，包括办公费、印刷费、邮电费、差旅费、会议费、日常维修费、专用材料及一般设备购置费、办公用房水电费、办公用房取暖费、办公用房物业管理费、公务用车运行维护费以及其他费用。</w:t>
      </w:r>
    </w:p>
    <w:p w14:paraId="47854A68">
      <w:pPr>
        <w:autoSpaceDE w:val="0"/>
        <w:autoSpaceDN w:val="0"/>
        <w:adjustRightInd w:val="0"/>
        <w:ind w:firstLine="640" w:firstLineChars="200"/>
        <w:jc w:val="left"/>
        <w:rPr>
          <w:rFonts w:ascii="宋体" w:cs="黑体"/>
          <w:color w:val="000000"/>
          <w:kern w:val="0"/>
          <w:sz w:val="28"/>
          <w:szCs w:val="28"/>
        </w:rPr>
      </w:pPr>
      <w:r>
        <w:rPr>
          <w:rFonts w:hint="eastAsia" w:ascii="宋体" w:hAnsi="宋体" w:cs="黑体"/>
          <w:color w:val="000000"/>
          <w:kern w:val="0"/>
          <w:sz w:val="32"/>
          <w:szCs w:val="32"/>
        </w:rPr>
        <w:t>三、</w:t>
      </w:r>
      <w:r>
        <w:rPr>
          <w:rFonts w:hint="eastAsia" w:ascii="宋体" w:hAnsi="宋体" w:cs="黑体"/>
          <w:color w:val="000000"/>
          <w:kern w:val="0"/>
          <w:sz w:val="28"/>
          <w:szCs w:val="28"/>
        </w:rPr>
        <w:t>财政拨款收入：指本级财政当年拨付的资金。</w:t>
      </w:r>
    </w:p>
    <w:p w14:paraId="2F6018F1">
      <w:pPr>
        <w:autoSpaceDE w:val="0"/>
        <w:autoSpaceDN w:val="0"/>
        <w:adjustRightInd w:val="0"/>
        <w:ind w:firstLine="700" w:firstLineChars="250"/>
        <w:jc w:val="left"/>
        <w:rPr>
          <w:rFonts w:ascii="宋体" w:cs="黑体"/>
          <w:color w:val="000000"/>
          <w:kern w:val="0"/>
          <w:sz w:val="28"/>
          <w:szCs w:val="28"/>
        </w:rPr>
      </w:pPr>
      <w:r>
        <w:rPr>
          <w:rFonts w:hint="eastAsia" w:ascii="宋体" w:hAnsi="宋体" w:cs="黑体"/>
          <w:color w:val="000000"/>
          <w:kern w:val="0"/>
          <w:sz w:val="28"/>
          <w:szCs w:val="28"/>
        </w:rPr>
        <w:t>四、事业收入：指事业单位开展专业业务活动及辅助活动所取得的收入。</w:t>
      </w:r>
    </w:p>
    <w:p w14:paraId="234BF13D">
      <w:pPr>
        <w:autoSpaceDE w:val="0"/>
        <w:autoSpaceDN w:val="0"/>
        <w:adjustRightInd w:val="0"/>
        <w:ind w:firstLine="700" w:firstLineChars="250"/>
        <w:jc w:val="left"/>
        <w:rPr>
          <w:rFonts w:ascii="宋体" w:cs="黑体"/>
          <w:color w:val="000000"/>
          <w:kern w:val="0"/>
          <w:sz w:val="28"/>
          <w:szCs w:val="28"/>
        </w:rPr>
      </w:pPr>
      <w:r>
        <w:rPr>
          <w:rFonts w:hint="eastAsia" w:ascii="宋体" w:hAnsi="宋体" w:cs="黑体"/>
          <w:color w:val="000000"/>
          <w:kern w:val="0"/>
          <w:sz w:val="28"/>
          <w:szCs w:val="28"/>
        </w:rPr>
        <w:t>五、其他收入：指除上述“财政拨款收入”、“上级补助收入”、“事业收入”、“经营收入”、“附属单位上缴收入”等以外的收入。</w:t>
      </w:r>
    </w:p>
    <w:p w14:paraId="3ADDFEF4">
      <w:pPr>
        <w:autoSpaceDE w:val="0"/>
        <w:autoSpaceDN w:val="0"/>
        <w:adjustRightInd w:val="0"/>
        <w:ind w:firstLine="700" w:firstLineChars="250"/>
        <w:jc w:val="left"/>
        <w:rPr>
          <w:rFonts w:ascii="宋体" w:cs="黑体"/>
          <w:color w:val="000000"/>
          <w:kern w:val="0"/>
          <w:sz w:val="28"/>
          <w:szCs w:val="28"/>
        </w:rPr>
      </w:pPr>
      <w:r>
        <w:rPr>
          <w:rFonts w:hint="eastAsia" w:ascii="宋体" w:hAnsi="宋体" w:cs="黑体"/>
          <w:color w:val="000000"/>
          <w:kern w:val="0"/>
          <w:sz w:val="28"/>
          <w:szCs w:val="28"/>
        </w:rPr>
        <w:t>六、使用非财政拨款结余：指事业单位在当年的“财政拨款收入”、“财政拨款结转和结余资金”、“上级补助收入”、“事业收入”、“经营收入”、“附属单位上缴收入”、“其他收入”不足以安排当年支出情况下，使用以前年度积累的使用非财政拨款结余弥补收支差额的资金（事业单位当年收支相抵后按国家规定提取、用于弥补以后年度收支差额的非财政拨款结余）。</w:t>
      </w:r>
    </w:p>
    <w:p w14:paraId="0A666F21">
      <w:pPr>
        <w:autoSpaceDE w:val="0"/>
        <w:autoSpaceDN w:val="0"/>
        <w:adjustRightInd w:val="0"/>
        <w:ind w:firstLine="560" w:firstLineChars="200"/>
        <w:jc w:val="left"/>
        <w:rPr>
          <w:rFonts w:ascii="宋体" w:cs="黑体"/>
          <w:color w:val="000000"/>
          <w:kern w:val="0"/>
          <w:sz w:val="28"/>
          <w:szCs w:val="28"/>
        </w:rPr>
      </w:pPr>
      <w:r>
        <w:rPr>
          <w:rFonts w:hint="eastAsia" w:ascii="宋体" w:hAnsi="宋体" w:cs="黑体"/>
          <w:color w:val="000000"/>
          <w:kern w:val="0"/>
          <w:sz w:val="28"/>
          <w:szCs w:val="28"/>
        </w:rPr>
        <w:t>七、教育支出（类）：是指用于政府教育事务支出，包括保障机构正常运转、完成日常和特定的工作任务或事业发展目标的支出。</w:t>
      </w:r>
    </w:p>
    <w:p w14:paraId="24EFEE6A">
      <w:pPr>
        <w:autoSpaceDE w:val="0"/>
        <w:autoSpaceDN w:val="0"/>
        <w:adjustRightInd w:val="0"/>
        <w:ind w:firstLine="560" w:firstLineChars="200"/>
        <w:jc w:val="left"/>
        <w:rPr>
          <w:rFonts w:ascii="宋体" w:cs="黑体"/>
          <w:color w:val="000000"/>
          <w:kern w:val="0"/>
          <w:sz w:val="28"/>
          <w:szCs w:val="28"/>
        </w:rPr>
      </w:pPr>
      <w:r>
        <w:rPr>
          <w:rFonts w:hint="eastAsia" w:ascii="宋体" w:hAnsi="宋体" w:cs="黑体"/>
          <w:color w:val="000000"/>
          <w:kern w:val="0"/>
          <w:sz w:val="28"/>
          <w:szCs w:val="28"/>
        </w:rPr>
        <w:t>八、文化体育与传媒支出（类）：是指用于文化、文物、体育、新闻出版广播影视等方面的支出，包括保障机构正常运转、完成日常和特定的工作任务或事业发展目标的支出。</w:t>
      </w:r>
    </w:p>
    <w:p w14:paraId="05F33405">
      <w:pPr>
        <w:autoSpaceDE w:val="0"/>
        <w:autoSpaceDN w:val="0"/>
        <w:adjustRightInd w:val="0"/>
        <w:ind w:firstLine="560" w:firstLineChars="200"/>
        <w:jc w:val="left"/>
        <w:rPr>
          <w:rFonts w:ascii="宋体" w:cs="黑体"/>
          <w:color w:val="000000"/>
          <w:kern w:val="0"/>
          <w:sz w:val="28"/>
          <w:szCs w:val="28"/>
        </w:rPr>
      </w:pPr>
      <w:r>
        <w:rPr>
          <w:rFonts w:hint="eastAsia" w:ascii="宋体" w:hAnsi="宋体" w:cs="黑体"/>
          <w:color w:val="000000"/>
          <w:kern w:val="0"/>
          <w:sz w:val="28"/>
          <w:szCs w:val="28"/>
        </w:rPr>
        <w:t>九、社会保障和就业支出（类）：是指用于社会保障和就业方面的支出，包括保障机构正常运转、完成日常和特定的工作任务或事业发展目标的支出。归口管理的行政单位离退休，指离退休人员管理机构统一管理的机关离退休人员的经费。</w:t>
      </w:r>
    </w:p>
    <w:p w14:paraId="6F8CB4AE">
      <w:pPr>
        <w:autoSpaceDE w:val="0"/>
        <w:autoSpaceDN w:val="0"/>
        <w:adjustRightInd w:val="0"/>
        <w:ind w:firstLine="560" w:firstLineChars="200"/>
        <w:jc w:val="left"/>
        <w:rPr>
          <w:rFonts w:ascii="宋体" w:cs="黑体"/>
          <w:color w:val="000000"/>
          <w:kern w:val="0"/>
          <w:sz w:val="28"/>
          <w:szCs w:val="28"/>
        </w:rPr>
      </w:pPr>
      <w:r>
        <w:rPr>
          <w:rFonts w:hint="eastAsia" w:ascii="宋体" w:hAnsi="宋体" w:cs="黑体"/>
          <w:color w:val="000000"/>
          <w:kern w:val="0"/>
          <w:sz w:val="28"/>
          <w:szCs w:val="28"/>
        </w:rPr>
        <w:t>十、卫生健康支出（类）：是指用于医疗卫生与计划生育方面的支出，包括保障机构正常运转、完成日常和特定的工作任务或事业发展目标的支出。</w:t>
      </w:r>
    </w:p>
    <w:p w14:paraId="74543D3F">
      <w:pPr>
        <w:autoSpaceDE w:val="0"/>
        <w:autoSpaceDN w:val="0"/>
        <w:adjustRightInd w:val="0"/>
        <w:ind w:firstLine="560" w:firstLineChars="200"/>
        <w:jc w:val="left"/>
        <w:rPr>
          <w:rFonts w:ascii="宋体" w:cs="黑体"/>
          <w:color w:val="000000"/>
          <w:kern w:val="0"/>
          <w:sz w:val="28"/>
          <w:szCs w:val="28"/>
        </w:rPr>
      </w:pPr>
      <w:r>
        <w:rPr>
          <w:rFonts w:hint="eastAsia" w:ascii="宋体" w:hAnsi="宋体" w:cs="黑体"/>
          <w:color w:val="000000"/>
          <w:kern w:val="0"/>
          <w:sz w:val="28"/>
          <w:szCs w:val="28"/>
        </w:rPr>
        <w:t>十一、其他支出（类）：是指用于反映除上述项目以外其他不能划分到具体功能科目中的支出项目，包括保障机构正常运转、完成日常和特定的工作任务或事业发展目标的支出。</w:t>
      </w:r>
    </w:p>
    <w:p w14:paraId="1816FFC8">
      <w:pPr>
        <w:autoSpaceDE w:val="0"/>
        <w:autoSpaceDN w:val="0"/>
        <w:adjustRightInd w:val="0"/>
        <w:ind w:firstLine="560" w:firstLineChars="200"/>
        <w:jc w:val="left"/>
        <w:rPr>
          <w:rFonts w:ascii="宋体" w:cs="黑体"/>
          <w:color w:val="000000"/>
          <w:kern w:val="0"/>
          <w:sz w:val="28"/>
          <w:szCs w:val="28"/>
        </w:rPr>
      </w:pPr>
      <w:r>
        <w:rPr>
          <w:rFonts w:hint="eastAsia" w:ascii="宋体" w:hAnsi="宋体" w:cs="黑体"/>
          <w:color w:val="000000"/>
          <w:kern w:val="0"/>
          <w:sz w:val="28"/>
          <w:szCs w:val="28"/>
        </w:rPr>
        <w:t>十二、基本支出：指保障机构正常运转、完成支日常工作任务而发生的人员支出和公用支出。</w:t>
      </w:r>
    </w:p>
    <w:p w14:paraId="79D2F1D4">
      <w:pPr>
        <w:autoSpaceDE w:val="0"/>
        <w:autoSpaceDN w:val="0"/>
        <w:adjustRightInd w:val="0"/>
        <w:ind w:firstLine="560" w:firstLineChars="200"/>
        <w:jc w:val="left"/>
        <w:rPr>
          <w:rFonts w:ascii="宋体" w:cs="黑体"/>
          <w:color w:val="000000"/>
          <w:kern w:val="0"/>
          <w:sz w:val="28"/>
          <w:szCs w:val="28"/>
        </w:rPr>
      </w:pPr>
      <w:r>
        <w:rPr>
          <w:rFonts w:hint="eastAsia" w:ascii="宋体" w:hAnsi="宋体" w:cs="黑体"/>
          <w:color w:val="000000"/>
          <w:kern w:val="0"/>
          <w:sz w:val="28"/>
          <w:szCs w:val="28"/>
        </w:rPr>
        <w:t>十三、项目支出：指在基本支出之外为完成特定行政任务和事业发展目标所发生的支出。</w:t>
      </w:r>
    </w:p>
    <w:p w14:paraId="10DA27DF">
      <w:pPr>
        <w:autoSpaceDE w:val="0"/>
        <w:autoSpaceDN w:val="0"/>
        <w:adjustRightInd w:val="0"/>
        <w:ind w:firstLine="560" w:firstLineChars="200"/>
        <w:jc w:val="left"/>
        <w:rPr>
          <w:rFonts w:ascii="宋体" w:cs="黑体"/>
          <w:color w:val="000000"/>
          <w:kern w:val="0"/>
          <w:sz w:val="28"/>
          <w:szCs w:val="28"/>
        </w:rPr>
      </w:pPr>
      <w:r>
        <w:rPr>
          <w:rFonts w:hint="eastAsia" w:ascii="宋体" w:hAnsi="宋体" w:cs="黑体"/>
          <w:color w:val="000000"/>
          <w:kern w:val="0"/>
          <w:sz w:val="28"/>
          <w:szCs w:val="28"/>
        </w:rPr>
        <w:t>十四、工资福利支出：反映单位开支的在职职工和编制外长期聘用人员的各类劳动报酬，以及为上述人员缴纳的各项社会保险费等。</w:t>
      </w:r>
    </w:p>
    <w:p w14:paraId="53CA7A51">
      <w:pPr>
        <w:autoSpaceDE w:val="0"/>
        <w:autoSpaceDN w:val="0"/>
        <w:adjustRightInd w:val="0"/>
        <w:ind w:firstLine="560" w:firstLineChars="200"/>
        <w:jc w:val="left"/>
        <w:rPr>
          <w:rFonts w:ascii="宋体" w:cs="黑体"/>
          <w:color w:val="000000"/>
          <w:kern w:val="0"/>
          <w:sz w:val="28"/>
          <w:szCs w:val="28"/>
        </w:rPr>
      </w:pPr>
      <w:r>
        <w:rPr>
          <w:rFonts w:hint="eastAsia" w:ascii="宋体" w:hAnsi="宋体" w:cs="黑体"/>
          <w:color w:val="000000"/>
          <w:kern w:val="0"/>
          <w:sz w:val="28"/>
          <w:szCs w:val="28"/>
        </w:rPr>
        <w:t>十五、基本工资：反映按规定发放的基本工资，包括公务员的职务工资、级别工资；机关工人的岗位工资、技术等级工资；事业单位工作人员的岗位工资、薪级工资；各类学校毕业生试用期</w:t>
      </w:r>
      <w:r>
        <w:rPr>
          <w:rFonts w:ascii="宋体" w:hAnsi="宋体" w:cs="黑体"/>
          <w:color w:val="000000"/>
          <w:kern w:val="0"/>
          <w:sz w:val="28"/>
          <w:szCs w:val="28"/>
        </w:rPr>
        <w:t>(</w:t>
      </w:r>
      <w:r>
        <w:rPr>
          <w:rFonts w:hint="eastAsia" w:ascii="宋体" w:hAnsi="宋体" w:cs="黑体"/>
          <w:color w:val="000000"/>
          <w:kern w:val="0"/>
          <w:sz w:val="28"/>
          <w:szCs w:val="28"/>
        </w:rPr>
        <w:t>见习期</w:t>
      </w:r>
      <w:r>
        <w:rPr>
          <w:rFonts w:ascii="宋体" w:hAnsi="宋体" w:cs="黑体"/>
          <w:color w:val="000000"/>
          <w:kern w:val="0"/>
          <w:sz w:val="28"/>
          <w:szCs w:val="28"/>
        </w:rPr>
        <w:t>)</w:t>
      </w:r>
      <w:r>
        <w:rPr>
          <w:rFonts w:hint="eastAsia" w:ascii="宋体" w:hAnsi="宋体" w:cs="黑体"/>
          <w:color w:val="000000"/>
          <w:kern w:val="0"/>
          <w:sz w:val="28"/>
          <w:szCs w:val="28"/>
        </w:rPr>
        <w:t>工资、新参加工作工人学徒期、熟练期工资；军队（武警）军官、文职干部的职务（专业技术等级）工资、军衔（级别）工资、基础工资和军龄工资；军队士官的军衔等级工资、基础工资和军龄工资等。</w:t>
      </w:r>
    </w:p>
    <w:p w14:paraId="3431F655">
      <w:pPr>
        <w:autoSpaceDE w:val="0"/>
        <w:autoSpaceDN w:val="0"/>
        <w:adjustRightInd w:val="0"/>
        <w:ind w:firstLine="560" w:firstLineChars="200"/>
        <w:jc w:val="left"/>
        <w:rPr>
          <w:rFonts w:ascii="宋体" w:cs="黑体"/>
          <w:color w:val="000000"/>
          <w:kern w:val="0"/>
          <w:sz w:val="28"/>
          <w:szCs w:val="28"/>
        </w:rPr>
      </w:pPr>
      <w:r>
        <w:rPr>
          <w:rFonts w:hint="eastAsia" w:ascii="宋体" w:hAnsi="宋体" w:cs="黑体"/>
          <w:color w:val="000000"/>
          <w:kern w:val="0"/>
          <w:sz w:val="28"/>
          <w:szCs w:val="28"/>
        </w:rPr>
        <w:t>十六、奖金：反映机关工作人员年终一次性奖金。</w:t>
      </w:r>
    </w:p>
    <w:p w14:paraId="2EE5454B">
      <w:pPr>
        <w:autoSpaceDE w:val="0"/>
        <w:autoSpaceDN w:val="0"/>
        <w:adjustRightInd w:val="0"/>
        <w:ind w:firstLine="560" w:firstLineChars="200"/>
        <w:jc w:val="left"/>
        <w:rPr>
          <w:rFonts w:ascii="宋体" w:cs="黑体"/>
          <w:color w:val="000000"/>
          <w:kern w:val="0"/>
          <w:sz w:val="28"/>
          <w:szCs w:val="28"/>
        </w:rPr>
      </w:pPr>
      <w:r>
        <w:rPr>
          <w:rFonts w:hint="eastAsia" w:ascii="宋体" w:hAnsi="宋体" w:cs="黑体"/>
          <w:color w:val="000000"/>
          <w:kern w:val="0"/>
          <w:sz w:val="28"/>
          <w:szCs w:val="28"/>
        </w:rPr>
        <w:t>十七、伙食补助费：反映单位发给职工的伙食补助费，如误餐补助等。</w:t>
      </w:r>
    </w:p>
    <w:p w14:paraId="62AD1D00">
      <w:pPr>
        <w:autoSpaceDE w:val="0"/>
        <w:autoSpaceDN w:val="0"/>
        <w:adjustRightInd w:val="0"/>
        <w:ind w:firstLine="560" w:firstLineChars="200"/>
        <w:jc w:val="left"/>
        <w:rPr>
          <w:rFonts w:ascii="宋体" w:cs="黑体"/>
          <w:color w:val="000000"/>
          <w:kern w:val="0"/>
          <w:sz w:val="28"/>
          <w:szCs w:val="28"/>
        </w:rPr>
      </w:pPr>
      <w:r>
        <w:rPr>
          <w:rFonts w:hint="eastAsia" w:ascii="宋体" w:hAnsi="宋体" w:cs="黑体"/>
          <w:color w:val="000000"/>
          <w:kern w:val="0"/>
          <w:sz w:val="28"/>
          <w:szCs w:val="28"/>
        </w:rPr>
        <w:t>十八、绩效工资：反映事业单位工作人员的绩效工资。</w:t>
      </w:r>
    </w:p>
    <w:p w14:paraId="11C8F25B">
      <w:pPr>
        <w:autoSpaceDE w:val="0"/>
        <w:autoSpaceDN w:val="0"/>
        <w:adjustRightInd w:val="0"/>
        <w:ind w:firstLine="560" w:firstLineChars="200"/>
        <w:jc w:val="left"/>
        <w:rPr>
          <w:rFonts w:ascii="宋体" w:cs="黑体"/>
          <w:color w:val="000000"/>
          <w:kern w:val="0"/>
          <w:sz w:val="28"/>
          <w:szCs w:val="28"/>
        </w:rPr>
      </w:pPr>
      <w:r>
        <w:rPr>
          <w:rFonts w:hint="eastAsia" w:ascii="宋体" w:hAnsi="宋体" w:cs="黑体"/>
          <w:color w:val="000000"/>
          <w:kern w:val="0"/>
          <w:sz w:val="28"/>
          <w:szCs w:val="28"/>
        </w:rPr>
        <w:t>十九、机关事业单位基本养老保险缴费：反映机关事业单位缴纳的基本养老保险费。由单位代扣的工作人员基本养老保险缴费，不在此科目反映。</w:t>
      </w:r>
    </w:p>
    <w:p w14:paraId="2FCC632F">
      <w:pPr>
        <w:autoSpaceDE w:val="0"/>
        <w:autoSpaceDN w:val="0"/>
        <w:adjustRightInd w:val="0"/>
        <w:ind w:firstLine="560" w:firstLineChars="200"/>
        <w:jc w:val="left"/>
        <w:rPr>
          <w:rFonts w:ascii="宋体" w:cs="黑体"/>
          <w:color w:val="000000"/>
          <w:kern w:val="0"/>
          <w:sz w:val="28"/>
          <w:szCs w:val="28"/>
        </w:rPr>
      </w:pPr>
      <w:r>
        <w:rPr>
          <w:rFonts w:hint="eastAsia" w:ascii="宋体" w:hAnsi="宋体" w:cs="黑体"/>
          <w:color w:val="000000"/>
          <w:kern w:val="0"/>
          <w:sz w:val="28"/>
          <w:szCs w:val="28"/>
        </w:rPr>
        <w:t>二十、职工基本医疗保险缴费：反映单位为职工缴纳的基本医疗保险费。</w:t>
      </w:r>
    </w:p>
    <w:p w14:paraId="4E643F24">
      <w:pPr>
        <w:autoSpaceDE w:val="0"/>
        <w:autoSpaceDN w:val="0"/>
        <w:adjustRightInd w:val="0"/>
        <w:ind w:firstLine="560" w:firstLineChars="200"/>
        <w:jc w:val="left"/>
        <w:rPr>
          <w:rFonts w:ascii="宋体" w:cs="黑体"/>
          <w:color w:val="000000"/>
          <w:kern w:val="0"/>
          <w:sz w:val="28"/>
          <w:szCs w:val="28"/>
        </w:rPr>
      </w:pPr>
      <w:r>
        <w:rPr>
          <w:rFonts w:hint="eastAsia" w:ascii="宋体" w:hAnsi="宋体" w:cs="黑体"/>
          <w:color w:val="000000"/>
          <w:kern w:val="0"/>
          <w:sz w:val="28"/>
          <w:szCs w:val="28"/>
        </w:rPr>
        <w:t>二十一、其他社会保障缴费：反映单位为职工缴纳的基本医疗、失业、工伤、生育等社会保险费，残疾人就业保障金，军队（含武警）为军人缴纳的伤亡、退役医疗等社会保险费。</w:t>
      </w:r>
    </w:p>
    <w:p w14:paraId="279F835F">
      <w:pPr>
        <w:autoSpaceDE w:val="0"/>
        <w:autoSpaceDN w:val="0"/>
        <w:adjustRightInd w:val="0"/>
        <w:ind w:firstLine="560" w:firstLineChars="200"/>
        <w:jc w:val="left"/>
        <w:rPr>
          <w:rFonts w:ascii="宋体" w:cs="黑体"/>
          <w:color w:val="000000"/>
          <w:kern w:val="0"/>
          <w:sz w:val="28"/>
          <w:szCs w:val="28"/>
        </w:rPr>
      </w:pPr>
      <w:r>
        <w:rPr>
          <w:rFonts w:hint="eastAsia" w:ascii="宋体" w:hAnsi="宋体" w:cs="黑体"/>
          <w:color w:val="000000"/>
          <w:kern w:val="0"/>
          <w:sz w:val="28"/>
          <w:szCs w:val="28"/>
        </w:rPr>
        <w:t>二十二、住房公积金：反映行政事业单位按人力资源和社会保障部、财政部规定的基本工资和津贴补贴以及规定比例为职工缴纳的住房公积金。</w:t>
      </w:r>
    </w:p>
    <w:p w14:paraId="0BB6B3E3">
      <w:pPr>
        <w:autoSpaceDE w:val="0"/>
        <w:autoSpaceDN w:val="0"/>
        <w:adjustRightInd w:val="0"/>
        <w:ind w:firstLine="560" w:firstLineChars="200"/>
        <w:jc w:val="left"/>
        <w:rPr>
          <w:rFonts w:ascii="宋体" w:cs="黑体"/>
          <w:color w:val="000000"/>
          <w:kern w:val="0"/>
          <w:sz w:val="28"/>
          <w:szCs w:val="28"/>
        </w:rPr>
      </w:pPr>
      <w:r>
        <w:rPr>
          <w:rFonts w:hint="eastAsia" w:ascii="宋体" w:hAnsi="宋体" w:cs="黑体"/>
          <w:color w:val="000000"/>
          <w:kern w:val="0"/>
          <w:sz w:val="28"/>
          <w:szCs w:val="28"/>
        </w:rPr>
        <w:t>二十三、其他工资福利支出：反映上述项目未包括的人员支出，如各种加班工资、病假两个月以上期间的人员工资、编制外长期聘用人员，公务员及参照和依照公务员制度管理的单位工作人员转入企业工作并按规定参加企业职工基本养老保险后给予的一次性补贴等。</w:t>
      </w:r>
    </w:p>
    <w:p w14:paraId="23F25630">
      <w:pPr>
        <w:autoSpaceDE w:val="0"/>
        <w:autoSpaceDN w:val="0"/>
        <w:adjustRightInd w:val="0"/>
        <w:ind w:firstLine="560" w:firstLineChars="200"/>
        <w:jc w:val="left"/>
        <w:rPr>
          <w:rFonts w:ascii="宋体" w:cs="黑体"/>
          <w:color w:val="000000"/>
          <w:kern w:val="0"/>
          <w:sz w:val="28"/>
          <w:szCs w:val="28"/>
        </w:rPr>
      </w:pPr>
      <w:r>
        <w:rPr>
          <w:rFonts w:hint="eastAsia" w:ascii="宋体" w:hAnsi="宋体" w:cs="黑体"/>
          <w:color w:val="000000"/>
          <w:kern w:val="0"/>
          <w:sz w:val="28"/>
          <w:szCs w:val="28"/>
        </w:rPr>
        <w:t>二十四、商品和服务支出：反映单位购买商品和服务的支出（不包括用于购置固定资产的支出、战略性和应急储备支出）。</w:t>
      </w:r>
    </w:p>
    <w:p w14:paraId="4E85DC2D">
      <w:pPr>
        <w:autoSpaceDE w:val="0"/>
        <w:autoSpaceDN w:val="0"/>
        <w:adjustRightInd w:val="0"/>
        <w:ind w:firstLine="560" w:firstLineChars="200"/>
        <w:jc w:val="left"/>
        <w:rPr>
          <w:rFonts w:ascii="宋体" w:cs="黑体"/>
          <w:color w:val="000000"/>
          <w:kern w:val="0"/>
          <w:sz w:val="28"/>
          <w:szCs w:val="28"/>
        </w:rPr>
      </w:pPr>
      <w:r>
        <w:rPr>
          <w:rFonts w:hint="eastAsia" w:ascii="宋体" w:hAnsi="宋体" w:cs="黑体"/>
          <w:color w:val="000000"/>
          <w:kern w:val="0"/>
          <w:sz w:val="28"/>
          <w:szCs w:val="28"/>
        </w:rPr>
        <w:t>二十五、办公费：反映单位购买按财务会计制度规定不符合固定资产确认标准的日常办公用品、书报杂志等支出。</w:t>
      </w:r>
    </w:p>
    <w:p w14:paraId="0FEFF7E6">
      <w:pPr>
        <w:autoSpaceDE w:val="0"/>
        <w:autoSpaceDN w:val="0"/>
        <w:adjustRightInd w:val="0"/>
        <w:ind w:firstLine="560" w:firstLineChars="200"/>
        <w:jc w:val="left"/>
        <w:rPr>
          <w:rFonts w:ascii="宋体" w:cs="黑体"/>
          <w:color w:val="000000"/>
          <w:kern w:val="0"/>
          <w:sz w:val="28"/>
          <w:szCs w:val="28"/>
        </w:rPr>
      </w:pPr>
      <w:r>
        <w:rPr>
          <w:rFonts w:hint="eastAsia" w:ascii="宋体" w:hAnsi="宋体" w:cs="黑体"/>
          <w:color w:val="000000"/>
          <w:kern w:val="0"/>
          <w:sz w:val="28"/>
          <w:szCs w:val="28"/>
        </w:rPr>
        <w:t>二十六、印刷费：反映单位的印刷费支出。</w:t>
      </w:r>
    </w:p>
    <w:p w14:paraId="42D06C94">
      <w:pPr>
        <w:autoSpaceDE w:val="0"/>
        <w:autoSpaceDN w:val="0"/>
        <w:adjustRightInd w:val="0"/>
        <w:ind w:firstLine="560" w:firstLineChars="200"/>
        <w:jc w:val="left"/>
        <w:rPr>
          <w:rFonts w:ascii="宋体" w:cs="黑体"/>
          <w:color w:val="000000"/>
          <w:kern w:val="0"/>
          <w:sz w:val="28"/>
          <w:szCs w:val="28"/>
        </w:rPr>
      </w:pPr>
      <w:r>
        <w:rPr>
          <w:rFonts w:hint="eastAsia" w:ascii="宋体" w:hAnsi="宋体" w:cs="黑体"/>
          <w:color w:val="000000"/>
          <w:kern w:val="0"/>
          <w:sz w:val="28"/>
          <w:szCs w:val="28"/>
        </w:rPr>
        <w:t>二十七、电费：反映单位的电费支出。</w:t>
      </w:r>
    </w:p>
    <w:p w14:paraId="5ACF2DE3">
      <w:pPr>
        <w:autoSpaceDE w:val="0"/>
        <w:autoSpaceDN w:val="0"/>
        <w:adjustRightInd w:val="0"/>
        <w:ind w:firstLine="560" w:firstLineChars="200"/>
        <w:jc w:val="left"/>
        <w:rPr>
          <w:rFonts w:ascii="宋体" w:cs="黑体"/>
          <w:color w:val="000000"/>
          <w:kern w:val="0"/>
          <w:sz w:val="28"/>
          <w:szCs w:val="28"/>
        </w:rPr>
      </w:pPr>
      <w:r>
        <w:rPr>
          <w:rFonts w:hint="eastAsia" w:ascii="宋体" w:hAnsi="宋体" w:cs="黑体"/>
          <w:color w:val="000000"/>
          <w:kern w:val="0"/>
          <w:sz w:val="28"/>
          <w:szCs w:val="28"/>
        </w:rPr>
        <w:t>二十八、物业管理费：反映单位开支的办公用房以及未实行职工住宅物业服务改革的在职职工和离退休人员宿舍等的物业管理费，包括综合治理、绿化、卫生等方面的支出。</w:t>
      </w:r>
    </w:p>
    <w:p w14:paraId="6C9A62A6">
      <w:pPr>
        <w:autoSpaceDE w:val="0"/>
        <w:autoSpaceDN w:val="0"/>
        <w:adjustRightInd w:val="0"/>
        <w:ind w:firstLine="560" w:firstLineChars="200"/>
        <w:jc w:val="left"/>
        <w:rPr>
          <w:rFonts w:ascii="宋体" w:cs="黑体"/>
          <w:color w:val="000000"/>
          <w:kern w:val="0"/>
          <w:sz w:val="28"/>
          <w:szCs w:val="28"/>
        </w:rPr>
      </w:pPr>
      <w:r>
        <w:rPr>
          <w:rFonts w:hint="eastAsia" w:ascii="宋体" w:hAnsi="宋体" w:cs="黑体"/>
          <w:color w:val="000000"/>
          <w:kern w:val="0"/>
          <w:sz w:val="28"/>
          <w:szCs w:val="28"/>
        </w:rPr>
        <w:t>二十九、差旅费：反映单位工作人员出差发生的城市间交通费、住宿费、伙食补贴费和市内交通费。</w:t>
      </w:r>
    </w:p>
    <w:p w14:paraId="1BD39B3D">
      <w:pPr>
        <w:autoSpaceDE w:val="0"/>
        <w:autoSpaceDN w:val="0"/>
        <w:adjustRightInd w:val="0"/>
        <w:ind w:firstLine="560" w:firstLineChars="200"/>
        <w:jc w:val="left"/>
        <w:rPr>
          <w:rFonts w:ascii="宋体" w:cs="黑体"/>
          <w:color w:val="000000"/>
          <w:kern w:val="0"/>
          <w:sz w:val="28"/>
          <w:szCs w:val="28"/>
        </w:rPr>
      </w:pPr>
      <w:r>
        <w:rPr>
          <w:rFonts w:hint="eastAsia" w:ascii="宋体" w:hAnsi="宋体" w:cs="黑体"/>
          <w:color w:val="000000"/>
          <w:kern w:val="0"/>
          <w:sz w:val="28"/>
          <w:szCs w:val="28"/>
        </w:rPr>
        <w:t>三十、维修</w:t>
      </w:r>
      <w:r>
        <w:rPr>
          <w:rFonts w:ascii="宋体" w:hAnsi="宋体" w:cs="黑体"/>
          <w:color w:val="000000"/>
          <w:kern w:val="0"/>
          <w:sz w:val="28"/>
          <w:szCs w:val="28"/>
        </w:rPr>
        <w:t>(</w:t>
      </w:r>
      <w:r>
        <w:rPr>
          <w:rFonts w:hint="eastAsia" w:ascii="宋体" w:hAnsi="宋体" w:cs="黑体"/>
          <w:color w:val="000000"/>
          <w:kern w:val="0"/>
          <w:sz w:val="28"/>
          <w:szCs w:val="28"/>
        </w:rPr>
        <w:t>护</w:t>
      </w:r>
      <w:r>
        <w:rPr>
          <w:rFonts w:ascii="宋体" w:hAnsi="宋体" w:cs="黑体"/>
          <w:color w:val="000000"/>
          <w:kern w:val="0"/>
          <w:sz w:val="28"/>
          <w:szCs w:val="28"/>
        </w:rPr>
        <w:t>)</w:t>
      </w:r>
      <w:r>
        <w:rPr>
          <w:rFonts w:hint="eastAsia" w:ascii="宋体" w:hAnsi="宋体" w:cs="黑体"/>
          <w:color w:val="000000"/>
          <w:kern w:val="0"/>
          <w:sz w:val="28"/>
          <w:szCs w:val="28"/>
        </w:rPr>
        <w:t>费：反映单位日常开支的固定资产（不包括车船等交通工具）修理和维护费用，网络信息系统运行与维护费用，以及按规定提取的修购基金。</w:t>
      </w:r>
    </w:p>
    <w:p w14:paraId="04BD5E85">
      <w:pPr>
        <w:autoSpaceDE w:val="0"/>
        <w:autoSpaceDN w:val="0"/>
        <w:adjustRightInd w:val="0"/>
        <w:ind w:firstLine="560" w:firstLineChars="200"/>
        <w:jc w:val="left"/>
        <w:rPr>
          <w:rFonts w:ascii="宋体" w:cs="黑体"/>
          <w:color w:val="000000"/>
          <w:kern w:val="0"/>
          <w:sz w:val="28"/>
          <w:szCs w:val="28"/>
        </w:rPr>
      </w:pPr>
      <w:r>
        <w:rPr>
          <w:rFonts w:hint="eastAsia" w:ascii="宋体" w:hAnsi="宋体" w:cs="黑体"/>
          <w:color w:val="000000"/>
          <w:kern w:val="0"/>
          <w:sz w:val="28"/>
          <w:szCs w:val="28"/>
        </w:rPr>
        <w:t>三十一、专用材料费：反映单位购买日常专用材料的支出。具体包括药品及医疗耗材，农用材料，兽医用品，实验室用品，专用服装，消耗性体育用品，专用工具和仪器，艺术部门专用材料和用品，广播电视台发射台发射机的电力、材料等方面的支出。</w:t>
      </w:r>
    </w:p>
    <w:p w14:paraId="41AFAADA">
      <w:pPr>
        <w:autoSpaceDE w:val="0"/>
        <w:autoSpaceDN w:val="0"/>
        <w:adjustRightInd w:val="0"/>
        <w:ind w:firstLine="560" w:firstLineChars="200"/>
        <w:jc w:val="left"/>
        <w:rPr>
          <w:rFonts w:ascii="宋体" w:cs="黑体"/>
          <w:color w:val="000000"/>
          <w:kern w:val="0"/>
          <w:sz w:val="28"/>
          <w:szCs w:val="28"/>
        </w:rPr>
      </w:pPr>
      <w:r>
        <w:rPr>
          <w:rFonts w:hint="eastAsia" w:ascii="宋体" w:hAnsi="宋体" w:cs="黑体"/>
          <w:color w:val="000000"/>
          <w:kern w:val="0"/>
          <w:sz w:val="28"/>
          <w:szCs w:val="28"/>
        </w:rPr>
        <w:t>三十二、劳务费：反映支付给单位和个人的劳务费用，如临时聘用人员、钟点工工资，稿费、翻译费，评审费等。</w:t>
      </w:r>
    </w:p>
    <w:p w14:paraId="32249471">
      <w:pPr>
        <w:autoSpaceDE w:val="0"/>
        <w:autoSpaceDN w:val="0"/>
        <w:adjustRightInd w:val="0"/>
        <w:ind w:firstLine="560" w:firstLineChars="200"/>
        <w:jc w:val="left"/>
        <w:rPr>
          <w:rFonts w:ascii="宋体" w:cs="黑体"/>
          <w:color w:val="000000"/>
          <w:kern w:val="0"/>
          <w:sz w:val="28"/>
          <w:szCs w:val="28"/>
        </w:rPr>
      </w:pPr>
      <w:r>
        <w:rPr>
          <w:rFonts w:hint="eastAsia" w:ascii="宋体" w:hAnsi="宋体" w:cs="黑体"/>
          <w:color w:val="000000"/>
          <w:kern w:val="0"/>
          <w:sz w:val="28"/>
          <w:szCs w:val="28"/>
        </w:rPr>
        <w:t>三十三、工会经费：反映单位按规定提取的工会经费。</w:t>
      </w:r>
    </w:p>
    <w:p w14:paraId="3BC3743C">
      <w:pPr>
        <w:autoSpaceDE w:val="0"/>
        <w:autoSpaceDN w:val="0"/>
        <w:adjustRightInd w:val="0"/>
        <w:ind w:firstLine="560" w:firstLineChars="200"/>
        <w:jc w:val="left"/>
        <w:rPr>
          <w:rFonts w:ascii="宋体" w:cs="黑体"/>
          <w:color w:val="000000"/>
          <w:kern w:val="0"/>
          <w:sz w:val="28"/>
          <w:szCs w:val="28"/>
        </w:rPr>
      </w:pPr>
      <w:r>
        <w:rPr>
          <w:rFonts w:hint="eastAsia" w:ascii="宋体" w:hAnsi="宋体" w:cs="黑体"/>
          <w:color w:val="000000"/>
          <w:kern w:val="0"/>
          <w:sz w:val="28"/>
          <w:szCs w:val="28"/>
        </w:rPr>
        <w:t>三十四、其他交通费用：反映单位除公务用车运行维护费以外的其他交通费用。如公务交通补贴，租车费用、出租车费用，飞机、船舶等的燃料费、维修费、保险费等。</w:t>
      </w:r>
    </w:p>
    <w:p w14:paraId="2739C525">
      <w:pPr>
        <w:autoSpaceDE w:val="0"/>
        <w:autoSpaceDN w:val="0"/>
        <w:adjustRightInd w:val="0"/>
        <w:ind w:firstLine="560" w:firstLineChars="200"/>
        <w:jc w:val="left"/>
        <w:rPr>
          <w:rFonts w:ascii="宋体" w:cs="黑体"/>
          <w:color w:val="000000"/>
          <w:kern w:val="0"/>
          <w:sz w:val="28"/>
          <w:szCs w:val="28"/>
        </w:rPr>
      </w:pPr>
      <w:r>
        <w:rPr>
          <w:rFonts w:hint="eastAsia" w:ascii="宋体" w:hAnsi="宋体" w:cs="黑体"/>
          <w:color w:val="000000"/>
          <w:kern w:val="0"/>
          <w:sz w:val="28"/>
          <w:szCs w:val="28"/>
        </w:rPr>
        <w:t>三十五、其他商品和服务支出：反映上述科目未包括的日常公用支出。如行政赔偿费和诉讼费、国内组织的会员费、来访费、广告宣传、其他劳务费及离休人员特需费、公用经费等。</w:t>
      </w:r>
    </w:p>
    <w:p w14:paraId="173AAB42">
      <w:pPr>
        <w:autoSpaceDE w:val="0"/>
        <w:autoSpaceDN w:val="0"/>
        <w:adjustRightInd w:val="0"/>
        <w:ind w:firstLine="560" w:firstLineChars="200"/>
        <w:jc w:val="left"/>
        <w:rPr>
          <w:rFonts w:ascii="宋体" w:cs="黑体"/>
          <w:color w:val="000000"/>
          <w:kern w:val="0"/>
          <w:sz w:val="28"/>
          <w:szCs w:val="28"/>
        </w:rPr>
      </w:pPr>
      <w:r>
        <w:rPr>
          <w:rFonts w:hint="eastAsia" w:ascii="宋体" w:hAnsi="宋体" w:cs="黑体"/>
          <w:color w:val="000000"/>
          <w:kern w:val="0"/>
          <w:sz w:val="28"/>
          <w:szCs w:val="28"/>
        </w:rPr>
        <w:t>三十六、对个人和家庭的补助：反映政府用于对个人和家庭的补助支出。</w:t>
      </w:r>
    </w:p>
    <w:p w14:paraId="03907097">
      <w:pPr>
        <w:autoSpaceDE w:val="0"/>
        <w:autoSpaceDN w:val="0"/>
        <w:adjustRightInd w:val="0"/>
        <w:ind w:firstLine="560" w:firstLineChars="200"/>
        <w:jc w:val="left"/>
        <w:rPr>
          <w:rFonts w:ascii="宋体" w:cs="黑体"/>
          <w:color w:val="000000"/>
          <w:kern w:val="0"/>
          <w:sz w:val="28"/>
          <w:szCs w:val="28"/>
        </w:rPr>
      </w:pPr>
      <w:r>
        <w:rPr>
          <w:rFonts w:hint="eastAsia" w:ascii="宋体" w:hAnsi="宋体" w:cs="黑体"/>
          <w:color w:val="000000"/>
          <w:kern w:val="0"/>
          <w:sz w:val="28"/>
          <w:szCs w:val="28"/>
        </w:rPr>
        <w:t>三十七、退休费：反映行政事业单位和军队移交政府安置的退休人员的退休费和其他补贴。</w:t>
      </w:r>
    </w:p>
    <w:p w14:paraId="6456DD20">
      <w:pPr>
        <w:autoSpaceDE w:val="0"/>
        <w:autoSpaceDN w:val="0"/>
        <w:adjustRightInd w:val="0"/>
        <w:ind w:firstLine="560" w:firstLineChars="200"/>
        <w:jc w:val="left"/>
        <w:rPr>
          <w:rFonts w:ascii="宋体" w:cs="黑体"/>
          <w:color w:val="000000"/>
          <w:kern w:val="0"/>
          <w:sz w:val="28"/>
          <w:szCs w:val="28"/>
        </w:rPr>
      </w:pPr>
      <w:r>
        <w:rPr>
          <w:rFonts w:hint="eastAsia" w:ascii="宋体" w:hAnsi="宋体" w:cs="黑体"/>
          <w:color w:val="000000"/>
          <w:kern w:val="0"/>
          <w:sz w:val="28"/>
          <w:szCs w:val="28"/>
        </w:rPr>
        <w:t>三十八、生活补助：反映按规定开支的优抚对象定期定量生活补助费，退役军人生活补助费，行政事业单位职工和遗属生活补助，因公负伤等住院治疗、住疗养院期间的伙食补助费，长期赡养人员补助费，由于国家实行退耕还林禁牧舍饲政策补偿给农牧民的现金、粮食支出，对农村党员、复员军人以及村干部的补助支出，看守人员和犯人的伙食费、药费等。</w:t>
      </w:r>
    </w:p>
    <w:p w14:paraId="371242B7">
      <w:pPr>
        <w:autoSpaceDE w:val="0"/>
        <w:autoSpaceDN w:val="0"/>
        <w:adjustRightInd w:val="0"/>
        <w:ind w:firstLine="560" w:firstLineChars="200"/>
        <w:jc w:val="left"/>
        <w:rPr>
          <w:rFonts w:ascii="宋体" w:cs="黑体"/>
          <w:color w:val="000000"/>
          <w:kern w:val="0"/>
          <w:sz w:val="28"/>
          <w:szCs w:val="28"/>
        </w:rPr>
      </w:pPr>
      <w:r>
        <w:rPr>
          <w:rFonts w:hint="eastAsia" w:ascii="宋体" w:hAnsi="宋体" w:cs="黑体"/>
          <w:color w:val="000000"/>
          <w:kern w:val="0"/>
          <w:sz w:val="28"/>
          <w:szCs w:val="28"/>
        </w:rPr>
        <w:t>三十九、医疗费：反映行政事业单位在职职工、离退休人员的医疗费，军队移交政府安置的离退休人员的医疗费，学生医疗费，优抚对象医疗补助，以及按国家规定资助农民参加新型农村合作医疗和城镇居民参加城镇居民基本医疗保险的支出和对城乡贫困家庭的医疗救助支出。</w:t>
      </w:r>
    </w:p>
    <w:p w14:paraId="1C6254A4">
      <w:pPr>
        <w:autoSpaceDE w:val="0"/>
        <w:autoSpaceDN w:val="0"/>
        <w:adjustRightInd w:val="0"/>
        <w:ind w:firstLine="560" w:firstLineChars="200"/>
        <w:jc w:val="left"/>
        <w:rPr>
          <w:rFonts w:ascii="宋体" w:cs="黑体"/>
          <w:color w:val="000000"/>
          <w:kern w:val="0"/>
          <w:sz w:val="28"/>
          <w:szCs w:val="28"/>
        </w:rPr>
      </w:pPr>
      <w:r>
        <w:rPr>
          <w:rFonts w:hint="eastAsia" w:ascii="宋体" w:hAnsi="宋体" w:cs="黑体"/>
          <w:color w:val="000000"/>
          <w:kern w:val="0"/>
          <w:sz w:val="28"/>
          <w:szCs w:val="28"/>
        </w:rPr>
        <w:t>四十、奖励金：反映政府各部门的奖励支出，如对个体私营经济的奖励、计划生育目标责任奖励、独生子女父母奖励等。</w:t>
      </w:r>
    </w:p>
    <w:p w14:paraId="1CD811E8">
      <w:pPr>
        <w:autoSpaceDE w:val="0"/>
        <w:autoSpaceDN w:val="0"/>
        <w:adjustRightInd w:val="0"/>
        <w:ind w:firstLine="560" w:firstLineChars="200"/>
        <w:jc w:val="left"/>
        <w:rPr>
          <w:rFonts w:ascii="宋体" w:cs="黑体"/>
          <w:color w:val="000000"/>
          <w:kern w:val="0"/>
          <w:sz w:val="28"/>
          <w:szCs w:val="28"/>
        </w:rPr>
      </w:pPr>
      <w:r>
        <w:rPr>
          <w:rFonts w:hint="eastAsia" w:ascii="宋体" w:hAnsi="宋体" w:cs="黑体"/>
          <w:color w:val="000000"/>
          <w:kern w:val="0"/>
          <w:sz w:val="28"/>
          <w:szCs w:val="28"/>
        </w:rPr>
        <w:t>四十一、办公设备购置：反映用于购置并按财务会计制度规定纳入固定资产核算范围的办公家具和办公设备的支出，以及按规定提取的修购基金。</w:t>
      </w:r>
    </w:p>
    <w:p w14:paraId="554F1654">
      <w:pPr>
        <w:autoSpaceDE w:val="0"/>
        <w:autoSpaceDN w:val="0"/>
        <w:adjustRightInd w:val="0"/>
        <w:ind w:firstLine="560" w:firstLineChars="200"/>
        <w:jc w:val="left"/>
        <w:rPr>
          <w:rFonts w:ascii="宋体" w:cs="黑体"/>
          <w:color w:val="000000"/>
          <w:kern w:val="0"/>
          <w:sz w:val="28"/>
          <w:szCs w:val="28"/>
        </w:rPr>
      </w:pPr>
      <w:r>
        <w:rPr>
          <w:rFonts w:hint="eastAsia" w:ascii="宋体" w:hAnsi="宋体" w:cs="黑体"/>
          <w:color w:val="000000"/>
          <w:kern w:val="0"/>
          <w:sz w:val="28"/>
          <w:szCs w:val="28"/>
        </w:rPr>
        <w:t>四十二、专用设备购置：反映用于购置具有专门用途、并按财务会计制度规定纳入固定资产核算范围的各类专用设备的支出。如通信设备、发电设备、交通监控设备、卫星转发器、气象设备、进出口监管设备等，以及按规定提取的修购基金。</w:t>
      </w:r>
    </w:p>
    <w:p w14:paraId="16D9AD78">
      <w:pPr>
        <w:pStyle w:val="3"/>
        <w:ind w:left="31680" w:firstLine="31680"/>
      </w:pPr>
      <w:r>
        <w:rPr>
          <w:rFonts w:hint="eastAsia" w:cs="黑体"/>
          <w:color w:val="000000"/>
          <w:sz w:val="28"/>
          <w:szCs w:val="28"/>
        </w:rPr>
        <w:t>四十三、其他资本性支出：反映上述科目中未包括的资本性支出。</w:t>
      </w:r>
    </w:p>
    <w:p w14:paraId="5C27CF27"/>
    <w:p w14:paraId="2440BA4B">
      <w:pPr>
        <w:pStyle w:val="2"/>
      </w:pPr>
    </w:p>
    <w:p w14:paraId="5D27D568">
      <w:pPr>
        <w:pStyle w:val="3"/>
        <w:ind w:left="31680" w:firstLine="31680"/>
      </w:pPr>
    </w:p>
    <w:p w14:paraId="47975701"/>
    <w:p w14:paraId="6989EA91">
      <w:pPr>
        <w:pStyle w:val="2"/>
      </w:pPr>
    </w:p>
    <w:p w14:paraId="7A17E39B">
      <w:pPr>
        <w:pStyle w:val="3"/>
        <w:ind w:left="31680" w:firstLine="31680"/>
      </w:pPr>
    </w:p>
    <w:p w14:paraId="0E9643A3"/>
    <w:p w14:paraId="2C490000">
      <w:pPr>
        <w:pStyle w:val="2"/>
      </w:pPr>
    </w:p>
    <w:p w14:paraId="772F2D54">
      <w:pPr>
        <w:pStyle w:val="3"/>
        <w:ind w:left="31680" w:firstLine="31680"/>
      </w:pPr>
    </w:p>
    <w:p w14:paraId="411B8D48"/>
    <w:p w14:paraId="2BBDC085">
      <w:pPr>
        <w:pStyle w:val="2"/>
      </w:pPr>
    </w:p>
    <w:p w14:paraId="671D5C2E">
      <w:pPr>
        <w:pStyle w:val="3"/>
        <w:ind w:left="31680" w:firstLine="31680"/>
      </w:pPr>
    </w:p>
    <w:p w14:paraId="435C9140"/>
    <w:p w14:paraId="0C75C208">
      <w:pPr>
        <w:pStyle w:val="2"/>
      </w:pPr>
    </w:p>
    <w:p w14:paraId="151CA024">
      <w:pPr>
        <w:pStyle w:val="3"/>
        <w:ind w:left="31680" w:firstLine="31680"/>
      </w:pPr>
    </w:p>
    <w:p w14:paraId="6D5A7B8B">
      <w:pPr>
        <w:pStyle w:val="16"/>
        <w:jc w:val="center"/>
        <w:rPr>
          <w:rFonts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2"/>
          <w:szCs w:val="72"/>
        </w:rPr>
        <w:t>第五部分</w:t>
      </w:r>
    </w:p>
    <w:p w14:paraId="6608EF3B">
      <w:pPr>
        <w:pStyle w:val="16"/>
        <w:jc w:val="both"/>
        <w:rPr>
          <w:rFonts w:ascii="方正小标宋_GBK" w:hAnsi="方正小标宋_GBK" w:eastAsia="方正小标宋_GBK" w:cs="方正小标宋_GBK"/>
          <w:sz w:val="70"/>
          <w:szCs w:val="70"/>
        </w:rPr>
      </w:pPr>
    </w:p>
    <w:p w14:paraId="7536AF9B">
      <w:pPr>
        <w:pStyle w:val="16"/>
        <w:jc w:val="center"/>
        <w:rPr>
          <w:rFonts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附</w:t>
      </w:r>
      <w:r>
        <w:rPr>
          <w:rFonts w:ascii="方正小标宋_GBK" w:hAnsi="方正小标宋_GBK" w:eastAsia="方正小标宋_GBK" w:cs="方正小标宋_GBK"/>
          <w:sz w:val="70"/>
          <w:szCs w:val="70"/>
        </w:rPr>
        <w:t xml:space="preserve"> </w:t>
      </w:r>
      <w:r>
        <w:rPr>
          <w:rFonts w:hint="eastAsia" w:ascii="方正小标宋_GBK" w:hAnsi="方正小标宋_GBK" w:eastAsia="方正小标宋_GBK" w:cs="方正小标宋_GBK"/>
          <w:sz w:val="70"/>
          <w:szCs w:val="70"/>
        </w:rPr>
        <w:t>件</w:t>
      </w:r>
    </w:p>
    <w:p w14:paraId="7670EEDF">
      <w:pPr>
        <w:ind w:firstLine="640" w:firstLineChars="200"/>
        <w:jc w:val="left"/>
        <w:rPr>
          <w:rFonts w:ascii="宋体" w:cs="黑体"/>
          <w:b/>
          <w:color w:val="000000"/>
          <w:kern w:val="0"/>
          <w:sz w:val="32"/>
          <w:szCs w:val="32"/>
        </w:rPr>
      </w:pPr>
    </w:p>
    <w:p w14:paraId="6EE63D66">
      <w:pPr>
        <w:ind w:firstLine="640" w:firstLineChars="200"/>
        <w:jc w:val="left"/>
        <w:rPr>
          <w:rFonts w:ascii="宋体" w:cs="黑体"/>
          <w:b/>
          <w:color w:val="000000"/>
          <w:kern w:val="0"/>
          <w:sz w:val="32"/>
          <w:szCs w:val="32"/>
        </w:rPr>
      </w:pPr>
      <w:r>
        <w:rPr>
          <w:rFonts w:ascii="宋体" w:hAnsi="宋体" w:cs="黑体"/>
          <w:b/>
          <w:color w:val="000000"/>
          <w:kern w:val="0"/>
          <w:sz w:val="32"/>
          <w:szCs w:val="32"/>
        </w:rPr>
        <w:t>1</w:t>
      </w:r>
      <w:r>
        <w:rPr>
          <w:rFonts w:hint="eastAsia" w:ascii="宋体" w:hAnsi="宋体" w:cs="黑体"/>
          <w:b/>
          <w:color w:val="000000"/>
          <w:kern w:val="0"/>
          <w:sz w:val="32"/>
          <w:szCs w:val="32"/>
        </w:rPr>
        <w:t>、</w:t>
      </w:r>
      <w:r>
        <w:rPr>
          <w:rFonts w:ascii="宋体" w:hAnsi="宋体" w:cs="黑体"/>
          <w:b/>
          <w:color w:val="000000"/>
          <w:kern w:val="0"/>
          <w:sz w:val="32"/>
          <w:szCs w:val="32"/>
        </w:rPr>
        <w:t>2023</w:t>
      </w:r>
      <w:r>
        <w:rPr>
          <w:rFonts w:hint="eastAsia" w:ascii="宋体" w:hAnsi="宋体" w:cs="黑体"/>
          <w:b/>
          <w:color w:val="000000"/>
          <w:kern w:val="0"/>
          <w:sz w:val="32"/>
          <w:szCs w:val="32"/>
        </w:rPr>
        <w:t>年部门决算公开表格</w:t>
      </w:r>
    </w:p>
    <w:p w14:paraId="6D3066CF">
      <w:pPr>
        <w:ind w:firstLine="640" w:firstLineChars="200"/>
        <w:jc w:val="left"/>
        <w:rPr>
          <w:rFonts w:ascii="宋体" w:cs="黑体"/>
          <w:color w:val="000000"/>
          <w:kern w:val="0"/>
          <w:sz w:val="32"/>
          <w:szCs w:val="32"/>
        </w:rPr>
      </w:pPr>
      <w:r>
        <w:rPr>
          <w:rFonts w:ascii="宋体" w:hAnsi="宋体" w:cs="黑体"/>
          <w:b/>
          <w:color w:val="000000"/>
          <w:kern w:val="0"/>
          <w:sz w:val="32"/>
          <w:szCs w:val="32"/>
        </w:rPr>
        <w:t>2</w:t>
      </w:r>
      <w:r>
        <w:rPr>
          <w:rFonts w:hint="eastAsia" w:ascii="宋体" w:hAnsi="宋体" w:cs="黑体"/>
          <w:b/>
          <w:color w:val="000000"/>
          <w:kern w:val="0"/>
          <w:sz w:val="32"/>
          <w:szCs w:val="32"/>
        </w:rPr>
        <w:t>、</w:t>
      </w:r>
      <w:r>
        <w:rPr>
          <w:rFonts w:ascii="宋体" w:hAnsi="宋体" w:cs="黑体"/>
          <w:b/>
          <w:color w:val="000000"/>
          <w:kern w:val="0"/>
          <w:sz w:val="32"/>
          <w:szCs w:val="32"/>
        </w:rPr>
        <w:t>2023</w:t>
      </w:r>
      <w:r>
        <w:rPr>
          <w:rFonts w:hint="eastAsia" w:ascii="宋体" w:hAnsi="宋体" w:cs="黑体"/>
          <w:b/>
          <w:color w:val="000000"/>
          <w:kern w:val="0"/>
          <w:sz w:val="32"/>
          <w:szCs w:val="32"/>
        </w:rPr>
        <w:t>年度部门整体支出绩效评价报告</w:t>
      </w:r>
    </w:p>
    <w:p w14:paraId="06D3C47A"/>
    <w:sectPr>
      <w:headerReference r:id="rId5" w:type="first"/>
      <w:footerReference r:id="rId8" w:type="first"/>
      <w:headerReference r:id="rId3" w:type="default"/>
      <w:footerReference r:id="rId6" w:type="default"/>
      <w:headerReference r:id="rId4" w:type="even"/>
      <w:footerReference r:id="rId7" w:type="even"/>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altName w:val="微软雅黑"/>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48200">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BE88F">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1B2D2">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F21CD">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DCFDF">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CBAAC">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06F9"/>
    <w:rsid w:val="000209D8"/>
    <w:rsid w:val="0002229B"/>
    <w:rsid w:val="000273BD"/>
    <w:rsid w:val="00040CBC"/>
    <w:rsid w:val="000415B7"/>
    <w:rsid w:val="00041E3F"/>
    <w:rsid w:val="00055DAA"/>
    <w:rsid w:val="00061F7B"/>
    <w:rsid w:val="000658A3"/>
    <w:rsid w:val="00074155"/>
    <w:rsid w:val="000A3F69"/>
    <w:rsid w:val="00103957"/>
    <w:rsid w:val="00103B26"/>
    <w:rsid w:val="00103FD0"/>
    <w:rsid w:val="00104DAD"/>
    <w:rsid w:val="0012576E"/>
    <w:rsid w:val="00152C6D"/>
    <w:rsid w:val="00162D39"/>
    <w:rsid w:val="001678BD"/>
    <w:rsid w:val="00182373"/>
    <w:rsid w:val="001A67DB"/>
    <w:rsid w:val="001C3C29"/>
    <w:rsid w:val="001D51E5"/>
    <w:rsid w:val="001E080D"/>
    <w:rsid w:val="001E53D0"/>
    <w:rsid w:val="001F0C3B"/>
    <w:rsid w:val="00202C82"/>
    <w:rsid w:val="0020594E"/>
    <w:rsid w:val="00214427"/>
    <w:rsid w:val="00226CB7"/>
    <w:rsid w:val="0024362F"/>
    <w:rsid w:val="00264552"/>
    <w:rsid w:val="00264EF9"/>
    <w:rsid w:val="00265724"/>
    <w:rsid w:val="00265F4C"/>
    <w:rsid w:val="0027426B"/>
    <w:rsid w:val="002E0A30"/>
    <w:rsid w:val="002F6422"/>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4D0608"/>
    <w:rsid w:val="004D50BF"/>
    <w:rsid w:val="00500E5F"/>
    <w:rsid w:val="005122EF"/>
    <w:rsid w:val="0051441A"/>
    <w:rsid w:val="00517C33"/>
    <w:rsid w:val="00517D5F"/>
    <w:rsid w:val="00523644"/>
    <w:rsid w:val="00526F37"/>
    <w:rsid w:val="0054069E"/>
    <w:rsid w:val="00544866"/>
    <w:rsid w:val="005767CC"/>
    <w:rsid w:val="00590D9F"/>
    <w:rsid w:val="00595D26"/>
    <w:rsid w:val="005A74E6"/>
    <w:rsid w:val="005B404E"/>
    <w:rsid w:val="005D4D55"/>
    <w:rsid w:val="005E2CFB"/>
    <w:rsid w:val="005F2103"/>
    <w:rsid w:val="005F3D1C"/>
    <w:rsid w:val="006176D0"/>
    <w:rsid w:val="0062378F"/>
    <w:rsid w:val="00641842"/>
    <w:rsid w:val="00651EEC"/>
    <w:rsid w:val="00686673"/>
    <w:rsid w:val="00691E8C"/>
    <w:rsid w:val="006A22C4"/>
    <w:rsid w:val="006A351B"/>
    <w:rsid w:val="006B0422"/>
    <w:rsid w:val="006C1B53"/>
    <w:rsid w:val="006C5331"/>
    <w:rsid w:val="006D7730"/>
    <w:rsid w:val="006E5284"/>
    <w:rsid w:val="006E6176"/>
    <w:rsid w:val="006F3EB5"/>
    <w:rsid w:val="00702E34"/>
    <w:rsid w:val="00704395"/>
    <w:rsid w:val="00710FE7"/>
    <w:rsid w:val="00717621"/>
    <w:rsid w:val="00720FF1"/>
    <w:rsid w:val="00727A53"/>
    <w:rsid w:val="00787B42"/>
    <w:rsid w:val="007A4DFC"/>
    <w:rsid w:val="007C4539"/>
    <w:rsid w:val="007C62C5"/>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1139C"/>
    <w:rsid w:val="00A42218"/>
    <w:rsid w:val="00A70249"/>
    <w:rsid w:val="00A70B02"/>
    <w:rsid w:val="00A71D9F"/>
    <w:rsid w:val="00A92E9F"/>
    <w:rsid w:val="00AB18FF"/>
    <w:rsid w:val="00AD4F41"/>
    <w:rsid w:val="00B33BEA"/>
    <w:rsid w:val="00B57C9F"/>
    <w:rsid w:val="00B63572"/>
    <w:rsid w:val="00B845B3"/>
    <w:rsid w:val="00B85D8B"/>
    <w:rsid w:val="00BB4A40"/>
    <w:rsid w:val="00BD6C3E"/>
    <w:rsid w:val="00BE3674"/>
    <w:rsid w:val="00BE37F7"/>
    <w:rsid w:val="00C10681"/>
    <w:rsid w:val="00C3049A"/>
    <w:rsid w:val="00C31B1E"/>
    <w:rsid w:val="00C77645"/>
    <w:rsid w:val="00C82653"/>
    <w:rsid w:val="00CE04C3"/>
    <w:rsid w:val="00CE76A0"/>
    <w:rsid w:val="00D0566B"/>
    <w:rsid w:val="00D12DE9"/>
    <w:rsid w:val="00D148C6"/>
    <w:rsid w:val="00D17A8A"/>
    <w:rsid w:val="00D415BA"/>
    <w:rsid w:val="00D53016"/>
    <w:rsid w:val="00D63780"/>
    <w:rsid w:val="00D644EE"/>
    <w:rsid w:val="00DD06FF"/>
    <w:rsid w:val="00DD5FE9"/>
    <w:rsid w:val="00E00C7A"/>
    <w:rsid w:val="00E2294B"/>
    <w:rsid w:val="00E37D6C"/>
    <w:rsid w:val="00E55B68"/>
    <w:rsid w:val="00E561AE"/>
    <w:rsid w:val="00E67BE6"/>
    <w:rsid w:val="00E8683C"/>
    <w:rsid w:val="00E86B8A"/>
    <w:rsid w:val="00E879ED"/>
    <w:rsid w:val="00EA2B72"/>
    <w:rsid w:val="00F04D1A"/>
    <w:rsid w:val="00F54053"/>
    <w:rsid w:val="00F74360"/>
    <w:rsid w:val="00FB462F"/>
    <w:rsid w:val="00FE16FA"/>
    <w:rsid w:val="00FE328A"/>
    <w:rsid w:val="00FE6269"/>
    <w:rsid w:val="00FF5CD6"/>
    <w:rsid w:val="059958AD"/>
    <w:rsid w:val="12583BA5"/>
    <w:rsid w:val="13BA5B9C"/>
    <w:rsid w:val="1D97DEFF"/>
    <w:rsid w:val="1DFF72E5"/>
    <w:rsid w:val="1EFC6F07"/>
    <w:rsid w:val="22AC03C2"/>
    <w:rsid w:val="2FDF85B8"/>
    <w:rsid w:val="2FFFEE04"/>
    <w:rsid w:val="31C95635"/>
    <w:rsid w:val="34DF85B0"/>
    <w:rsid w:val="3B8F36BC"/>
    <w:rsid w:val="491FF225"/>
    <w:rsid w:val="4FFD214C"/>
    <w:rsid w:val="5352765A"/>
    <w:rsid w:val="5777D4F5"/>
    <w:rsid w:val="59DD8326"/>
    <w:rsid w:val="5C3E4FEC"/>
    <w:rsid w:val="5DEF592A"/>
    <w:rsid w:val="5FC6BB1E"/>
    <w:rsid w:val="5FF720F1"/>
    <w:rsid w:val="67FF5C0B"/>
    <w:rsid w:val="6BAA4A2F"/>
    <w:rsid w:val="6EFC0924"/>
    <w:rsid w:val="6FB74722"/>
    <w:rsid w:val="6FEF8B7E"/>
    <w:rsid w:val="71A6591B"/>
    <w:rsid w:val="737D59BA"/>
    <w:rsid w:val="737F32B1"/>
    <w:rsid w:val="77C37683"/>
    <w:rsid w:val="79FF515B"/>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nhideWhenUsed="0"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link w:val="10"/>
    <w:semiHidden/>
    <w:uiPriority w:val="99"/>
    <w:pPr>
      <w:snapToGrid w:val="0"/>
      <w:jc w:val="left"/>
    </w:pPr>
    <w:rPr>
      <w:sz w:val="18"/>
      <w:szCs w:val="18"/>
    </w:rPr>
  </w:style>
  <w:style w:type="paragraph" w:styleId="3">
    <w:name w:val="Body Text First Indent 2"/>
    <w:basedOn w:val="4"/>
    <w:next w:val="1"/>
    <w:link w:val="12"/>
    <w:uiPriority w:val="99"/>
    <w:pPr>
      <w:ind w:firstLine="420" w:firstLineChars="200"/>
    </w:pPr>
  </w:style>
  <w:style w:type="paragraph" w:styleId="4">
    <w:name w:val="Body Text Indent"/>
    <w:basedOn w:val="1"/>
    <w:next w:val="3"/>
    <w:link w:val="11"/>
    <w:uiPriority w:val="99"/>
    <w:pPr>
      <w:widowControl/>
      <w:spacing w:after="120"/>
      <w:ind w:left="420" w:leftChars="200"/>
      <w:jc w:val="left"/>
    </w:pPr>
    <w:rPr>
      <w:rFonts w:ascii="宋体" w:hAnsi="宋体" w:cs="宋体"/>
      <w:kern w:val="0"/>
      <w:sz w:val="24"/>
    </w:rPr>
  </w:style>
  <w:style w:type="paragraph" w:styleId="5">
    <w:name w:val="Balloon Text"/>
    <w:basedOn w:val="1"/>
    <w:link w:val="13"/>
    <w:semiHidden/>
    <w:uiPriority w:val="99"/>
    <w:rPr>
      <w:sz w:val="18"/>
      <w:szCs w:val="18"/>
    </w:rPr>
  </w:style>
  <w:style w:type="paragraph" w:styleId="6">
    <w:name w:val="footer"/>
    <w:basedOn w:val="1"/>
    <w:link w:val="14"/>
    <w:uiPriority w:val="99"/>
    <w:pPr>
      <w:tabs>
        <w:tab w:val="center" w:pos="4153"/>
        <w:tab w:val="right" w:pos="8306"/>
      </w:tabs>
      <w:snapToGrid w:val="0"/>
      <w:jc w:val="left"/>
    </w:pPr>
    <w:rPr>
      <w:sz w:val="18"/>
      <w:szCs w:val="18"/>
    </w:rPr>
  </w:style>
  <w:style w:type="paragraph" w:styleId="7">
    <w:name w:val="header"/>
    <w:basedOn w:val="1"/>
    <w:link w:val="15"/>
    <w:uiPriority w:val="99"/>
    <w:pPr>
      <w:pBdr>
        <w:bottom w:val="single" w:color="auto" w:sz="6" w:space="1"/>
      </w:pBdr>
      <w:tabs>
        <w:tab w:val="center" w:pos="4153"/>
        <w:tab w:val="right" w:pos="8306"/>
      </w:tabs>
      <w:snapToGrid w:val="0"/>
      <w:jc w:val="center"/>
    </w:pPr>
    <w:rPr>
      <w:sz w:val="18"/>
      <w:szCs w:val="18"/>
    </w:rPr>
  </w:style>
  <w:style w:type="character" w:customStyle="1" w:styleId="10">
    <w:name w:val="Footnote Text Char"/>
    <w:basedOn w:val="9"/>
    <w:link w:val="2"/>
    <w:semiHidden/>
    <w:locked/>
    <w:uiPriority w:val="99"/>
    <w:rPr>
      <w:rFonts w:ascii="Calibri" w:hAnsi="Calibri" w:cs="Times New Roman"/>
      <w:sz w:val="18"/>
      <w:szCs w:val="18"/>
    </w:rPr>
  </w:style>
  <w:style w:type="character" w:customStyle="1" w:styleId="11">
    <w:name w:val="Body Text Indent Char"/>
    <w:basedOn w:val="9"/>
    <w:link w:val="4"/>
    <w:semiHidden/>
    <w:locked/>
    <w:uiPriority w:val="99"/>
    <w:rPr>
      <w:rFonts w:ascii="Calibri" w:hAnsi="Calibri" w:cs="Times New Roman"/>
    </w:rPr>
  </w:style>
  <w:style w:type="character" w:customStyle="1" w:styleId="12">
    <w:name w:val="Body Text First Indent 2 Char"/>
    <w:basedOn w:val="11"/>
    <w:link w:val="3"/>
    <w:semiHidden/>
    <w:locked/>
    <w:uiPriority w:val="99"/>
  </w:style>
  <w:style w:type="character" w:customStyle="1" w:styleId="13">
    <w:name w:val="Balloon Text Char"/>
    <w:basedOn w:val="9"/>
    <w:link w:val="5"/>
    <w:semiHidden/>
    <w:locked/>
    <w:uiPriority w:val="99"/>
    <w:rPr>
      <w:rFonts w:cs="Times New Roman"/>
      <w:sz w:val="18"/>
      <w:szCs w:val="18"/>
    </w:rPr>
  </w:style>
  <w:style w:type="character" w:customStyle="1" w:styleId="14">
    <w:name w:val="Footer Char"/>
    <w:basedOn w:val="9"/>
    <w:link w:val="6"/>
    <w:locked/>
    <w:uiPriority w:val="99"/>
    <w:rPr>
      <w:rFonts w:cs="Times New Roman"/>
      <w:sz w:val="18"/>
      <w:szCs w:val="18"/>
    </w:rPr>
  </w:style>
  <w:style w:type="character" w:customStyle="1" w:styleId="15">
    <w:name w:val="Header Char"/>
    <w:basedOn w:val="9"/>
    <w:link w:val="7"/>
    <w:locked/>
    <w:uiPriority w:val="99"/>
    <w:rPr>
      <w:rFonts w:cs="Times New Roman"/>
      <w:sz w:val="18"/>
      <w:szCs w:val="18"/>
    </w:rPr>
  </w:style>
  <w:style w:type="paragraph" w:customStyle="1" w:styleId="16">
    <w:name w:val="Default"/>
    <w:uiPriority w:val="99"/>
    <w:pPr>
      <w:widowControl w:val="0"/>
      <w:autoSpaceDE w:val="0"/>
      <w:autoSpaceDN w:val="0"/>
      <w:adjustRightInd w:val="0"/>
    </w:pPr>
    <w:rPr>
      <w:rFonts w:ascii="黑体" w:hAnsi="Calibri" w:eastAsia="黑体" w:cs="黑体"/>
      <w:color w:val="000000"/>
      <w:kern w:val="0"/>
      <w:sz w:val="24"/>
      <w:szCs w:val="24"/>
      <w:lang w:val="en-US" w:eastAsia="zh-CN" w:bidi="ar-SA"/>
    </w:rPr>
  </w:style>
  <w:style w:type="paragraph" w:styleId="17">
    <w:name w:val="List Paragraph"/>
    <w:basedOn w:val="1"/>
    <w:qFormat/>
    <w:uiPriority w:val="99"/>
    <w:pPr>
      <w:ind w:firstLine="420" w:firstLineChars="200"/>
    </w:pPr>
  </w:style>
  <w:style w:type="character" w:customStyle="1" w:styleId="18">
    <w:name w:val="font01"/>
    <w:basedOn w:val="9"/>
    <w:uiPriority w:val="99"/>
    <w:rPr>
      <w:rFonts w:ascii="宋体" w:hAnsi="宋体" w:eastAsia="宋体" w:cs="宋体"/>
      <w:color w:val="000000"/>
      <w:sz w:val="22"/>
      <w:szCs w:val="22"/>
      <w:u w:val="none"/>
    </w:rPr>
  </w:style>
  <w:style w:type="character" w:customStyle="1" w:styleId="19">
    <w:name w:val="font21"/>
    <w:basedOn w:val="9"/>
    <w:uiPriority w:val="99"/>
    <w:rPr>
      <w:rFonts w:ascii="宋体" w:hAnsi="宋体" w:eastAsia="宋体" w:cs="宋体"/>
      <w:color w:val="000000"/>
      <w:sz w:val="24"/>
      <w:szCs w:val="24"/>
      <w:u w:val="none"/>
    </w:rPr>
  </w:style>
  <w:style w:type="character" w:customStyle="1" w:styleId="20">
    <w:name w:val="font11"/>
    <w:basedOn w:val="9"/>
    <w:uiPriority w:val="99"/>
    <w:rPr>
      <w:rFonts w:ascii="宋体" w:hAnsi="宋体" w:eastAsia="宋体" w:cs="宋体"/>
      <w:color w:val="000000"/>
      <w:sz w:val="24"/>
      <w:szCs w:val="24"/>
      <w:u w:val="none"/>
    </w:rPr>
  </w:style>
  <w:style w:type="character" w:customStyle="1" w:styleId="21">
    <w:name w:val="页脚 Char"/>
    <w:basedOn w:val="9"/>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21</Pages>
  <Words>8133</Words>
  <Characters>8600</Characters>
  <Lines>0</Lines>
  <Paragraphs>0</Paragraphs>
  <TotalTime>1245</TotalTime>
  <ScaleCrop>false</ScaleCrop>
  <LinksUpToDate>false</LinksUpToDate>
  <CharactersWithSpaces>8618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小廖</cp:lastModifiedBy>
  <cp:lastPrinted>2024-08-08T10:20:00Z</cp:lastPrinted>
  <dcterms:modified xsi:type="dcterms:W3CDTF">2025-07-28T03:29:17Z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B602D0AA475E4CFC97D5F48757E31393_13</vt:lpwstr>
  </property>
  <property fmtid="{D5CDD505-2E9C-101B-9397-08002B2CF9AE}" pid="4" name="KSOTemplateDocerSaveRecord">
    <vt:lpwstr>eyJoZGlkIjoiNTA0OWJlYjhlZjc4NmRkMmIzNGFkZWJjYjFhZWZmZDciLCJ1c2VySWQiOiI1MDU1NTk4OTUifQ==</vt:lpwstr>
  </property>
</Properties>
</file>