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交通运输培训中心2021年度单位预算公开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第一部分  2021年单位预算说明</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第二部分  单位预算公开表格</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一、收支总表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二、收入总表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三、支出总表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四、支出预算分类汇总表（按政府预算经济分类）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五、支出预算分类汇总表（按部门预算经济分类）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六、财政拨款收支总表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七、一般公共预算支出表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八、一般公共预算基本支出表--人员经费(工资福利支出)(按政府预算经济分类)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九、一般公共预算基本支出表--人员经费(工资福利支出)(按部门预算经济分类)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十、一般公共预算基本支出表--人员经费(对个人和家庭的补助)(按政府预算经济分类)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十一、一般公共预算基本支出表--人员经费(对个人和家庭的补助)（按部门预算经济分类）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十二、一般公共预算基本支出表--公用经费(商品和服务支出)（按政府预算经济分类）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十三、一般公共预算基本支出表--公用经费(商品和服务支出)(按部门预算经济分类)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十四、一般公共预算“三公”经费支出表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十五、政府性基金预算支出表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十六、政府性基金预算支出分类汇总表（按政府预算经济分类）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十七、政府性基金预算支出分类汇总表（按部门预算经济分类）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十八、国有资产经营预算支出表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十九、纳入专户管理的非税收入拨款支出预算表(按政府预算经济分类)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二十、纳入专户管理的非税收入拨款支出预算表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二十一、支出预算项目明细表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二十二、财政支出项目预算绩效目标申报表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二十三、部门(单位)整体支出预算绩效目标申报表</w:t>
            </w:r>
          </w:p>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cs="仿宋_GB2312"/>
                <w:i w:val="0"/>
                <w:iCs w:val="0"/>
                <w:color w:val="auto"/>
                <w:kern w:val="0"/>
                <w:sz w:val="28"/>
                <w:szCs w:val="28"/>
                <w:u w:val="none"/>
                <w:lang w:val="en-US" w:eastAsia="zh-CN" w:bidi="ar"/>
              </w:rPr>
              <w:t>二十四、一般公共预算基本支出总表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注：以上单位预算公开报表中，空表表示本单位无相关收支情况。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第一部分    2021年单位预算说明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一、单位基本概况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（一）职能职责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ind w:firstLine="0" w:firstLineChars="0"/>
              <w:rPr>
                <w:rFonts w:hint="eastAsia"/>
                <w:color w:val="auto"/>
                <w:lang w:eastAsia="zh-CN"/>
              </w:rPr>
            </w:pPr>
            <w:r>
              <w:rPr>
                <w:rFonts w:hint="eastAsia" w:ascii="仿宋_GB2312" w:hAnsi="宋体" w:eastAsia="仿宋_GB2312" w:cs="仿宋_GB2312"/>
                <w:i w:val="0"/>
                <w:iCs w:val="0"/>
                <w:color w:val="auto"/>
                <w:kern w:val="0"/>
                <w:sz w:val="28"/>
                <w:szCs w:val="28"/>
                <w:u w:val="none"/>
                <w:lang w:val="en-US" w:eastAsia="zh-CN" w:bidi="ar"/>
              </w:rPr>
              <w:t xml:space="preserve">    </w:t>
            </w:r>
            <w:r>
              <w:rPr>
                <w:rFonts w:hint="eastAsia"/>
                <w:color w:val="auto"/>
                <w:lang w:eastAsia="zh-CN"/>
              </w:rPr>
              <w:t>（1）负责开阵中等职业技术教育、成人高等函授教育</w:t>
            </w:r>
          </w:p>
          <w:p>
            <w:pPr>
              <w:ind w:firstLine="0" w:firstLineChars="0"/>
              <w:rPr>
                <w:rFonts w:hint="eastAsia"/>
                <w:color w:val="auto"/>
                <w:lang w:eastAsia="zh-CN"/>
              </w:rPr>
            </w:pPr>
            <w:r>
              <w:rPr>
                <w:rFonts w:hint="eastAsia"/>
                <w:color w:val="auto"/>
                <w:lang w:eastAsia="zh-CN"/>
              </w:rPr>
              <w:t>　　（2）负责全市交通运输系统在职干部、职工的政治业务、行政执法等培训工作</w:t>
            </w:r>
          </w:p>
          <w:p>
            <w:pPr>
              <w:ind w:firstLine="0" w:firstLineChars="0"/>
              <w:rPr>
                <w:rFonts w:hint="eastAsia" w:ascii="仿宋_GB2312" w:hAnsi="宋体" w:eastAsia="仿宋_GB2312" w:cs="仿宋_GB2312"/>
                <w:i w:val="0"/>
                <w:iCs w:val="0"/>
                <w:color w:val="auto"/>
                <w:sz w:val="28"/>
                <w:szCs w:val="28"/>
                <w:u w:val="none"/>
              </w:rPr>
            </w:pPr>
            <w:r>
              <w:rPr>
                <w:rFonts w:hint="eastAsia"/>
                <w:color w:val="auto"/>
                <w:lang w:eastAsia="zh-CN"/>
              </w:rPr>
              <w:t>　　（3）负责全市交通运输行业从业人员的培训工作。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（二）机构设置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w:t>
            </w:r>
            <w:r>
              <w:rPr>
                <w:rFonts w:hint="eastAsia"/>
                <w:color w:val="auto"/>
                <w:lang w:eastAsia="zh-CN"/>
              </w:rPr>
              <w:t>岳阳市交通培训中心隶属于岳阳市交通运输局的全额拨款正科级事业单位，领导岗位一正三副，在编正式员工29人，内设办公室、财务科、后勤科、从业科。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kern w:val="0"/>
                <w:sz w:val="28"/>
                <w:szCs w:val="28"/>
                <w:u w:val="none"/>
                <w:lang w:val="en-US" w:eastAsia="zh-CN" w:bidi="ar"/>
              </w:rPr>
            </w:pPr>
            <w:r>
              <w:rPr>
                <w:rFonts w:hint="eastAsia" w:ascii="黑体" w:hAnsi="宋体" w:eastAsia="黑体" w:cs="黑体"/>
                <w:i w:val="0"/>
                <w:iCs w:val="0"/>
                <w:color w:val="auto"/>
                <w:kern w:val="0"/>
                <w:sz w:val="28"/>
                <w:szCs w:val="28"/>
                <w:u w:val="none"/>
                <w:lang w:val="en-US" w:eastAsia="zh-CN" w:bidi="ar"/>
              </w:rPr>
              <w:t xml:space="preserve">    二、单位收支总体情况</w:t>
            </w:r>
          </w:p>
          <w:p>
            <w:pPr>
              <w:keepNext w:val="0"/>
              <w:keepLines w:val="0"/>
              <w:widowControl/>
              <w:suppressLineNumbers w:val="0"/>
              <w:jc w:val="left"/>
              <w:textAlignment w:val="center"/>
              <w:rPr>
                <w:rFonts w:hint="eastAsia" w:ascii="黑体" w:hAnsi="宋体" w:eastAsia="黑体" w:cs="黑体"/>
                <w:i w:val="0"/>
                <w:iCs w:val="0"/>
                <w:color w:val="auto"/>
                <w:kern w:val="0"/>
                <w:sz w:val="28"/>
                <w:szCs w:val="28"/>
                <w:u w:val="none"/>
                <w:lang w:val="en-US" w:eastAsia="zh-CN" w:bidi="ar"/>
              </w:rPr>
            </w:pPr>
            <w:r>
              <w:rPr>
                <w:rFonts w:hint="eastAsia" w:ascii="黑体" w:hAnsi="宋体" w:eastAsia="黑体" w:cs="黑体"/>
                <w:i w:val="0"/>
                <w:iCs w:val="0"/>
                <w:color w:val="auto"/>
                <w:kern w:val="0"/>
                <w:sz w:val="28"/>
                <w:szCs w:val="28"/>
                <w:u w:val="none"/>
                <w:lang w:val="en-US" w:eastAsia="zh-CN" w:bidi="ar"/>
              </w:rPr>
              <w:t xml:space="preserve">     本单位为二级预算单位，没有预算独立、财务独立核算的下属预算单位，因此纳入2021年部门预算公开范围的为本单位本级预算。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（一）收入预算</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包括一般公共预算、政府性基金、国有资本经营预算等财政拨款收入，以及经营收入、事业收入等单位资金。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本单位收入预算456.95万元，其中，一般公共预算拨款456.95万元，政府性基金预算拨款0.00万元（所以公开的附件15-17为空表），国有资本经营预算拨款0.00万元（所以公开的附件18为空表），财政专户管理资金0.00万元（所以公开的附件19-20为空表），上级补助收入0.00万元，事业单位经营收入0.00万元，其他收入0.00万元</w:t>
            </w:r>
            <w:r>
              <w:rPr>
                <w:rFonts w:hint="eastAsia" w:ascii="仿宋_GB2312" w:hAnsi="宋体" w:cs="仿宋_GB2312"/>
                <w:i w:val="0"/>
                <w:iCs w:val="0"/>
                <w:color w:val="auto"/>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8"/>
                <w:szCs w:val="28"/>
                <w:u w:val="none"/>
                <w:lang w:val="en-US"/>
              </w:rPr>
            </w:pPr>
            <w:r>
              <w:rPr>
                <w:rFonts w:hint="eastAsia" w:ascii="仿宋_GB2312" w:hAnsi="宋体" w:eastAsia="仿宋_GB2312" w:cs="仿宋_GB2312"/>
                <w:i w:val="0"/>
                <w:iCs w:val="0"/>
                <w:color w:val="auto"/>
                <w:kern w:val="0"/>
                <w:sz w:val="28"/>
                <w:szCs w:val="28"/>
                <w:u w:val="none"/>
                <w:lang w:val="en-US" w:eastAsia="zh-CN" w:bidi="ar"/>
              </w:rPr>
              <w:t xml:space="preserve">    收入较去年减少3.51万元，降幅-0.8%，原因是</w:t>
            </w:r>
            <w:r>
              <w:rPr>
                <w:rFonts w:hint="eastAsia" w:ascii="仿宋_GB2312" w:hAnsi="宋体" w:cs="仿宋_GB2312"/>
                <w:i w:val="0"/>
                <w:iCs w:val="0"/>
                <w:color w:val="auto"/>
                <w:kern w:val="0"/>
                <w:sz w:val="28"/>
                <w:szCs w:val="28"/>
                <w:u w:val="none"/>
                <w:lang w:val="en-US" w:eastAsia="zh-CN" w:bidi="ar"/>
              </w:rPr>
              <w:t>压减公用经费。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（二）支出预算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2021年本单位支出预算456.95万元，其中，社会保障和就业支出34.29万元，卫生健康支出14.57万元，交通运输支出384.49万元，住房保障支出23.60万元。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支出较去年减少3.51万元，其中基本支出较去年减少7.84万元，原因是</w:t>
            </w:r>
            <w:r>
              <w:rPr>
                <w:rFonts w:hint="eastAsia"/>
                <w:color w:val="auto"/>
                <w:lang w:eastAsia="zh-CN"/>
              </w:rPr>
              <w:t>公务用餐标准控制到位</w:t>
            </w:r>
            <w:r>
              <w:rPr>
                <w:rFonts w:hint="eastAsia" w:ascii="仿宋_GB2312" w:hAnsi="宋体" w:eastAsia="仿宋_GB2312" w:cs="仿宋_GB2312"/>
                <w:i w:val="0"/>
                <w:iCs w:val="0"/>
                <w:color w:val="auto"/>
                <w:kern w:val="0"/>
                <w:sz w:val="28"/>
                <w:szCs w:val="28"/>
                <w:u w:val="none"/>
                <w:lang w:val="en-US" w:eastAsia="zh-CN" w:bidi="ar"/>
              </w:rPr>
              <w:t>；项目支出较去年增加4.33万元，原因是</w:t>
            </w:r>
            <w:r>
              <w:rPr>
                <w:rFonts w:hint="eastAsia"/>
                <w:color w:val="auto"/>
                <w:lang w:eastAsia="zh-CN"/>
              </w:rPr>
              <w:t>门头建设。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三、一般公共预算拨款支出预算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2021年一般公共预算拨款支出预算456.95万元，其中，社会保障和就业支出34.29万元，占7.5%，卫生健康支出14.57万元，占3.2%，交通运输支出384.49万元，占84.1%，住房保障支出23.60万元，占5.2%。具体安排情况如下：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一）基本支出：2021年基本支出年初预算数为301.25万元，是指为保障单位机构正常运转、完成日常工作任务而发生的各项支出，包括用于基本工资、津贴补贴等人员经费以及办公费、印刷费、水电费、差旅费等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二）项目支出：2021年项目支出年初预算数为155.70万元，是指单位为完成特定行政工作任务或事业发展目标而发生的支出，包括有关业务工作经费、运行维护经费等。其中包括从业人员继续教育培训29.70万元、培训收入126.00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四、政府性基金预算支出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2021年度本单位无政府性基金安排的支出，所以公开的附件15-17为空。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五、其他重要事项的情况说明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（一）机关运行经费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本单位2021年机关运行经费当年一般公共预算拨款30.49万元。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较去年减少1.22万元，降幅-3.8%，原因是人员调整和厉行节约。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（二）“三公”经费预算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本单位2021年“三公”经费预算数8.00万元，其中公务接待费8.00万元，因公出国（境）费0.00万元，公务用车购置及运行费等0.00万元（其中公务用车购置费0.00万元，公务用车运行费0.00万元</w:t>
            </w:r>
            <w:r>
              <w:rPr>
                <w:rFonts w:hint="eastAsia" w:ascii="仿宋_GB2312" w:hAnsi="宋体" w:cs="仿宋_GB2312"/>
                <w:i w:val="0"/>
                <w:iCs w:val="0"/>
                <w:color w:val="auto"/>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比上一年增加2.49万元，增</w:t>
            </w:r>
            <w:r>
              <w:rPr>
                <w:rFonts w:hint="eastAsia" w:ascii="仿宋_GB2312" w:hAnsi="宋体" w:cs="仿宋_GB2312"/>
                <w:i w:val="0"/>
                <w:iCs w:val="0"/>
                <w:color w:val="auto"/>
                <w:kern w:val="0"/>
                <w:sz w:val="28"/>
                <w:szCs w:val="28"/>
                <w:u w:val="none"/>
                <w:lang w:val="en-US" w:eastAsia="zh-CN" w:bidi="ar"/>
              </w:rPr>
              <w:t>长</w:t>
            </w:r>
            <w:r>
              <w:rPr>
                <w:rFonts w:hint="eastAsia" w:ascii="仿宋_GB2312" w:hAnsi="宋体" w:eastAsia="仿宋_GB2312" w:cs="仿宋_GB2312"/>
                <w:i w:val="0"/>
                <w:iCs w:val="0"/>
                <w:color w:val="auto"/>
                <w:kern w:val="0"/>
                <w:sz w:val="28"/>
                <w:szCs w:val="28"/>
                <w:u w:val="none"/>
                <w:lang w:val="en-US" w:eastAsia="zh-CN" w:bidi="ar"/>
              </w:rPr>
              <w:t>45.19%，主要原因是</w:t>
            </w:r>
            <w:r>
              <w:rPr>
                <w:rFonts w:hint="eastAsia" w:ascii="仿宋_GB2312" w:hAnsi="宋体" w:cs="仿宋_GB2312"/>
                <w:i w:val="0"/>
                <w:iCs w:val="0"/>
                <w:color w:val="auto"/>
                <w:kern w:val="0"/>
                <w:sz w:val="28"/>
                <w:szCs w:val="28"/>
                <w:u w:val="none"/>
                <w:lang w:val="en-US" w:eastAsia="zh-CN" w:bidi="ar"/>
              </w:rPr>
              <w:t>增加</w:t>
            </w:r>
            <w:r>
              <w:rPr>
                <w:rFonts w:hint="eastAsia" w:ascii="仿宋_GB2312" w:hAnsi="宋体" w:eastAsia="仿宋_GB2312" w:cs="仿宋_GB2312"/>
                <w:i w:val="0"/>
                <w:iCs w:val="0"/>
                <w:color w:val="auto"/>
                <w:kern w:val="0"/>
                <w:sz w:val="28"/>
                <w:szCs w:val="28"/>
                <w:u w:val="none"/>
                <w:lang w:val="en-US" w:eastAsia="zh-CN" w:bidi="ar"/>
              </w:rPr>
              <w:t>继续教育培训内容</w:t>
            </w:r>
            <w:r>
              <w:rPr>
                <w:rFonts w:hint="eastAsia" w:ascii="仿宋_GB2312" w:hAnsi="宋体" w:cs="仿宋_GB2312"/>
                <w:i w:val="0"/>
                <w:iCs w:val="0"/>
                <w:color w:val="auto"/>
                <w:kern w:val="0"/>
                <w:sz w:val="28"/>
                <w:szCs w:val="28"/>
                <w:u w:val="none"/>
                <w:lang w:val="en-US" w:eastAsia="zh-CN" w:bidi="ar"/>
              </w:rPr>
              <w:t>，相应增加公务接待费</w:t>
            </w:r>
            <w:r>
              <w:rPr>
                <w:rFonts w:hint="eastAsia" w:ascii="仿宋_GB2312" w:hAnsi="宋体" w:eastAsia="仿宋_GB2312" w:cs="仿宋_GB2312"/>
                <w:i w:val="0"/>
                <w:iCs w:val="0"/>
                <w:color w:val="auto"/>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（三）一般性支出情况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2021年度本单位未计划召开会议；</w:t>
            </w:r>
            <w:r>
              <w:rPr>
                <w:rFonts w:hint="eastAsia" w:ascii="仿宋_GB2312" w:hAnsi="宋体" w:eastAsia="仿宋_GB2312" w:cs="仿宋_GB2312"/>
                <w:i w:val="0"/>
                <w:iCs w:val="0"/>
                <w:color w:val="0D0D0D" w:themeColor="text1" w:themeTint="F2"/>
                <w:kern w:val="0"/>
                <w:sz w:val="28"/>
                <w:szCs w:val="28"/>
                <w:u w:val="none"/>
                <w:lang w:val="en-US" w:eastAsia="zh-CN" w:bidi="ar"/>
                <w14:textFill>
                  <w14:solidFill>
                    <w14:schemeClr w14:val="tx1">
                      <w14:lumMod w14:val="95000"/>
                      <w14:lumOff w14:val="5000"/>
                    </w14:schemeClr>
                  </w14:solidFill>
                </w14:textFill>
              </w:rPr>
              <w:t>培训费预算1.62万元，拟开展</w:t>
            </w:r>
            <w:r>
              <w:rPr>
                <w:rFonts w:hint="eastAsia" w:ascii="仿宋_GB2312" w:hAnsi="宋体" w:cs="仿宋_GB2312"/>
                <w:i w:val="0"/>
                <w:iCs w:val="0"/>
                <w:color w:val="0D0D0D" w:themeColor="text1" w:themeTint="F2"/>
                <w:kern w:val="0"/>
                <w:sz w:val="28"/>
                <w:szCs w:val="28"/>
                <w:u w:val="none"/>
                <w:lang w:val="en-US" w:eastAsia="zh-CN" w:bidi="ar"/>
                <w14:textFill>
                  <w14:solidFill>
                    <w14:schemeClr w14:val="tx1">
                      <w14:lumMod w14:val="95000"/>
                      <w14:lumOff w14:val="5000"/>
                    </w14:schemeClr>
                  </w14:solidFill>
                </w14:textFill>
              </w:rPr>
              <w:t>24</w:t>
            </w:r>
            <w:r>
              <w:rPr>
                <w:rFonts w:hint="eastAsia" w:ascii="仿宋_GB2312" w:hAnsi="宋体" w:eastAsia="仿宋_GB2312" w:cs="仿宋_GB2312"/>
                <w:i w:val="0"/>
                <w:iCs w:val="0"/>
                <w:color w:val="0D0D0D" w:themeColor="text1" w:themeTint="F2"/>
                <w:kern w:val="0"/>
                <w:sz w:val="28"/>
                <w:szCs w:val="28"/>
                <w:u w:val="none"/>
                <w:lang w:val="en-US" w:eastAsia="zh-CN" w:bidi="ar"/>
                <w14:textFill>
                  <w14:solidFill>
                    <w14:schemeClr w14:val="tx1">
                      <w14:lumMod w14:val="95000"/>
                      <w14:lumOff w14:val="5000"/>
                    </w14:schemeClr>
                  </w14:solidFill>
                </w14:textFill>
              </w:rPr>
              <w:t>次培训，人数</w:t>
            </w:r>
            <w:r>
              <w:rPr>
                <w:rFonts w:hint="eastAsia" w:ascii="仿宋_GB2312" w:hAnsi="宋体" w:cs="仿宋_GB2312"/>
                <w:i w:val="0"/>
                <w:iCs w:val="0"/>
                <w:color w:val="0D0D0D" w:themeColor="text1" w:themeTint="F2"/>
                <w:kern w:val="0"/>
                <w:sz w:val="28"/>
                <w:szCs w:val="28"/>
                <w:u w:val="none"/>
                <w:lang w:val="en-US" w:eastAsia="zh-CN" w:bidi="ar"/>
                <w14:textFill>
                  <w14:solidFill>
                    <w14:schemeClr w14:val="tx1">
                      <w14:lumMod w14:val="95000"/>
                      <w14:lumOff w14:val="5000"/>
                    </w14:schemeClr>
                  </w14:solidFill>
                </w14:textFill>
              </w:rPr>
              <w:t>720</w:t>
            </w:r>
            <w:r>
              <w:rPr>
                <w:rFonts w:hint="eastAsia" w:ascii="仿宋_GB2312" w:hAnsi="宋体" w:eastAsia="仿宋_GB2312" w:cs="仿宋_GB2312"/>
                <w:i w:val="0"/>
                <w:iCs w:val="0"/>
                <w:color w:val="0D0D0D" w:themeColor="text1" w:themeTint="F2"/>
                <w:kern w:val="0"/>
                <w:sz w:val="28"/>
                <w:szCs w:val="28"/>
                <w:u w:val="none"/>
                <w:lang w:val="en-US" w:eastAsia="zh-CN" w:bidi="ar"/>
                <w14:textFill>
                  <w14:solidFill>
                    <w14:schemeClr w14:val="tx1">
                      <w14:lumMod w14:val="95000"/>
                      <w14:lumOff w14:val="5000"/>
                    </w14:schemeClr>
                  </w14:solidFill>
                </w14:textFill>
              </w:rPr>
              <w:t>人，内容</w:t>
            </w:r>
            <w:r>
              <w:rPr>
                <w:rFonts w:hint="eastAsia" w:ascii="仿宋_GB2312" w:hAnsi="宋体" w:cs="仿宋_GB2312"/>
                <w:i w:val="0"/>
                <w:iCs w:val="0"/>
                <w:color w:val="0D0D0D" w:themeColor="text1" w:themeTint="F2"/>
                <w:kern w:val="0"/>
                <w:sz w:val="28"/>
                <w:szCs w:val="28"/>
                <w:u w:val="none"/>
                <w:lang w:val="en-US" w:eastAsia="zh-CN" w:bidi="ar"/>
                <w14:textFill>
                  <w14:solidFill>
                    <w14:schemeClr w14:val="tx1">
                      <w14:lumMod w14:val="95000"/>
                      <w14:lumOff w14:val="5000"/>
                    </w14:schemeClr>
                  </w14:solidFill>
                </w14:textFill>
              </w:rPr>
              <w:t>为从业人员继续教育培训。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2021年度本单位未计划举办节庆、晚会、论坛、赛事活动。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（四）政府采购情况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2021年度本单位未安排政府采购预算。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（五）国有资产占有使用及新增资产配置情况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截至上一年12月底，本单位共有车辆0辆，单位价值50万元以上通用设备0台，单位价值100万元以上专用设备0台。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2021年度本单位未计划处置或新增车辆、设备等。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（六）预算绩效目标说明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本单位所有支出实行绩效目标管理。纳入2021年单位整体支出绩效目标的金额为456.95万元，其中，基本支出301.25万元，项目支出155.70万元，绩效目标详见文尾附表中预算公开表格的表22-23。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六、名词解释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0"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962" w:type="dxa"/>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99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第二部分  单位预算公开表格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80" w:hRule="atLeast"/>
        </w:trPr>
        <w:tc>
          <w:tcPr>
            <w:tcW w:w="9962" w:type="dxa"/>
            <w:tcBorders>
              <w:top w:val="nil"/>
              <w:left w:val="nil"/>
              <w:bottom w:val="nil"/>
              <w:right w:val="nil"/>
            </w:tcBorders>
            <w:shd w:val="clear" w:color="auto" w:fill="auto"/>
            <w:vAlign w:val="center"/>
          </w:tcPr>
          <w:p>
            <w:pPr>
              <w:keepNext w:val="0"/>
              <w:keepLines w:val="0"/>
              <w:widowControl/>
              <w:numPr>
                <w:ilvl w:val="0"/>
                <w:numId w:val="1"/>
              </w:numPr>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收支总表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二、收入总表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三、支出总表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四、支出预算分类汇总表（按政府预算经济分类）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五、支出预算分类汇总表（按部门预算经济分类）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六、财政拨款收支总表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七、一般公共预算支出表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八、一般公共预算基本支出表--人员经费(工资福利支出)(按政府预算经济分类)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九、一般公共预算基本支出表--人员经费(工资福利支出)(按部门预算经济分类)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十、一般公共预算基本支出表--人员经费(对个人和家庭的补助)(按政府预算经济分类)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十一、一般公共预算基本支出表--人员经费(对个人和家庭的补助)（按部门预算经济分类）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十二、一般公共预算基本支出表--公用经费(商品和服务支出)（按政府预算经济分类）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十三、一般公共预算基本支出表--公用经费(商品和服务支出)(按部门预算经济分类)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十四、一般公共预算“三公”经费支出表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十五、政府性基金预算支出表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十六、政府性基金预算支出分类汇总表（按政府预算经济分类）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十七、政府性基金预算支出分类汇总表（按部门预算经济分类）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十八、国有资产经营预算支出表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十九、纳入专户管理的非税收入拨款支出预算表(按政府预算经济分类)</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二十、纳入专户管理的非税收入拨款支出预算表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二十一、支出预算项目明细表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二十二、财政支出项目预算绩效目标申报表</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二十三、部门(单位)整体支出预算绩效目标申报表</w:t>
            </w:r>
          </w:p>
          <w:p>
            <w:pPr>
              <w:keepNext w:val="0"/>
              <w:keepLines w:val="0"/>
              <w:widowControl/>
              <w:numPr>
                <w:numId w:val="0"/>
              </w:numPr>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cs="仿宋_GB2312"/>
                <w:i w:val="0"/>
                <w:iCs w:val="0"/>
                <w:color w:val="auto"/>
                <w:kern w:val="0"/>
                <w:sz w:val="28"/>
                <w:szCs w:val="28"/>
                <w:u w:val="none"/>
                <w:lang w:val="en-US" w:eastAsia="zh-CN" w:bidi="ar"/>
              </w:rPr>
              <w:t>二十四、一般公共预算基本支出总表</w:t>
            </w:r>
            <w:r>
              <w:rPr>
                <w:rFonts w:hint="eastAsia" w:ascii="仿宋_GB2312" w:hAnsi="宋体" w:eastAsia="仿宋_GB2312" w:cs="仿宋_GB2312"/>
                <w:i w:val="0"/>
                <w:iCs w:val="0"/>
                <w:color w:val="auto"/>
                <w:kern w:val="0"/>
                <w:sz w:val="28"/>
                <w:szCs w:val="28"/>
                <w:u w:val="none"/>
                <w:lang w:val="en-US" w:eastAsia="zh-CN" w:bidi="ar"/>
              </w:rPr>
              <w:br w:type="textWrapping"/>
            </w:r>
            <w:bookmarkStart w:id="0" w:name="_GoBack"/>
            <w:bookmarkEnd w:id="0"/>
            <w:r>
              <w:rPr>
                <w:rFonts w:hint="eastAsia" w:ascii="仿宋_GB2312" w:hAnsi="宋体" w:eastAsia="仿宋_GB2312" w:cs="仿宋_GB2312"/>
                <w:i w:val="0"/>
                <w:iCs w:val="0"/>
                <w:color w:val="auto"/>
                <w:kern w:val="0"/>
                <w:sz w:val="28"/>
                <w:szCs w:val="28"/>
                <w:u w:val="none"/>
                <w:lang w:val="en-US" w:eastAsia="zh-CN" w:bidi="ar"/>
              </w:rPr>
              <w:t>注：以上单位预算公开报表中，空表表示本单位无相关收支情况。</w:t>
            </w:r>
          </w:p>
        </w:tc>
      </w:tr>
    </w:tbl>
    <w:p>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7D0B3"/>
    <w:multiLevelType w:val="singleLevel"/>
    <w:tmpl w:val="6317D0B3"/>
    <w:lvl w:ilvl="0" w:tentative="0">
      <w:start w:val="1"/>
      <w:numFmt w:val="chineseCount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ind w:firstLine="0" w:firstLineChars="0"/>
      <w:jc w:val="both"/>
    </w:pPr>
    <w:rPr>
      <w:rFonts w:ascii="Times New Roman" w:hAnsi="Times New Roman" w:eastAsia="仿宋_GB2312" w:cstheme="minorBidi"/>
      <w:kern w:val="2"/>
      <w:sz w:val="28"/>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ind w:firstLine="643" w:firstLineChars="200"/>
      <w:outlineLvl w:val="1"/>
    </w:pPr>
    <w:rPr>
      <w:rFonts w:ascii="Arial" w:hAnsi="Arial" w:eastAsia="黑体" w:cs="Times New Roman"/>
      <w:b/>
      <w:sz w:val="32"/>
    </w:rPr>
  </w:style>
  <w:style w:type="paragraph" w:styleId="3">
    <w:name w:val="heading 3"/>
    <w:basedOn w:val="1"/>
    <w:next w:val="1"/>
    <w:link w:val="8"/>
    <w:unhideWhenUsed/>
    <w:qFormat/>
    <w:uiPriority w:val="0"/>
    <w:pPr>
      <w:keepNext/>
      <w:keepLines/>
      <w:spacing w:before="260" w:beforeLines="0" w:beforeAutospacing="0" w:after="260" w:afterLines="0" w:afterAutospacing="0" w:line="413" w:lineRule="auto"/>
      <w:outlineLvl w:val="2"/>
    </w:pPr>
    <w:rPr>
      <w:rFonts w:ascii="Calibri" w:hAnsi="Calibri" w:eastAsia="楷体_GB2312" w:cs="Arial"/>
      <w:b/>
      <w:sz w:val="32"/>
      <w:szCs w:val="2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center"/>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outlineLvl w:val="9"/>
    </w:pPr>
    <w:rPr>
      <w:sz w:val="18"/>
    </w:rPr>
  </w:style>
  <w:style w:type="character" w:customStyle="1" w:styleId="8">
    <w:name w:val="标题 3 Char"/>
    <w:link w:val="3"/>
    <w:qFormat/>
    <w:uiPriority w:val="0"/>
    <w:rPr>
      <w:rFonts w:ascii="Calibri" w:hAnsi="Calibri" w:eastAsia="楷体_GB2312" w:cs="Arial"/>
      <w:b/>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2831</Words>
  <Characters>3104</Characters>
  <Lines>0</Lines>
  <Paragraphs>0</Paragraphs>
  <ScaleCrop>false</ScaleCrop>
  <LinksUpToDate>false</LinksUpToDate>
  <CharactersWithSpaces>3274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2022-06-07T19:01:00Z</dcterms:created>
  <dc:creator>German Phillip</dc:creator>
  <cp:lastModifiedBy>iPhone11</cp:lastModifiedBy>
  <dcterms:modified xsi:type="dcterms:W3CDTF">2022-09-07T07:00:13Z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2052-11.28.1</vt:lpwstr>
  </property>
  <property fmtid="{D5CDD505-2E9C-101B-9397-08002B2CF9AE}" pid="3" name="ICV">
    <vt:lpwstr>2481FAD5891E49EDB334A1F5325D4DCA</vt:lpwstr>
  </property>
</Properties>
</file>